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1560"/>
        <w:spacing w:after="0"/>
        <w:rPr>
          <w:sz w:val="20"/>
          <w:szCs w:val="20"/>
          <w:color w:val="auto"/>
        </w:rPr>
      </w:pPr>
      <w:r>
        <w:rPr>
          <w:rFonts w:ascii="Arial" w:cs="Arial" w:eastAsia="Arial" w:hAnsi="Arial"/>
          <w:sz w:val="16"/>
          <w:szCs w:val="16"/>
          <w:color w:val="7F160E"/>
        </w:rPr>
        <w:t>______________________________________________________________________________________________________</w:t>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35" w:lineRule="exact"/>
        <w:rPr>
          <w:sz w:val="24"/>
          <w:szCs w:val="24"/>
          <w:color w:val="auto"/>
        </w:rPr>
      </w:pPr>
    </w:p>
    <w:p>
      <w:pPr>
        <w:ind w:left="1660"/>
        <w:spacing w:after="0"/>
        <w:rPr>
          <w:sz w:val="20"/>
          <w:szCs w:val="20"/>
          <w:color w:val="auto"/>
        </w:rPr>
      </w:pPr>
      <w:r>
        <w:rPr>
          <w:rFonts w:ascii="Arial" w:cs="Arial" w:eastAsia="Arial" w:hAnsi="Arial"/>
          <w:sz w:val="16"/>
          <w:szCs w:val="16"/>
          <w:color w:val="7F160E"/>
        </w:rPr>
        <w:t>_____________________________________________________________________________________________________</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11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Date of Report (date of earliest event reported): October 27, 2020</w:t>
      </w:r>
    </w:p>
    <w:p>
      <w:pPr>
        <w:spacing w:after="0" w:line="25" w:lineRule="exact"/>
        <w:rPr>
          <w:sz w:val="24"/>
          <w:szCs w:val="24"/>
          <w:color w:val="auto"/>
        </w:rPr>
      </w:pPr>
    </w:p>
    <w:p>
      <w:pPr>
        <w:ind w:left="1660"/>
        <w:spacing w:after="0"/>
        <w:rPr>
          <w:sz w:val="20"/>
          <w:szCs w:val="20"/>
          <w:color w:val="auto"/>
        </w:rPr>
      </w:pPr>
      <w:r>
        <w:rPr>
          <w:rFonts w:ascii="Arial" w:cs="Arial" w:eastAsia="Arial" w:hAnsi="Arial"/>
          <w:sz w:val="16"/>
          <w:szCs w:val="16"/>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3042285</wp:posOffset>
            </wp:positionH>
            <wp:positionV relativeFrom="paragraph">
              <wp:posOffset>296545</wp:posOffset>
            </wp:positionV>
            <wp:extent cx="1057910" cy="210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7910" cy="210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XEROX HOLDINGS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XEROX CORPORATION</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125" w:lineRule="exact"/>
        <w:rPr>
          <w:sz w:val="24"/>
          <w:szCs w:val="24"/>
          <w:color w:val="auto"/>
        </w:rPr>
      </w:pPr>
    </w:p>
    <w:tbl>
      <w:tblPr>
        <w:tblLayout w:type="fixed"/>
        <w:tblInd w:w="260" w:type="dxa"/>
        <w:tblCellMar>
          <w:top w:w="0" w:type="dxa"/>
          <w:left w:w="0" w:type="dxa"/>
          <w:bottom w:w="0" w:type="dxa"/>
          <w:right w:w="0" w:type="dxa"/>
        </w:tblCellMar>
      </w:tblPr>
      <w:tr>
        <w:trPr>
          <w:trHeight w:val="188"/>
        </w:trPr>
        <w:tc>
          <w:tcPr>
            <w:tcW w:w="336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New York</w:t>
            </w:r>
          </w:p>
        </w:tc>
        <w:tc>
          <w:tcPr>
            <w:tcW w:w="4560" w:type="dxa"/>
            <w:vAlign w:val="bottom"/>
          </w:tcPr>
          <w:p>
            <w:pPr>
              <w:jc w:val="center"/>
              <w:ind w:right="486"/>
              <w:spacing w:after="0"/>
              <w:rPr>
                <w:sz w:val="20"/>
                <w:szCs w:val="20"/>
                <w:color w:val="auto"/>
              </w:rPr>
            </w:pPr>
            <w:r>
              <w:rPr>
                <w:rFonts w:ascii="Arial" w:cs="Arial" w:eastAsia="Arial" w:hAnsi="Arial"/>
                <w:sz w:val="14"/>
                <w:szCs w:val="14"/>
                <w:b w:val="1"/>
                <w:bCs w:val="1"/>
                <w:color w:val="auto"/>
              </w:rPr>
              <w:t>001-39013</w:t>
            </w:r>
          </w:p>
        </w:tc>
        <w:tc>
          <w:tcPr>
            <w:tcW w:w="1660" w:type="dxa"/>
            <w:vAlign w:val="bottom"/>
          </w:tcPr>
          <w:p>
            <w:pPr>
              <w:jc w:val="center"/>
              <w:ind w:left="633"/>
              <w:spacing w:after="0"/>
              <w:rPr>
                <w:sz w:val="20"/>
                <w:szCs w:val="20"/>
                <w:color w:val="auto"/>
              </w:rPr>
            </w:pPr>
            <w:r>
              <w:rPr>
                <w:rFonts w:ascii="Arial" w:cs="Arial" w:eastAsia="Arial" w:hAnsi="Arial"/>
                <w:sz w:val="14"/>
                <w:szCs w:val="14"/>
                <w:b w:val="1"/>
                <w:bCs w:val="1"/>
                <w:color w:val="auto"/>
              </w:rPr>
              <w:t>83-3933743</w:t>
            </w:r>
          </w:p>
        </w:tc>
      </w:tr>
      <w:tr>
        <w:trPr>
          <w:trHeight w:val="213"/>
        </w:trPr>
        <w:tc>
          <w:tcPr>
            <w:tcW w:w="336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New York</w:t>
            </w:r>
          </w:p>
        </w:tc>
        <w:tc>
          <w:tcPr>
            <w:tcW w:w="4560" w:type="dxa"/>
            <w:vAlign w:val="bottom"/>
          </w:tcPr>
          <w:p>
            <w:pPr>
              <w:jc w:val="center"/>
              <w:ind w:right="486"/>
              <w:spacing w:after="0"/>
              <w:rPr>
                <w:sz w:val="20"/>
                <w:szCs w:val="20"/>
                <w:color w:val="auto"/>
              </w:rPr>
            </w:pPr>
            <w:r>
              <w:rPr>
                <w:rFonts w:ascii="Arial" w:cs="Arial" w:eastAsia="Arial" w:hAnsi="Arial"/>
                <w:sz w:val="14"/>
                <w:szCs w:val="14"/>
                <w:b w:val="1"/>
                <w:bCs w:val="1"/>
                <w:color w:val="auto"/>
              </w:rPr>
              <w:t>001-04471</w:t>
            </w:r>
          </w:p>
        </w:tc>
        <w:tc>
          <w:tcPr>
            <w:tcW w:w="1660" w:type="dxa"/>
            <w:vAlign w:val="bottom"/>
          </w:tcPr>
          <w:p>
            <w:pPr>
              <w:jc w:val="center"/>
              <w:ind w:left="633"/>
              <w:spacing w:after="0"/>
              <w:rPr>
                <w:sz w:val="20"/>
                <w:szCs w:val="20"/>
                <w:color w:val="auto"/>
              </w:rPr>
            </w:pPr>
            <w:r>
              <w:rPr>
                <w:rFonts w:ascii="Arial" w:cs="Arial" w:eastAsia="Arial" w:hAnsi="Arial"/>
                <w:sz w:val="14"/>
                <w:szCs w:val="14"/>
                <w:b w:val="1"/>
                <w:bCs w:val="1"/>
                <w:color w:val="auto"/>
              </w:rPr>
              <w:t>16-0468020</w:t>
            </w:r>
          </w:p>
        </w:tc>
      </w:tr>
      <w:tr>
        <w:trPr>
          <w:trHeight w:val="187"/>
        </w:trPr>
        <w:tc>
          <w:tcPr>
            <w:tcW w:w="3360" w:type="dxa"/>
            <w:vAlign w:val="bottom"/>
          </w:tcPr>
          <w:p>
            <w:pPr>
              <w:jc w:val="center"/>
              <w:ind w:right="32"/>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4560" w:type="dxa"/>
            <w:vAlign w:val="bottom"/>
          </w:tcPr>
          <w:p>
            <w:pPr>
              <w:jc w:val="center"/>
              <w:ind w:right="466"/>
              <w:spacing w:after="0"/>
              <w:rPr>
                <w:sz w:val="20"/>
                <w:szCs w:val="20"/>
                <w:color w:val="auto"/>
              </w:rPr>
            </w:pPr>
            <w:r>
              <w:rPr>
                <w:rFonts w:ascii="Arial" w:cs="Arial" w:eastAsia="Arial" w:hAnsi="Arial"/>
                <w:sz w:val="13"/>
                <w:szCs w:val="13"/>
                <w:color w:val="auto"/>
                <w:w w:val="97"/>
              </w:rPr>
              <w:t>(Commission File Number)</w:t>
            </w:r>
          </w:p>
        </w:tc>
        <w:tc>
          <w:tcPr>
            <w:tcW w:w="1660" w:type="dxa"/>
            <w:vAlign w:val="bottom"/>
          </w:tcPr>
          <w:p>
            <w:pPr>
              <w:jc w:val="center"/>
              <w:ind w:left="613"/>
              <w:spacing w:after="0"/>
              <w:rPr>
                <w:sz w:val="20"/>
                <w:szCs w:val="20"/>
                <w:color w:val="auto"/>
              </w:rPr>
            </w:pPr>
            <w:r>
              <w:rPr>
                <w:rFonts w:ascii="Arial" w:cs="Arial" w:eastAsia="Arial" w:hAnsi="Arial"/>
                <w:sz w:val="13"/>
                <w:szCs w:val="13"/>
                <w:color w:val="auto"/>
                <w:w w:val="96"/>
              </w:rPr>
              <w:t>(IRS Employer</w:t>
            </w:r>
          </w:p>
        </w:tc>
      </w:tr>
      <w:tr>
        <w:trPr>
          <w:trHeight w:val="152"/>
        </w:trPr>
        <w:tc>
          <w:tcPr>
            <w:tcW w:w="33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60" w:type="dxa"/>
            <w:vAlign w:val="bottom"/>
          </w:tcPr>
          <w:p>
            <w:pPr>
              <w:jc w:val="center"/>
              <w:ind w:left="613"/>
              <w:spacing w:after="0"/>
              <w:rPr>
                <w:sz w:val="20"/>
                <w:szCs w:val="20"/>
                <w:color w:val="auto"/>
              </w:rPr>
            </w:pPr>
            <w:r>
              <w:rPr>
                <w:rFonts w:ascii="Arial" w:cs="Arial" w:eastAsia="Arial" w:hAnsi="Arial"/>
                <w:sz w:val="13"/>
                <w:szCs w:val="13"/>
                <w:color w:val="auto"/>
                <w:w w:val="96"/>
              </w:rPr>
              <w:t>Identification No.)</w:t>
            </w:r>
          </w:p>
        </w:tc>
      </w:tr>
      <w:tr>
        <w:trPr>
          <w:trHeight w:val="473"/>
        </w:trPr>
        <w:tc>
          <w:tcPr>
            <w:tcW w:w="3360" w:type="dxa"/>
            <w:vAlign w:val="bottom"/>
          </w:tcPr>
          <w:p>
            <w:pPr>
              <w:spacing w:after="0"/>
              <w:rPr>
                <w:sz w:val="24"/>
                <w:szCs w:val="24"/>
                <w:color w:val="auto"/>
              </w:rPr>
            </w:pPr>
          </w:p>
        </w:tc>
        <w:tc>
          <w:tcPr>
            <w:tcW w:w="4560" w:type="dxa"/>
            <w:vAlign w:val="bottom"/>
          </w:tcPr>
          <w:p>
            <w:pPr>
              <w:jc w:val="center"/>
              <w:ind w:right="486"/>
              <w:spacing w:after="0"/>
              <w:rPr>
                <w:sz w:val="20"/>
                <w:szCs w:val="20"/>
                <w:color w:val="auto"/>
              </w:rPr>
            </w:pPr>
            <w:r>
              <w:rPr>
                <w:rFonts w:ascii="Arial" w:cs="Arial" w:eastAsia="Arial" w:hAnsi="Arial"/>
                <w:sz w:val="16"/>
                <w:szCs w:val="16"/>
                <w:b w:val="1"/>
                <w:bCs w:val="1"/>
                <w:color w:val="auto"/>
                <w:w w:val="97"/>
              </w:rPr>
              <w:t>201 Merritt 7</w:t>
            </w:r>
          </w:p>
        </w:tc>
        <w:tc>
          <w:tcPr>
            <w:tcW w:w="1660" w:type="dxa"/>
            <w:vAlign w:val="bottom"/>
          </w:tcPr>
          <w:p>
            <w:pPr>
              <w:spacing w:after="0"/>
              <w:rPr>
                <w:sz w:val="24"/>
                <w:szCs w:val="24"/>
                <w:color w:val="auto"/>
              </w:rPr>
            </w:pPr>
          </w:p>
        </w:tc>
      </w:tr>
      <w:tr>
        <w:trPr>
          <w:trHeight w:val="189"/>
        </w:trPr>
        <w:tc>
          <w:tcPr>
            <w:tcW w:w="3360" w:type="dxa"/>
            <w:vAlign w:val="bottom"/>
          </w:tcPr>
          <w:p>
            <w:pPr>
              <w:spacing w:after="0"/>
              <w:rPr>
                <w:sz w:val="16"/>
                <w:szCs w:val="16"/>
                <w:color w:val="auto"/>
              </w:rPr>
            </w:pPr>
          </w:p>
        </w:tc>
        <w:tc>
          <w:tcPr>
            <w:tcW w:w="4560" w:type="dxa"/>
            <w:vAlign w:val="bottom"/>
          </w:tcPr>
          <w:p>
            <w:pPr>
              <w:jc w:val="center"/>
              <w:ind w:right="486"/>
              <w:spacing w:after="0"/>
              <w:rPr>
                <w:sz w:val="20"/>
                <w:szCs w:val="20"/>
                <w:color w:val="auto"/>
              </w:rPr>
            </w:pPr>
            <w:r>
              <w:rPr>
                <w:rFonts w:ascii="Arial" w:cs="Arial" w:eastAsia="Arial" w:hAnsi="Arial"/>
                <w:sz w:val="16"/>
                <w:szCs w:val="16"/>
                <w:b w:val="1"/>
                <w:bCs w:val="1"/>
                <w:color w:val="auto"/>
                <w:w w:val="97"/>
              </w:rPr>
              <w:t>Norwalk, Connecticut</w:t>
            </w:r>
          </w:p>
        </w:tc>
        <w:tc>
          <w:tcPr>
            <w:tcW w:w="166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4560" w:type="dxa"/>
            <w:vAlign w:val="bottom"/>
          </w:tcPr>
          <w:p>
            <w:pPr>
              <w:jc w:val="center"/>
              <w:ind w:right="486"/>
              <w:spacing w:after="0"/>
              <w:rPr>
                <w:sz w:val="20"/>
                <w:szCs w:val="20"/>
                <w:color w:val="auto"/>
              </w:rPr>
            </w:pPr>
            <w:r>
              <w:rPr>
                <w:rFonts w:ascii="Arial" w:cs="Arial" w:eastAsia="Arial" w:hAnsi="Arial"/>
                <w:sz w:val="16"/>
                <w:szCs w:val="16"/>
                <w:b w:val="1"/>
                <w:bCs w:val="1"/>
                <w:color w:val="auto"/>
                <w:w w:val="98"/>
              </w:rPr>
              <w:t>06851-1056</w:t>
            </w:r>
          </w:p>
        </w:tc>
        <w:tc>
          <w:tcPr>
            <w:tcW w:w="1660" w:type="dxa"/>
            <w:vAlign w:val="bottom"/>
          </w:tcPr>
          <w:p>
            <w:pPr>
              <w:spacing w:after="0"/>
              <w:rPr>
                <w:sz w:val="16"/>
                <w:szCs w:val="16"/>
                <w:color w:val="auto"/>
              </w:rPr>
            </w:pPr>
          </w:p>
        </w:tc>
      </w:tr>
      <w:tr>
        <w:trPr>
          <w:trHeight w:val="209"/>
        </w:trPr>
        <w:tc>
          <w:tcPr>
            <w:tcW w:w="3360" w:type="dxa"/>
            <w:vAlign w:val="bottom"/>
          </w:tcPr>
          <w:p>
            <w:pPr>
              <w:spacing w:after="0"/>
              <w:rPr>
                <w:sz w:val="18"/>
                <w:szCs w:val="18"/>
                <w:color w:val="auto"/>
              </w:rPr>
            </w:pPr>
          </w:p>
        </w:tc>
        <w:tc>
          <w:tcPr>
            <w:tcW w:w="4560" w:type="dxa"/>
            <w:vAlign w:val="bottom"/>
          </w:tcPr>
          <w:p>
            <w:pPr>
              <w:jc w:val="center"/>
              <w:ind w:right="486"/>
              <w:spacing w:after="0"/>
              <w:rPr>
                <w:sz w:val="20"/>
                <w:szCs w:val="20"/>
                <w:color w:val="auto"/>
              </w:rPr>
            </w:pPr>
            <w:r>
              <w:rPr>
                <w:rFonts w:ascii="Arial" w:cs="Arial" w:eastAsia="Arial" w:hAnsi="Arial"/>
                <w:sz w:val="16"/>
                <w:szCs w:val="16"/>
                <w:b w:val="1"/>
                <w:bCs w:val="1"/>
                <w:color w:val="auto"/>
                <w:w w:val="98"/>
              </w:rPr>
              <w:t>(Address of principal executive offices) (Zip Code)</w:t>
            </w:r>
          </w:p>
        </w:tc>
        <w:tc>
          <w:tcPr>
            <w:tcW w:w="1660" w:type="dxa"/>
            <w:vAlign w:val="bottom"/>
          </w:tcPr>
          <w:p>
            <w:pPr>
              <w:spacing w:after="0"/>
              <w:rPr>
                <w:sz w:val="18"/>
                <w:szCs w:val="18"/>
                <w:color w:val="auto"/>
              </w:rPr>
            </w:pP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(203) 968-3000</w:t>
      </w:r>
    </w:p>
    <w:p>
      <w:pPr>
        <w:spacing w:after="0" w:line="25" w:lineRule="exact"/>
        <w:rPr>
          <w:sz w:val="24"/>
          <w:szCs w:val="24"/>
          <w:color w:val="auto"/>
        </w:rPr>
      </w:pPr>
    </w:p>
    <w:p>
      <w:pPr>
        <w:ind w:left="1640"/>
        <w:spacing w:after="0"/>
        <w:rPr>
          <w:sz w:val="20"/>
          <w:szCs w:val="20"/>
          <w:color w:val="auto"/>
        </w:rPr>
      </w:pPr>
      <w:r>
        <w:rPr>
          <w:rFonts w:ascii="Arial" w:cs="Arial" w:eastAsia="Arial" w:hAnsi="Arial"/>
          <w:sz w:val="16"/>
          <w:szCs w:val="16"/>
          <w:color w:val="7F160E"/>
        </w:rPr>
        <w:t>_____________________________________________________________________________________________________</w:t>
      </w:r>
    </w:p>
    <w:p>
      <w:pPr>
        <w:spacing w:after="0" w:line="53" w:lineRule="exact"/>
        <w:rPr>
          <w:sz w:val="24"/>
          <w:szCs w:val="24"/>
          <w:color w:val="auto"/>
        </w:rPr>
      </w:pPr>
    </w:p>
    <w:p>
      <w:pPr>
        <w:spacing w:after="0" w:line="25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10" w:lineRule="exact"/>
        <w:rPr>
          <w:sz w:val="24"/>
          <w:szCs w:val="24"/>
          <w:color w:val="auto"/>
        </w:rPr>
      </w:pPr>
    </w:p>
    <w:p>
      <w:pPr>
        <w:ind w:left="680" w:hanging="67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6" w:lineRule="exact"/>
        <w:rPr>
          <w:rFonts w:ascii="MS PGothic" w:cs="MS PGothic" w:eastAsia="MS PGothic" w:hAnsi="MS PGothic"/>
          <w:sz w:val="16"/>
          <w:szCs w:val="16"/>
          <w:color w:val="auto"/>
        </w:rPr>
      </w:pPr>
    </w:p>
    <w:p>
      <w:pPr>
        <w:ind w:left="680" w:hanging="67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6" w:lineRule="exact"/>
        <w:rPr>
          <w:rFonts w:ascii="MS PGothic" w:cs="MS PGothic" w:eastAsia="MS PGothic" w:hAnsi="MS PGothic"/>
          <w:sz w:val="16"/>
          <w:szCs w:val="16"/>
          <w:color w:val="auto"/>
        </w:rPr>
      </w:pPr>
    </w:p>
    <w:p>
      <w:pPr>
        <w:ind w:left="680" w:hanging="67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34" w:lineRule="exact"/>
        <w:rPr>
          <w:rFonts w:ascii="MS PGothic" w:cs="MS PGothic" w:eastAsia="MS PGothic" w:hAnsi="MS PGothic"/>
          <w:sz w:val="16"/>
          <w:szCs w:val="16"/>
          <w:color w:val="auto"/>
        </w:rPr>
      </w:pPr>
    </w:p>
    <w:p>
      <w:pPr>
        <w:ind w:left="680" w:hanging="67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890" w:right="339" w:bottom="1440" w:gutter="0" w:footer="0" w:header="0"/>
        </w:sectPr>
      </w:pPr>
    </w:p>
    <w:p>
      <w:pPr>
        <w:spacing w:after="0" w:line="52" w:lineRule="exact"/>
        <w:rPr>
          <w:sz w:val="24"/>
          <w:szCs w:val="24"/>
          <w:color w:val="auto"/>
        </w:rPr>
      </w:pPr>
    </w:p>
    <w:p>
      <w:pPr>
        <w:ind w:left="1860"/>
        <w:spacing w:after="0"/>
        <w:rPr>
          <w:sz w:val="20"/>
          <w:szCs w:val="20"/>
          <w:color w:val="auto"/>
        </w:rPr>
      </w:pPr>
      <w:r>
        <w:rPr>
          <w:rFonts w:ascii="Arial" w:cs="Arial" w:eastAsia="Arial" w:hAnsi="Arial"/>
          <w:sz w:val="13"/>
          <w:szCs w:val="13"/>
          <w:color w:val="auto"/>
        </w:rPr>
        <w:t>Title of each class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tabs>
          <w:tab w:leader="none" w:pos="2260" w:val="left"/>
        </w:tabs>
        <w:rPr>
          <w:sz w:val="20"/>
          <w:szCs w:val="20"/>
          <w:color w:val="auto"/>
        </w:rPr>
      </w:pPr>
      <w:r>
        <w:rPr>
          <w:rFonts w:ascii="Arial" w:cs="Arial" w:eastAsia="Arial" w:hAnsi="Arial"/>
          <w:sz w:val="14"/>
          <w:szCs w:val="14"/>
          <w:color w:val="auto"/>
        </w:rPr>
        <w:t>Trading Symbol</w:t>
      </w:r>
      <w:r>
        <w:rPr>
          <w:sz w:val="20"/>
          <w:szCs w:val="20"/>
          <w:color w:val="auto"/>
        </w:rPr>
        <w:tab/>
      </w:r>
      <w:r>
        <w:rPr>
          <w:rFonts w:ascii="Arial" w:cs="Arial" w:eastAsia="Arial" w:hAnsi="Arial"/>
          <w:sz w:val="14"/>
          <w:szCs w:val="14"/>
          <w:color w:val="auto"/>
        </w:rPr>
        <w:t>Name of each exchange on which registered</w:t>
      </w:r>
    </w:p>
    <w:p>
      <w:pPr>
        <w:spacing w:after="0" w:line="49" w:lineRule="exact"/>
        <w:rPr>
          <w:sz w:val="24"/>
          <w:szCs w:val="24"/>
          <w:color w:val="auto"/>
        </w:rPr>
      </w:pPr>
    </w:p>
    <w:p>
      <w:pPr>
        <w:sectPr>
          <w:pgSz w:w="11900" w:h="16838" w:orient="portrait"/>
          <w:cols w:equalWidth="0" w:num="2">
            <w:col w:w="4400" w:space="720"/>
            <w:col w:w="6120"/>
          </w:cols>
          <w:pgMar w:left="320" w:top="890"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Xerox Holdings Corporation Common Stock, $1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w:t>
      </w:r>
    </w:p>
    <w:p>
      <w:pPr>
        <w:spacing w:after="0" w:line="200" w:lineRule="exact"/>
        <w:rPr>
          <w:sz w:val="24"/>
          <w:szCs w:val="24"/>
          <w:color w:val="auto"/>
        </w:rPr>
      </w:pPr>
    </w:p>
    <w:p>
      <w:pPr>
        <w:sectPr>
          <w:pgSz w:w="11900" w:h="16838" w:orient="portrait"/>
          <w:cols w:equalWidth="0" w:num="3">
            <w:col w:w="4720" w:space="720"/>
            <w:col w:w="1720" w:space="720"/>
            <w:col w:w="3360"/>
          </w:cols>
          <w:pgMar w:left="320" w:top="890" w:right="33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551180</wp:posOffset>
            </wp:positionV>
            <wp:extent cx="714946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 w:name="page2"/>
    <w:bookmarkEnd w:id="1"/>
    <w:p>
      <w:pPr>
        <w:spacing w:after="0" w:line="25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2"/>
          <w:szCs w:val="12"/>
          <w:color w:val="auto"/>
        </w:rPr>
        <w:t>☐</w:t>
      </w:r>
    </w:p>
    <w:p>
      <w:pPr>
        <w:spacing w:after="0" w:line="57" w:lineRule="exact"/>
        <w:rPr>
          <w:sz w:val="20"/>
          <w:szCs w:val="20"/>
          <w:color w:val="auto"/>
        </w:rPr>
      </w:pPr>
    </w:p>
    <w:p>
      <w:pPr>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1560"/>
        <w:spacing w:after="0"/>
        <w:rPr>
          <w:sz w:val="20"/>
          <w:szCs w:val="20"/>
          <w:color w:val="auto"/>
        </w:rPr>
      </w:pPr>
      <w:r>
        <w:rPr>
          <w:rFonts w:ascii="Arial" w:cs="Arial" w:eastAsia="Arial" w:hAnsi="Arial"/>
          <w:sz w:val="16"/>
          <w:szCs w:val="16"/>
          <w:color w:val="7F160E"/>
        </w:rPr>
        <w:t>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624840</wp:posOffset>
            </wp:positionV>
            <wp:extent cx="714946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195"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On October 27, 2020, Registrant released its third quarter 2020 earnings and is furnishing to the Securities and Exchange Commission ("SEC") a copy of the earnings press release as Exhibit 99.1 to this Report under Item 2.02 of Form 8-K.</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1008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24"/>
        </w:trPr>
        <w:tc>
          <w:tcPr>
            <w:tcW w:w="1180" w:type="dxa"/>
            <w:vAlign w:val="bottom"/>
          </w:tcPr>
          <w:p>
            <w:pPr>
              <w:ind w:left="2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99.1</w:t>
              </w:r>
            </w:hyperlink>
          </w:p>
        </w:tc>
        <w:tc>
          <w:tcPr>
            <w:tcW w:w="10080" w:type="dxa"/>
            <w:vAlign w:val="bottom"/>
          </w:tcPr>
          <w:p>
            <w:pPr>
              <w:ind w:left="340"/>
              <w:spacing w:after="0"/>
              <w:rPr>
                <w:sz w:val="20"/>
                <w:szCs w:val="20"/>
                <w:color w:val="auto"/>
              </w:rPr>
            </w:pPr>
            <w:r>
              <w:rPr>
                <w:rFonts w:ascii="Arial" w:cs="Arial" w:eastAsia="Arial" w:hAnsi="Arial"/>
                <w:sz w:val="16"/>
                <w:szCs w:val="16"/>
                <w:color w:val="auto"/>
              </w:rPr>
              <w:t>Registrant’s third quarter 2020 earnings press release dated October 27, 2020</w:t>
            </w:r>
          </w:p>
        </w:tc>
      </w:tr>
      <w:tr>
        <w:trPr>
          <w:trHeight w:val="1174"/>
        </w:trPr>
        <w:tc>
          <w:tcPr>
            <w:tcW w:w="1180" w:type="dxa"/>
            <w:vAlign w:val="bottom"/>
            <w:tcBorders>
              <w:bottom w:val="single" w:sz="8" w:color="9A9A9A"/>
            </w:tcBorders>
          </w:tcPr>
          <w:p>
            <w:pPr>
              <w:spacing w:after="0"/>
              <w:rPr>
                <w:sz w:val="24"/>
                <w:szCs w:val="24"/>
                <w:color w:val="auto"/>
              </w:rPr>
            </w:pPr>
          </w:p>
        </w:tc>
        <w:tc>
          <w:tcPr>
            <w:tcW w:w="10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Forward-Looking Statements</w:t>
      </w:r>
    </w:p>
    <w:p>
      <w:pPr>
        <w:spacing w:after="0" w:line="148" w:lineRule="exact"/>
        <w:rPr>
          <w:sz w:val="20"/>
          <w:szCs w:val="20"/>
          <w:color w:val="auto"/>
        </w:rPr>
      </w:pPr>
    </w:p>
    <w:p>
      <w:pPr>
        <w:jc w:val="both"/>
        <w:spacing w:after="0" w:line="202" w:lineRule="auto"/>
        <w:rPr>
          <w:sz w:val="20"/>
          <w:szCs w:val="20"/>
          <w:color w:val="auto"/>
        </w:rPr>
      </w:pPr>
      <w:r>
        <w:rPr>
          <w:rFonts w:ascii="Arial" w:cs="Arial" w:eastAsia="Arial" w:hAnsi="Arial"/>
          <w:sz w:val="16"/>
          <w:szCs w:val="16"/>
          <w:color w:val="auto"/>
        </w:rPr>
        <w:t>This filing,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181"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These forward-looking statements speak only as of the date of this filing or as of the date to which they refer, and Xerox assumes no obligation to update any forward-looking statements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1321435</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9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SIGNATURES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XEROX HOLDINGS CORPORATION</w:t>
      </w:r>
    </w:p>
    <w:p>
      <w:pPr>
        <w:ind w:left="20"/>
        <w:spacing w:after="0"/>
        <w:rPr>
          <w:sz w:val="20"/>
          <w:szCs w:val="20"/>
          <w:color w:val="auto"/>
        </w:rPr>
      </w:pPr>
      <w:r>
        <w:rPr>
          <w:rFonts w:ascii="Arial" w:cs="Arial" w:eastAsia="Arial" w:hAnsi="Arial"/>
          <w:sz w:val="16"/>
          <w:szCs w:val="16"/>
          <w:color w:val="auto"/>
        </w:rPr>
        <w:t>(Registrant)</w:t>
      </w:r>
    </w:p>
    <w:p>
      <w:pPr>
        <w:spacing w:after="0" w:line="88"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2"/>
          <w:szCs w:val="12"/>
          <w:color w:val="auto"/>
        </w:rPr>
        <w:t>S</w:t>
      </w:r>
      <w:r>
        <w:rPr>
          <w:rFonts w:ascii="Arial" w:cs="Arial" w:eastAsia="Arial" w:hAnsi="Arial"/>
          <w:sz w:val="16"/>
          <w:szCs w:val="16"/>
          <w:color w:val="auto"/>
        </w:rPr>
        <w:t>/ J</w:t>
      </w:r>
      <w:r>
        <w:rPr>
          <w:rFonts w:ascii="Arial" w:cs="Arial" w:eastAsia="Arial" w:hAnsi="Arial"/>
          <w:sz w:val="12"/>
          <w:szCs w:val="12"/>
          <w:color w:val="auto"/>
        </w:rPr>
        <w:t>OSEPH</w:t>
      </w:r>
      <w:r>
        <w:rPr>
          <w:rFonts w:ascii="Arial" w:cs="Arial" w:eastAsia="Arial" w:hAnsi="Arial"/>
          <w:sz w:val="16"/>
          <w:szCs w:val="16"/>
          <w:color w:val="auto"/>
        </w:rPr>
        <w:t xml:space="preserve"> H. M</w:t>
      </w:r>
      <w:r>
        <w:rPr>
          <w:rFonts w:ascii="Arial" w:cs="Arial" w:eastAsia="Arial" w:hAnsi="Arial"/>
          <w:sz w:val="12"/>
          <w:szCs w:val="12"/>
          <w:color w:val="auto"/>
        </w:rPr>
        <w:t>ANCINI</w:t>
      </w:r>
      <w:r>
        <w:rPr>
          <w:rFonts w:ascii="Arial" w:cs="Arial" w:eastAsia="Arial" w:hAnsi="Arial"/>
          <w:sz w:val="16"/>
          <w:szCs w:val="16"/>
          <w:color w:val="auto"/>
        </w:rPr>
        <w:t>, J</w:t>
      </w:r>
      <w:r>
        <w:rPr>
          <w:rFonts w:ascii="Arial" w:cs="Arial" w:eastAsia="Arial" w:hAnsi="Arial"/>
          <w:sz w:val="12"/>
          <w:szCs w:val="12"/>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3107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0765" cy="7620"/>
                    </a:xfrm>
                    <a:prstGeom prst="rect">
                      <a:avLst/>
                    </a:prstGeom>
                    <a:noFill/>
                  </pic:spPr>
                </pic:pic>
              </a:graphicData>
            </a:graphic>
          </wp:anchor>
        </w:drawing>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Joseph H. Mancini, Jr.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Vice President and</w:t>
      </w:r>
    </w:p>
    <w:p>
      <w:pPr>
        <w:ind w:left="520"/>
        <w:spacing w:after="0" w:line="227" w:lineRule="auto"/>
        <w:rPr>
          <w:sz w:val="20"/>
          <w:szCs w:val="20"/>
          <w:color w:val="auto"/>
        </w:rPr>
      </w:pPr>
      <w:r>
        <w:rPr>
          <w:rFonts w:ascii="Arial" w:cs="Arial" w:eastAsia="Arial" w:hAnsi="Arial"/>
          <w:sz w:val="13"/>
          <w:szCs w:val="13"/>
          <w:b w:val="1"/>
          <w:bCs w:val="1"/>
          <w:color w:val="auto"/>
        </w:rPr>
        <w:t>Chief Accounting Officer</w:t>
      </w:r>
    </w:p>
    <w:p>
      <w:pPr>
        <w:ind w:left="520"/>
        <w:spacing w:after="0"/>
        <w:rPr>
          <w:sz w:val="20"/>
          <w:szCs w:val="20"/>
          <w:color w:val="auto"/>
        </w:rPr>
      </w:pPr>
      <w:r>
        <w:rPr>
          <w:rFonts w:ascii="Arial" w:cs="Arial" w:eastAsia="Arial" w:hAnsi="Arial"/>
          <w:sz w:val="13"/>
          <w:szCs w:val="13"/>
          <w:b w:val="1"/>
          <w:bCs w:val="1"/>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2020</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XEROX CORPORATION</w:t>
      </w:r>
    </w:p>
    <w:p>
      <w:pPr>
        <w:ind w:left="20"/>
        <w:spacing w:after="0"/>
        <w:rPr>
          <w:sz w:val="20"/>
          <w:szCs w:val="20"/>
          <w:color w:val="auto"/>
        </w:rPr>
      </w:pPr>
      <w:r>
        <w:rPr>
          <w:rFonts w:ascii="Arial" w:cs="Arial" w:eastAsia="Arial" w:hAnsi="Arial"/>
          <w:sz w:val="16"/>
          <w:szCs w:val="16"/>
          <w:color w:val="auto"/>
        </w:rPr>
        <w:t>(Registrant)</w:t>
      </w:r>
    </w:p>
    <w:p>
      <w:pPr>
        <w:spacing w:after="0" w:line="88"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2"/>
          <w:szCs w:val="12"/>
          <w:color w:val="auto"/>
        </w:rPr>
        <w:t>S</w:t>
      </w:r>
      <w:r>
        <w:rPr>
          <w:rFonts w:ascii="Arial" w:cs="Arial" w:eastAsia="Arial" w:hAnsi="Arial"/>
          <w:sz w:val="16"/>
          <w:szCs w:val="16"/>
          <w:color w:val="auto"/>
        </w:rPr>
        <w:t>/ J</w:t>
      </w:r>
      <w:r>
        <w:rPr>
          <w:rFonts w:ascii="Arial" w:cs="Arial" w:eastAsia="Arial" w:hAnsi="Arial"/>
          <w:sz w:val="12"/>
          <w:szCs w:val="12"/>
          <w:color w:val="auto"/>
        </w:rPr>
        <w:t>OSEPH</w:t>
      </w:r>
      <w:r>
        <w:rPr>
          <w:rFonts w:ascii="Arial" w:cs="Arial" w:eastAsia="Arial" w:hAnsi="Arial"/>
          <w:sz w:val="16"/>
          <w:szCs w:val="16"/>
          <w:color w:val="auto"/>
        </w:rPr>
        <w:t xml:space="preserve"> H. M</w:t>
      </w:r>
      <w:r>
        <w:rPr>
          <w:rFonts w:ascii="Arial" w:cs="Arial" w:eastAsia="Arial" w:hAnsi="Arial"/>
          <w:sz w:val="12"/>
          <w:szCs w:val="12"/>
          <w:color w:val="auto"/>
        </w:rPr>
        <w:t>ANCINI</w:t>
      </w:r>
      <w:r>
        <w:rPr>
          <w:rFonts w:ascii="Arial" w:cs="Arial" w:eastAsia="Arial" w:hAnsi="Arial"/>
          <w:sz w:val="16"/>
          <w:szCs w:val="16"/>
          <w:color w:val="auto"/>
        </w:rPr>
        <w:t>, J</w:t>
      </w:r>
      <w:r>
        <w:rPr>
          <w:rFonts w:ascii="Arial" w:cs="Arial" w:eastAsia="Arial" w:hAnsi="Arial"/>
          <w:sz w:val="12"/>
          <w:szCs w:val="12"/>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11430</wp:posOffset>
            </wp:positionV>
            <wp:extent cx="23107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0765" cy="7620"/>
                    </a:xfrm>
                    <a:prstGeom prst="rect">
                      <a:avLst/>
                    </a:prstGeom>
                    <a:noFill/>
                  </pic:spPr>
                </pic:pic>
              </a:graphicData>
            </a:graphic>
          </wp:anchor>
        </w:drawing>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Joseph H. Mancini, Jr.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Vice President and</w:t>
      </w:r>
    </w:p>
    <w:p>
      <w:pPr>
        <w:ind w:left="520"/>
        <w:spacing w:after="0" w:line="227" w:lineRule="auto"/>
        <w:rPr>
          <w:sz w:val="20"/>
          <w:szCs w:val="20"/>
          <w:color w:val="auto"/>
        </w:rPr>
      </w:pPr>
      <w:r>
        <w:rPr>
          <w:rFonts w:ascii="Arial" w:cs="Arial" w:eastAsia="Arial" w:hAnsi="Arial"/>
          <w:sz w:val="13"/>
          <w:szCs w:val="13"/>
          <w:b w:val="1"/>
          <w:bCs w:val="1"/>
          <w:color w:val="auto"/>
        </w:rPr>
        <w:t>Chief Accounting Officer</w:t>
      </w:r>
    </w:p>
    <w:p>
      <w:pPr>
        <w:ind w:left="520"/>
        <w:spacing w:after="0"/>
        <w:rPr>
          <w:sz w:val="20"/>
          <w:szCs w:val="20"/>
          <w:color w:val="auto"/>
        </w:rPr>
      </w:pPr>
      <w:r>
        <w:rPr>
          <w:rFonts w:ascii="Arial" w:cs="Arial" w:eastAsia="Arial" w:hAnsi="Arial"/>
          <w:sz w:val="13"/>
          <w:szCs w:val="13"/>
          <w:b w:val="1"/>
          <w:bCs w:val="1"/>
          <w:color w:val="auto"/>
        </w:rPr>
        <w:t>(Principal Accounting Officer)</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963930</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894"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1"/>
        </w:trPr>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20" w:type="dxa"/>
            <w:vAlign w:val="bottom"/>
          </w:tcPr>
          <w:p>
            <w:pPr>
              <w:ind w:left="3360"/>
              <w:spacing w:after="0"/>
              <w:rPr>
                <w:sz w:val="20"/>
                <w:szCs w:val="20"/>
                <w:color w:val="auto"/>
              </w:rPr>
            </w:pPr>
            <w:r>
              <w:rPr>
                <w:rFonts w:ascii="Arial" w:cs="Arial" w:eastAsia="Arial" w:hAnsi="Arial"/>
                <w:sz w:val="17"/>
                <w:szCs w:val="17"/>
                <w:b w:val="1"/>
                <w:bCs w:val="1"/>
                <w:color w:val="auto"/>
              </w:rPr>
              <w:t>EXHIBIT INDEX</w:t>
            </w:r>
          </w:p>
        </w:tc>
      </w:tr>
      <w:tr>
        <w:trPr>
          <w:trHeight w:val="509"/>
        </w:trPr>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No.</w:t>
            </w:r>
          </w:p>
        </w:tc>
        <w:tc>
          <w:tcPr>
            <w:tcW w:w="962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210"/>
        </w:trPr>
        <w:tc>
          <w:tcPr>
            <w:tcW w:w="1480" w:type="dxa"/>
            <w:vAlign w:val="bottom"/>
            <w:tcBorders>
              <w:top w:val="single" w:sz="8" w:color="auto"/>
            </w:tcBorders>
          </w:tcPr>
          <w:p>
            <w:pPr>
              <w:ind w:left="12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99.1</w:t>
              </w:r>
            </w:hyperlink>
          </w:p>
        </w:tc>
        <w:tc>
          <w:tcPr>
            <w:tcW w:w="160" w:type="dxa"/>
            <w:vAlign w:val="bottom"/>
          </w:tcPr>
          <w:p>
            <w:pPr>
              <w:spacing w:after="0"/>
              <w:rPr>
                <w:sz w:val="18"/>
                <w:szCs w:val="18"/>
                <w:color w:val="auto"/>
              </w:rPr>
            </w:pPr>
          </w:p>
        </w:tc>
        <w:tc>
          <w:tcPr>
            <w:tcW w:w="9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Registrant’s third quarter 2020 earnings press release dated October 27, 2020</w:t>
            </w:r>
          </w:p>
        </w:tc>
      </w:tr>
      <w:tr>
        <w:trPr>
          <w:trHeight w:val="224"/>
        </w:trPr>
        <w:tc>
          <w:tcPr>
            <w:tcW w:w="1480" w:type="dxa"/>
            <w:vAlign w:val="bottom"/>
          </w:tcPr>
          <w:p>
            <w:pPr>
              <w:ind w:left="100"/>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6"/>
                <w:szCs w:val="16"/>
                <w:color w:val="auto"/>
              </w:rPr>
              <w:t>Cover Page Interactive Data File - the cover page XBRL tags are embedded within the Inline XBRL document.</w:t>
            </w:r>
          </w:p>
        </w:tc>
      </w:tr>
      <w:tr>
        <w:trPr>
          <w:trHeight w:val="224"/>
        </w:trPr>
        <w:tc>
          <w:tcPr>
            <w:tcW w:w="1480" w:type="dxa"/>
            <w:vAlign w:val="bottom"/>
          </w:tcPr>
          <w:p>
            <w:pPr>
              <w:ind w:left="10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6"/>
                <w:szCs w:val="16"/>
                <w:color w:val="auto"/>
              </w:rPr>
              <w:t>The cover page from this Current Report on Form 8-K, formatted as Inline XBRL.</w:t>
            </w:r>
          </w:p>
        </w:tc>
      </w:tr>
    </w:tbl>
    <w:p>
      <w:pPr>
        <w:sectPr>
          <w:pgSz w:w="11900" w:h="16838" w:orient="portrait"/>
          <w:cols w:equalWidth="0" w:num="1">
            <w:col w:w="11260"/>
          </w:cols>
          <w:pgMar w:left="320" w:top="1107" w:right="319" w:bottom="1440" w:gutter="0" w:footer="0" w:header="0"/>
        </w:sectPr>
      </w:pPr>
    </w:p>
    <w:bookmarkStart w:id="6" w:name="page7"/>
    <w:bookmarkEnd w:id="6"/>
    <w:p>
      <w:pPr>
        <w:ind w:left="688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199390</wp:posOffset>
            </wp:positionV>
            <wp:extent cx="1057910" cy="210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7910" cy="210185"/>
                    </a:xfrm>
                    <a:prstGeom prst="rect">
                      <a:avLst/>
                    </a:prstGeom>
                    <a:noFill/>
                  </pic:spPr>
                </pic:pic>
              </a:graphicData>
            </a:graphic>
          </wp:anchor>
        </w:drawing>
      </w:r>
    </w:p>
    <w:p>
      <w:pPr>
        <w:spacing w:after="0" w:line="340" w:lineRule="exact"/>
        <w:rPr>
          <w:sz w:val="20"/>
          <w:szCs w:val="20"/>
          <w:color w:val="auto"/>
        </w:rPr>
      </w:pPr>
    </w:p>
    <w:p>
      <w:pPr>
        <w:ind w:left="80"/>
        <w:spacing w:after="0"/>
        <w:rPr>
          <w:sz w:val="20"/>
          <w:szCs w:val="20"/>
          <w:color w:val="auto"/>
        </w:rPr>
      </w:pPr>
      <w:r>
        <w:rPr>
          <w:rFonts w:ascii="Arial" w:cs="Arial" w:eastAsia="Arial" w:hAnsi="Arial"/>
          <w:sz w:val="28"/>
          <w:szCs w:val="28"/>
          <w:color w:val="auto"/>
        </w:rPr>
        <w:t>News from Xerox Holdings Corporatio</w:t>
      </w:r>
      <w:r>
        <w:rPr>
          <w:rFonts w:ascii="Arial" w:cs="Arial" w:eastAsia="Arial" w:hAnsi="Arial"/>
          <w:sz w:val="31"/>
          <w:szCs w:val="31"/>
          <w:color w:val="auto"/>
        </w:rPr>
        <w:t>n</w:t>
      </w: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3"/>
          <w:szCs w:val="13"/>
          <w:color w:val="909295"/>
        </w:rPr>
        <w:t>Xerox Holdings Corporation</w:t>
      </w:r>
    </w:p>
    <w:p>
      <w:pPr>
        <w:jc w:val="right"/>
        <w:spacing w:after="0" w:line="227" w:lineRule="auto"/>
        <w:rPr>
          <w:sz w:val="20"/>
          <w:szCs w:val="20"/>
          <w:color w:val="auto"/>
        </w:rPr>
      </w:pPr>
      <w:r>
        <w:rPr>
          <w:rFonts w:ascii="Arial" w:cs="Arial" w:eastAsia="Arial" w:hAnsi="Arial"/>
          <w:sz w:val="13"/>
          <w:szCs w:val="13"/>
          <w:color w:val="909295"/>
        </w:rPr>
        <w:t>201</w:t>
      </w:r>
    </w:p>
    <w:p>
      <w:pPr>
        <w:ind w:left="8880"/>
        <w:spacing w:after="0" w:line="228" w:lineRule="auto"/>
        <w:rPr>
          <w:sz w:val="20"/>
          <w:szCs w:val="20"/>
          <w:color w:val="auto"/>
        </w:rPr>
      </w:pPr>
      <w:r>
        <w:rPr>
          <w:rFonts w:ascii="Arial" w:cs="Arial" w:eastAsia="Arial" w:hAnsi="Arial"/>
          <w:sz w:val="13"/>
          <w:szCs w:val="13"/>
          <w:color w:val="909295"/>
        </w:rPr>
        <w:t>Merritt 7</w:t>
      </w:r>
    </w:p>
    <w:p>
      <w:pPr>
        <w:ind w:left="7260"/>
        <w:spacing w:after="0" w:line="227" w:lineRule="auto"/>
        <w:rPr>
          <w:sz w:val="20"/>
          <w:szCs w:val="20"/>
          <w:color w:val="auto"/>
        </w:rPr>
      </w:pPr>
      <w:r>
        <w:rPr>
          <w:rFonts w:ascii="Arial" w:cs="Arial" w:eastAsia="Arial" w:hAnsi="Arial"/>
          <w:sz w:val="13"/>
          <w:szCs w:val="13"/>
          <w:color w:val="909295"/>
        </w:rPr>
        <w:t>Norwalk, CT 06851-1056</w:t>
      </w:r>
    </w:p>
    <w:p>
      <w:pPr>
        <w:ind w:left="7200"/>
        <w:spacing w:after="0" w:line="231" w:lineRule="auto"/>
        <w:rPr>
          <w:sz w:val="20"/>
          <w:szCs w:val="20"/>
          <w:color w:val="auto"/>
        </w:rPr>
      </w:pPr>
      <w:r>
        <w:rPr>
          <w:rFonts w:ascii="Arial" w:cs="Arial" w:eastAsia="Arial" w:hAnsi="Arial"/>
          <w:sz w:val="13"/>
          <w:szCs w:val="13"/>
          <w:color w:val="909295"/>
        </w:rPr>
        <w:t>tel+1-203-968-3000</w:t>
      </w:r>
    </w:p>
    <w:p>
      <w:pPr>
        <w:ind w:left="80"/>
        <w:spacing w:after="0"/>
        <w:rPr>
          <w:sz w:val="20"/>
          <w:szCs w:val="20"/>
          <w:color w:val="auto"/>
        </w:rPr>
      </w:pPr>
      <w:r>
        <w:rPr>
          <w:rFonts w:ascii="Arial" w:cs="Arial" w:eastAsia="Arial" w:hAnsi="Arial"/>
          <w:sz w:val="23"/>
          <w:szCs w:val="23"/>
          <w:color w:val="auto"/>
        </w:rPr>
        <w:t>Xerox Releases Third-Quarter Results</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7"/>
          <w:szCs w:val="17"/>
          <w:color w:val="auto"/>
        </w:rPr>
        <w:t>Financial Results</w:t>
      </w:r>
    </w:p>
    <w:p>
      <w:pPr>
        <w:spacing w:after="0" w:line="218" w:lineRule="exact"/>
        <w:rPr>
          <w:sz w:val="20"/>
          <w:szCs w:val="20"/>
          <w:color w:val="auto"/>
        </w:rPr>
      </w:pPr>
    </w:p>
    <w:p>
      <w:pPr>
        <w:ind w:left="640" w:right="80" w:hanging="282"/>
        <w:spacing w:after="0"/>
        <w:tabs>
          <w:tab w:leader="none" w:pos="630" w:val="left"/>
        </w:tabs>
        <w:numPr>
          <w:ilvl w:val="0"/>
          <w:numId w:val="2"/>
        </w:numPr>
        <w:rPr>
          <w:rFonts w:ascii="Arial" w:cs="Arial" w:eastAsia="Arial" w:hAnsi="Arial"/>
          <w:sz w:val="17"/>
          <w:szCs w:val="17"/>
          <w:color w:val="auto"/>
        </w:rPr>
      </w:pPr>
      <w:r>
        <w:rPr>
          <w:rFonts w:ascii="Arial" w:cs="Arial" w:eastAsia="Arial" w:hAnsi="Arial"/>
          <w:sz w:val="17"/>
          <w:szCs w:val="17"/>
          <w:color w:val="auto"/>
        </w:rPr>
        <w:t>$106 million of operating cash flow from continuing operations, down $242 million year-over-year and up $72 million from the second quarter</w:t>
      </w:r>
    </w:p>
    <w:p>
      <w:pPr>
        <w:spacing w:after="0" w:line="182" w:lineRule="exact"/>
        <w:rPr>
          <w:rFonts w:ascii="Arial" w:cs="Arial" w:eastAsia="Arial" w:hAnsi="Arial"/>
          <w:sz w:val="17"/>
          <w:szCs w:val="17"/>
          <w:color w:val="auto"/>
        </w:rPr>
      </w:pPr>
    </w:p>
    <w:p>
      <w:pPr>
        <w:ind w:left="640" w:hanging="282"/>
        <w:spacing w:after="0" w:line="232"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$88 million of free cash flow, down $243 million year-over-year and up $73 million from the second quarter</w:t>
      </w:r>
    </w:p>
    <w:p>
      <w:pPr>
        <w:ind w:left="640" w:hanging="282"/>
        <w:spacing w:after="0" w:line="232"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operating margin of 7.4 percent, down 460 basis points year-over-year and up 320 basis points from the second quarter</w:t>
      </w:r>
    </w:p>
    <w:p>
      <w:pPr>
        <w:ind w:left="640" w:right="100" w:hanging="282"/>
        <w:spacing w:after="0"/>
        <w:tabs>
          <w:tab w:leader="none" w:pos="630" w:val="left"/>
        </w:tabs>
        <w:numPr>
          <w:ilvl w:val="0"/>
          <w:numId w:val="2"/>
        </w:numPr>
        <w:rPr>
          <w:rFonts w:ascii="Arial" w:cs="Arial" w:eastAsia="Arial" w:hAnsi="Arial"/>
          <w:sz w:val="17"/>
          <w:szCs w:val="17"/>
          <w:color w:val="auto"/>
        </w:rPr>
      </w:pPr>
      <w:r>
        <w:rPr>
          <w:rFonts w:ascii="Arial" w:cs="Arial" w:eastAsia="Arial" w:hAnsi="Arial"/>
          <w:sz w:val="17"/>
          <w:szCs w:val="17"/>
          <w:color w:val="auto"/>
        </w:rPr>
        <w:t>$1.77 billion of revenue, down 18.9 percent year-over-year or 19.7 percent in constant currency and up $302 million from the second quarter</w:t>
      </w:r>
    </w:p>
    <w:p>
      <w:pPr>
        <w:spacing w:after="0" w:line="182" w:lineRule="exact"/>
        <w:rPr>
          <w:rFonts w:ascii="Arial" w:cs="Arial" w:eastAsia="Arial" w:hAnsi="Arial"/>
          <w:sz w:val="17"/>
          <w:szCs w:val="17"/>
          <w:color w:val="auto"/>
        </w:rPr>
      </w:pPr>
    </w:p>
    <w:p>
      <w:pPr>
        <w:ind w:left="640" w:right="100" w:hanging="282"/>
        <w:spacing w:after="0" w:line="248" w:lineRule="auto"/>
        <w:tabs>
          <w:tab w:leader="none" w:pos="63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earnings per share (EPS) from continuing operations of $0.41 per share, down $0.27 year-over-year and up $0.30 from the second quarter, and adjusted EPS of $0.48, down $0.32 year-over-year and up $0.33 from the second quarter</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NORWALK, Conn., Oct. 27, 2020 — </w:t>
      </w:r>
      <w:r>
        <w:rPr>
          <w:rFonts w:ascii="Arial" w:cs="Arial" w:eastAsia="Arial" w:hAnsi="Arial"/>
          <w:sz w:val="17"/>
          <w:szCs w:val="17"/>
          <w:color w:val="D92231"/>
        </w:rPr>
        <w:t>Xerox Holdings Corporation</w:t>
      </w:r>
      <w:r>
        <w:rPr>
          <w:rFonts w:ascii="Arial" w:cs="Arial" w:eastAsia="Arial" w:hAnsi="Arial"/>
          <w:sz w:val="17"/>
          <w:szCs w:val="17"/>
          <w:color w:val="auto"/>
        </w:rPr>
        <w:t xml:space="preserve"> (NYSE: XRX) announced its third-quarter 2020 financial results.</w:t>
      </w:r>
    </w:p>
    <w:p>
      <w:pPr>
        <w:spacing w:after="0" w:line="206" w:lineRule="exact"/>
        <w:rPr>
          <w:sz w:val="20"/>
          <w:szCs w:val="20"/>
          <w:color w:val="auto"/>
        </w:rPr>
      </w:pPr>
    </w:p>
    <w:p>
      <w:pPr>
        <w:jc w:val="both"/>
        <w:ind w:left="80" w:right="80"/>
        <w:spacing w:after="0" w:line="238" w:lineRule="auto"/>
        <w:rPr>
          <w:sz w:val="20"/>
          <w:szCs w:val="20"/>
          <w:color w:val="auto"/>
        </w:rPr>
      </w:pPr>
      <w:r>
        <w:rPr>
          <w:rFonts w:ascii="Arial" w:cs="Arial" w:eastAsia="Arial" w:hAnsi="Arial"/>
          <w:sz w:val="17"/>
          <w:szCs w:val="17"/>
          <w:color w:val="auto"/>
        </w:rPr>
        <w:t>“The flexibility and financial discipline we have built in our company enabled us to increase earnings and cash flow sequentially. While we can’t reliably predict the ongoing economic impact of the pandemic, we are prepared to respond however events unfold and are committed to delivering positive cash flow and earnings in the fourth quarter. Investments in digital solutions and services are paying off as companies prepare for a more hybrid work experience that shifts seamlessly between the office and home,” said Xerox Vice Chairman and CEO John Visentin.</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Third-Quarter Key Financial Results - Continuing Operations</w:t>
      </w:r>
    </w:p>
    <w:p>
      <w:pPr>
        <w:spacing w:after="0" w:line="105" w:lineRule="exact"/>
        <w:rPr>
          <w:sz w:val="20"/>
          <w:szCs w:val="20"/>
          <w:color w:val="auto"/>
        </w:rPr>
      </w:pPr>
    </w:p>
    <w:tbl>
      <w:tblPr>
        <w:tblLayout w:type="fixed"/>
        <w:tblInd w:w="90" w:type="dxa"/>
        <w:tblCellMar>
          <w:top w:w="0" w:type="dxa"/>
          <w:left w:w="0" w:type="dxa"/>
          <w:bottom w:w="0" w:type="dxa"/>
          <w:right w:w="0" w:type="dxa"/>
        </w:tblCellMar>
      </w:tblPr>
      <w:tr>
        <w:trPr>
          <w:trHeight w:val="184"/>
        </w:trPr>
        <w:tc>
          <w:tcPr>
            <w:tcW w:w="4180" w:type="dxa"/>
            <w:vAlign w:val="bottom"/>
            <w:tcBorders>
              <w:top w:val="single" w:sz="8" w:color="A6A6A6"/>
              <w:left w:val="single" w:sz="8" w:color="A6A6A6"/>
              <w:right w:val="single" w:sz="8" w:color="A6A6A6"/>
            </w:tcBorders>
          </w:tcPr>
          <w:p>
            <w:pPr>
              <w:spacing w:after="0"/>
              <w:rPr>
                <w:sz w:val="16"/>
                <w:szCs w:val="16"/>
                <w:color w:val="auto"/>
              </w:rPr>
            </w:pPr>
          </w:p>
        </w:tc>
        <w:tc>
          <w:tcPr>
            <w:tcW w:w="1700" w:type="dxa"/>
            <w:vAlign w:val="bottom"/>
            <w:tcBorders>
              <w:top w:val="single" w:sz="8" w:color="A6A6A6"/>
              <w:right w:val="single" w:sz="8" w:color="A6A6A6"/>
            </w:tcBorders>
          </w:tcPr>
          <w:p>
            <w:pPr>
              <w:spacing w:after="0"/>
              <w:rPr>
                <w:sz w:val="16"/>
                <w:szCs w:val="16"/>
                <w:color w:val="auto"/>
              </w:rPr>
            </w:pPr>
          </w:p>
        </w:tc>
        <w:tc>
          <w:tcPr>
            <w:tcW w:w="1720" w:type="dxa"/>
            <w:vAlign w:val="bottom"/>
            <w:tcBorders>
              <w:top w:val="single" w:sz="8" w:color="A6A6A6"/>
              <w:right w:val="single" w:sz="8" w:color="A6A6A6"/>
            </w:tcBorders>
          </w:tcPr>
          <w:p>
            <w:pPr>
              <w:spacing w:after="0"/>
              <w:rPr>
                <w:sz w:val="16"/>
                <w:szCs w:val="16"/>
                <w:color w:val="auto"/>
              </w:rPr>
            </w:pPr>
          </w:p>
        </w:tc>
        <w:tc>
          <w:tcPr>
            <w:tcW w:w="172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D92130"/>
                <w:w w:val="98"/>
              </w:rPr>
              <w:t>B/(W)</w:t>
            </w:r>
          </w:p>
        </w:tc>
        <w:tc>
          <w:tcPr>
            <w:tcW w:w="170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D92130"/>
              </w:rPr>
              <w:t>% Change</w:t>
            </w:r>
          </w:p>
        </w:tc>
      </w:tr>
      <w:tr>
        <w:trPr>
          <w:trHeight w:val="197"/>
        </w:trPr>
        <w:tc>
          <w:tcPr>
            <w:tcW w:w="4180" w:type="dxa"/>
            <w:vAlign w:val="bottom"/>
            <w:tcBorders>
              <w:left w:val="single" w:sz="8" w:color="A6A6A6"/>
              <w:bottom w:val="single" w:sz="8" w:color="A6A6A6"/>
              <w:right w:val="single" w:sz="8" w:color="A6A6A6"/>
            </w:tcBorders>
          </w:tcPr>
          <w:p>
            <w:pPr>
              <w:ind w:left="20"/>
              <w:spacing w:after="0"/>
              <w:rPr>
                <w:sz w:val="20"/>
                <w:szCs w:val="20"/>
                <w:color w:val="auto"/>
              </w:rPr>
            </w:pPr>
            <w:r>
              <w:rPr>
                <w:rFonts w:ascii="Arial" w:cs="Arial" w:eastAsia="Arial" w:hAnsi="Arial"/>
                <w:sz w:val="14"/>
                <w:szCs w:val="14"/>
                <w:b w:val="1"/>
                <w:bCs w:val="1"/>
                <w:color w:val="D92130"/>
              </w:rPr>
              <w:t>(in millions, except per share data)</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D92130"/>
              </w:rPr>
              <w:t>Q3 2020</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D92130"/>
              </w:rPr>
              <w:t>Q3 2019</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D92130"/>
              </w:rPr>
              <w:t>YOY</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D92130"/>
              </w:rPr>
              <w:t>YOY</w:t>
            </w:r>
          </w:p>
        </w:tc>
      </w:tr>
      <w:tr>
        <w:trPr>
          <w:trHeight w:val="213"/>
        </w:trPr>
        <w:tc>
          <w:tcPr>
            <w:tcW w:w="4180" w:type="dxa"/>
            <w:vAlign w:val="bottom"/>
            <w:tcBorders>
              <w:left w:val="single" w:sz="8" w:color="A6A6A6"/>
              <w:bottom w:val="single" w:sz="8" w:color="A6A6A6"/>
              <w:right w:val="single" w:sz="8" w:color="A6A6A6"/>
            </w:tcBorders>
          </w:tcPr>
          <w:p>
            <w:pPr>
              <w:ind w:left="20"/>
              <w:spacing w:after="0"/>
              <w:rPr>
                <w:sz w:val="20"/>
                <w:szCs w:val="20"/>
                <w:color w:val="auto"/>
              </w:rPr>
            </w:pPr>
            <w:r>
              <w:rPr>
                <w:rFonts w:ascii="Arial" w:cs="Arial" w:eastAsia="Arial" w:hAnsi="Arial"/>
                <w:sz w:val="14"/>
                <w:szCs w:val="14"/>
                <w:b w:val="1"/>
                <w:bCs w:val="1"/>
                <w:color w:val="auto"/>
              </w:rPr>
              <w:t>Revenue</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rPr>
              <w:t>$1,767</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7"/>
              </w:rPr>
              <w:t>$2,179</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8"/>
              </w:rPr>
              <w:t>$(412)</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rPr>
              <w:t>(18.9)% AC (19.7)% CC</w:t>
            </w:r>
            <w:r>
              <w:rPr>
                <w:rFonts w:ascii="Arial" w:cs="Arial" w:eastAsia="Arial" w:hAnsi="Arial"/>
                <w:sz w:val="18"/>
                <w:szCs w:val="18"/>
                <w:b w:val="1"/>
                <w:bCs w:val="1"/>
                <w:color w:val="auto"/>
                <w:vertAlign w:val="superscript"/>
              </w:rPr>
              <w:t>1</w:t>
            </w:r>
          </w:p>
        </w:tc>
      </w:tr>
      <w:tr>
        <w:trPr>
          <w:trHeight w:val="196"/>
        </w:trPr>
        <w:tc>
          <w:tcPr>
            <w:tcW w:w="4180" w:type="dxa"/>
            <w:vAlign w:val="bottom"/>
            <w:tcBorders>
              <w:left w:val="single" w:sz="8" w:color="A6A6A6"/>
              <w:bottom w:val="single" w:sz="8" w:color="A6A6A6"/>
              <w:right w:val="single" w:sz="8" w:color="A6A6A6"/>
            </w:tcBorders>
            <w:shd w:val="clear" w:color="auto" w:fill="E5E5E5"/>
          </w:tcPr>
          <w:p>
            <w:pPr>
              <w:ind w:left="300"/>
              <w:spacing w:after="0"/>
              <w:rPr>
                <w:sz w:val="20"/>
                <w:szCs w:val="20"/>
                <w:color w:val="auto"/>
              </w:rPr>
            </w:pPr>
            <w:r>
              <w:rPr>
                <w:rFonts w:ascii="Arial" w:cs="Arial" w:eastAsia="Arial" w:hAnsi="Arial"/>
                <w:sz w:val="14"/>
                <w:szCs w:val="14"/>
                <w:color w:val="auto"/>
              </w:rPr>
              <w:t>Gross Margin</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36.8%</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40.0%</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(320) bps</w:t>
            </w:r>
          </w:p>
        </w:tc>
        <w:tc>
          <w:tcPr>
            <w:tcW w:w="1700" w:type="dxa"/>
            <w:vAlign w:val="bottom"/>
            <w:tcBorders>
              <w:bottom w:val="single" w:sz="8" w:color="A6A6A6"/>
              <w:right w:val="single" w:sz="8" w:color="A6A6A6"/>
            </w:tcBorders>
            <w:shd w:val="clear" w:color="auto" w:fill="E5E5E5"/>
          </w:tcPr>
          <w:p>
            <w:pPr>
              <w:spacing w:after="0"/>
              <w:rPr>
                <w:sz w:val="17"/>
                <w:szCs w:val="17"/>
                <w:color w:val="auto"/>
              </w:rPr>
            </w:pPr>
          </w:p>
        </w:tc>
      </w:tr>
      <w:tr>
        <w:trPr>
          <w:trHeight w:val="204"/>
        </w:trPr>
        <w:tc>
          <w:tcPr>
            <w:tcW w:w="4180" w:type="dxa"/>
            <w:vAlign w:val="bottom"/>
            <w:tcBorders>
              <w:left w:val="single" w:sz="8" w:color="A6A6A6"/>
              <w:bottom w:val="single" w:sz="8" w:color="A6A6A6"/>
              <w:right w:val="single" w:sz="8" w:color="A6A6A6"/>
            </w:tcBorders>
          </w:tcPr>
          <w:p>
            <w:pPr>
              <w:ind w:left="300"/>
              <w:spacing w:after="0"/>
              <w:rPr>
                <w:sz w:val="20"/>
                <w:szCs w:val="20"/>
                <w:color w:val="auto"/>
              </w:rPr>
            </w:pPr>
            <w:r>
              <w:rPr>
                <w:rFonts w:ascii="Arial" w:cs="Arial" w:eastAsia="Arial" w:hAnsi="Arial"/>
                <w:sz w:val="14"/>
                <w:szCs w:val="14"/>
                <w:color w:val="auto"/>
              </w:rPr>
              <w:t>RD&amp;E %</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color w:val="auto"/>
              </w:rPr>
              <w:t>4.3%</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color w:val="auto"/>
              </w:rPr>
              <w:t>30 bps</w:t>
            </w:r>
          </w:p>
        </w:tc>
        <w:tc>
          <w:tcPr>
            <w:tcW w:w="1700" w:type="dxa"/>
            <w:vAlign w:val="bottom"/>
            <w:tcBorders>
              <w:bottom w:val="single" w:sz="8" w:color="A6A6A6"/>
              <w:right w:val="single" w:sz="8" w:color="A6A6A6"/>
            </w:tcBorders>
          </w:tcPr>
          <w:p>
            <w:pPr>
              <w:spacing w:after="0"/>
              <w:rPr>
                <w:sz w:val="17"/>
                <w:szCs w:val="17"/>
                <w:color w:val="auto"/>
              </w:rPr>
            </w:pPr>
          </w:p>
        </w:tc>
      </w:tr>
      <w:tr>
        <w:trPr>
          <w:trHeight w:val="204"/>
        </w:trPr>
        <w:tc>
          <w:tcPr>
            <w:tcW w:w="4180" w:type="dxa"/>
            <w:vAlign w:val="bottom"/>
            <w:tcBorders>
              <w:left w:val="single" w:sz="8" w:color="A6A6A6"/>
              <w:bottom w:val="single" w:sz="8" w:color="A6A6A6"/>
              <w:right w:val="single" w:sz="8" w:color="A6A6A6"/>
            </w:tcBorders>
            <w:shd w:val="clear" w:color="auto" w:fill="E5E5E5"/>
          </w:tcPr>
          <w:p>
            <w:pPr>
              <w:ind w:left="300"/>
              <w:spacing w:after="0"/>
              <w:rPr>
                <w:sz w:val="20"/>
                <w:szCs w:val="20"/>
                <w:color w:val="auto"/>
              </w:rPr>
            </w:pPr>
            <w:r>
              <w:rPr>
                <w:rFonts w:ascii="Arial" w:cs="Arial" w:eastAsia="Arial" w:hAnsi="Arial"/>
                <w:sz w:val="14"/>
                <w:szCs w:val="14"/>
                <w:color w:val="auto"/>
              </w:rPr>
              <w:t>SAG %</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25.1%</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23.4%</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(170) bps</w:t>
            </w:r>
          </w:p>
        </w:tc>
        <w:tc>
          <w:tcPr>
            <w:tcW w:w="1700" w:type="dxa"/>
            <w:vAlign w:val="bottom"/>
            <w:tcBorders>
              <w:bottom w:val="single" w:sz="8" w:color="A6A6A6"/>
              <w:right w:val="single" w:sz="8" w:color="A6A6A6"/>
            </w:tcBorders>
            <w:shd w:val="clear" w:color="auto" w:fill="E5E5E5"/>
          </w:tcPr>
          <w:p>
            <w:pPr>
              <w:spacing w:after="0"/>
              <w:rPr>
                <w:sz w:val="17"/>
                <w:szCs w:val="17"/>
                <w:color w:val="auto"/>
              </w:rPr>
            </w:pPr>
          </w:p>
        </w:tc>
      </w:tr>
      <w:tr>
        <w:trPr>
          <w:trHeight w:val="204"/>
        </w:trPr>
        <w:tc>
          <w:tcPr>
            <w:tcW w:w="4180" w:type="dxa"/>
            <w:vAlign w:val="bottom"/>
            <w:tcBorders>
              <w:left w:val="single" w:sz="8" w:color="A6A6A6"/>
              <w:bottom w:val="single" w:sz="8" w:color="A6A6A6"/>
              <w:right w:val="single" w:sz="8" w:color="A6A6A6"/>
            </w:tcBorders>
          </w:tcPr>
          <w:p>
            <w:pPr>
              <w:ind w:left="20"/>
              <w:spacing w:after="0"/>
              <w:rPr>
                <w:sz w:val="20"/>
                <w:szCs w:val="20"/>
                <w:color w:val="auto"/>
              </w:rPr>
            </w:pPr>
            <w:r>
              <w:rPr>
                <w:rFonts w:ascii="Arial" w:cs="Arial" w:eastAsia="Arial" w:hAnsi="Arial"/>
                <w:sz w:val="14"/>
                <w:szCs w:val="14"/>
                <w:b w:val="1"/>
                <w:bCs w:val="1"/>
                <w:color w:val="auto"/>
              </w:rPr>
              <w:t>Pre-Tax Income</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rPr>
              <w:t>$119</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6"/>
              </w:rPr>
              <w:t>$223</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8"/>
              </w:rPr>
              <w:t>$(104)</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rPr>
              <w:t>(46.6)%</w:t>
            </w:r>
          </w:p>
        </w:tc>
      </w:tr>
      <w:tr>
        <w:trPr>
          <w:trHeight w:val="204"/>
        </w:trPr>
        <w:tc>
          <w:tcPr>
            <w:tcW w:w="4180" w:type="dxa"/>
            <w:vAlign w:val="bottom"/>
            <w:tcBorders>
              <w:left w:val="single" w:sz="8" w:color="A6A6A6"/>
              <w:bottom w:val="single" w:sz="8" w:color="A6A6A6"/>
              <w:right w:val="single" w:sz="8" w:color="A6A6A6"/>
            </w:tcBorders>
            <w:shd w:val="clear" w:color="auto" w:fill="E5E5E5"/>
          </w:tcPr>
          <w:p>
            <w:pPr>
              <w:ind w:left="300"/>
              <w:spacing w:after="0"/>
              <w:rPr>
                <w:sz w:val="20"/>
                <w:szCs w:val="20"/>
                <w:color w:val="auto"/>
              </w:rPr>
            </w:pPr>
            <w:r>
              <w:rPr>
                <w:rFonts w:ascii="Arial" w:cs="Arial" w:eastAsia="Arial" w:hAnsi="Arial"/>
                <w:sz w:val="14"/>
                <w:szCs w:val="14"/>
                <w:color w:val="auto"/>
              </w:rPr>
              <w:t>Pre-Tax Income Margin</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6.7%</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10.2%</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(350) bps</w:t>
            </w:r>
          </w:p>
        </w:tc>
        <w:tc>
          <w:tcPr>
            <w:tcW w:w="1700" w:type="dxa"/>
            <w:vAlign w:val="bottom"/>
            <w:tcBorders>
              <w:bottom w:val="single" w:sz="8" w:color="A6A6A6"/>
              <w:right w:val="single" w:sz="8" w:color="A6A6A6"/>
            </w:tcBorders>
            <w:shd w:val="clear" w:color="auto" w:fill="E5E5E5"/>
          </w:tcPr>
          <w:p>
            <w:pPr>
              <w:spacing w:after="0"/>
              <w:rPr>
                <w:sz w:val="17"/>
                <w:szCs w:val="17"/>
                <w:color w:val="auto"/>
              </w:rPr>
            </w:pPr>
          </w:p>
        </w:tc>
      </w:tr>
      <w:tr>
        <w:trPr>
          <w:trHeight w:val="248"/>
        </w:trPr>
        <w:tc>
          <w:tcPr>
            <w:tcW w:w="4180" w:type="dxa"/>
            <w:vAlign w:val="bottom"/>
            <w:tcBorders>
              <w:left w:val="single" w:sz="8" w:color="A6A6A6"/>
              <w:bottom w:val="single" w:sz="8" w:color="A6A6A6"/>
              <w:right w:val="single" w:sz="8" w:color="A6A6A6"/>
            </w:tcBorders>
          </w:tcPr>
          <w:p>
            <w:pPr>
              <w:ind w:left="20"/>
              <w:spacing w:after="0"/>
              <w:rPr>
                <w:sz w:val="20"/>
                <w:szCs w:val="20"/>
                <w:color w:val="auto"/>
              </w:rPr>
            </w:pPr>
            <w:r>
              <w:rPr>
                <w:rFonts w:ascii="Arial" w:cs="Arial" w:eastAsia="Arial" w:hAnsi="Arial"/>
                <w:sz w:val="14"/>
                <w:szCs w:val="14"/>
                <w:b w:val="1"/>
                <w:bCs w:val="1"/>
                <w:color w:val="auto"/>
              </w:rPr>
              <w:t>Operating Income - Adjusted</w:t>
            </w:r>
            <w:r>
              <w:rPr>
                <w:rFonts w:ascii="Arial" w:cs="Arial" w:eastAsia="Arial" w:hAnsi="Arial"/>
                <w:sz w:val="18"/>
                <w:szCs w:val="18"/>
                <w:b w:val="1"/>
                <w:bCs w:val="1"/>
                <w:color w:val="auto"/>
                <w:vertAlign w:val="superscript"/>
              </w:rPr>
              <w:t>1</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rPr>
              <w:t>$131</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6"/>
              </w:rPr>
              <w:t>$262</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8"/>
              </w:rPr>
              <w:t>$(131)</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rPr>
              <w:t>(50.0)%</w:t>
            </w:r>
          </w:p>
        </w:tc>
      </w:tr>
      <w:tr>
        <w:trPr>
          <w:trHeight w:val="240"/>
        </w:trPr>
        <w:tc>
          <w:tcPr>
            <w:tcW w:w="4180" w:type="dxa"/>
            <w:vAlign w:val="bottom"/>
            <w:tcBorders>
              <w:left w:val="single" w:sz="8" w:color="A6A6A6"/>
              <w:bottom w:val="single" w:sz="8" w:color="A6A6A6"/>
              <w:right w:val="single" w:sz="8" w:color="A6A6A6"/>
            </w:tcBorders>
            <w:shd w:val="clear" w:color="auto" w:fill="E5E5E5"/>
          </w:tcPr>
          <w:p>
            <w:pPr>
              <w:ind w:left="300"/>
              <w:spacing w:after="0"/>
              <w:rPr>
                <w:sz w:val="20"/>
                <w:szCs w:val="20"/>
                <w:color w:val="auto"/>
              </w:rPr>
            </w:pPr>
            <w:r>
              <w:rPr>
                <w:rFonts w:ascii="Arial" w:cs="Arial" w:eastAsia="Arial" w:hAnsi="Arial"/>
                <w:sz w:val="14"/>
                <w:szCs w:val="14"/>
                <w:color w:val="auto"/>
              </w:rPr>
              <w:t>Operating Margin - Adjusted</w:t>
            </w:r>
            <w:r>
              <w:rPr>
                <w:rFonts w:ascii="Arial" w:cs="Arial" w:eastAsia="Arial" w:hAnsi="Arial"/>
                <w:sz w:val="18"/>
                <w:szCs w:val="18"/>
                <w:color w:val="auto"/>
                <w:vertAlign w:val="superscript"/>
              </w:rPr>
              <w:t>1</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7.4%</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12.0%</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color w:val="auto"/>
              </w:rPr>
              <w:t>(460) bps</w:t>
            </w:r>
          </w:p>
        </w:tc>
        <w:tc>
          <w:tcPr>
            <w:tcW w:w="1700" w:type="dxa"/>
            <w:vAlign w:val="bottom"/>
            <w:tcBorders>
              <w:bottom w:val="single" w:sz="8" w:color="A6A6A6"/>
              <w:right w:val="single" w:sz="8" w:color="A6A6A6"/>
            </w:tcBorders>
            <w:shd w:val="clear" w:color="auto" w:fill="E5E5E5"/>
          </w:tcPr>
          <w:p>
            <w:pPr>
              <w:spacing w:after="0"/>
              <w:rPr>
                <w:sz w:val="20"/>
                <w:szCs w:val="20"/>
                <w:color w:val="auto"/>
              </w:rPr>
            </w:pPr>
          </w:p>
        </w:tc>
      </w:tr>
      <w:tr>
        <w:trPr>
          <w:trHeight w:val="196"/>
        </w:trPr>
        <w:tc>
          <w:tcPr>
            <w:tcW w:w="4180" w:type="dxa"/>
            <w:vAlign w:val="bottom"/>
            <w:tcBorders>
              <w:left w:val="single" w:sz="8" w:color="A6A6A6"/>
              <w:bottom w:val="single" w:sz="8" w:color="A6A6A6"/>
              <w:right w:val="single" w:sz="8" w:color="A6A6A6"/>
            </w:tcBorders>
          </w:tcPr>
          <w:p>
            <w:pPr>
              <w:ind w:left="20"/>
              <w:spacing w:after="0"/>
              <w:rPr>
                <w:sz w:val="20"/>
                <w:szCs w:val="20"/>
                <w:color w:val="auto"/>
              </w:rPr>
            </w:pPr>
            <w:r>
              <w:rPr>
                <w:rFonts w:ascii="Arial" w:cs="Arial" w:eastAsia="Arial" w:hAnsi="Arial"/>
                <w:sz w:val="14"/>
                <w:szCs w:val="14"/>
                <w:b w:val="1"/>
                <w:bCs w:val="1"/>
                <w:color w:val="auto"/>
              </w:rPr>
              <w:t>GAAP EPS</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rPr>
              <w:t>$0.41</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6"/>
              </w:rPr>
              <w:t>$0.68</w:t>
            </w:r>
          </w:p>
        </w:tc>
        <w:tc>
          <w:tcPr>
            <w:tcW w:w="172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9"/>
              </w:rPr>
              <w:t>$(0.27)</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rPr>
              <w:t>(39.7)%</w:t>
            </w:r>
          </w:p>
        </w:tc>
      </w:tr>
      <w:tr>
        <w:trPr>
          <w:trHeight w:val="248"/>
        </w:trPr>
        <w:tc>
          <w:tcPr>
            <w:tcW w:w="4180" w:type="dxa"/>
            <w:vAlign w:val="bottom"/>
            <w:tcBorders>
              <w:left w:val="single" w:sz="8" w:color="A6A6A6"/>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EPS - Adjusted</w:t>
            </w:r>
            <w:r>
              <w:rPr>
                <w:rFonts w:ascii="Arial" w:cs="Arial" w:eastAsia="Arial" w:hAnsi="Arial"/>
                <w:sz w:val="18"/>
                <w:szCs w:val="18"/>
                <w:b w:val="1"/>
                <w:bCs w:val="1"/>
                <w:color w:val="auto"/>
                <w:vertAlign w:val="superscript"/>
              </w:rPr>
              <w:t>1</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$0.48</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6"/>
              </w:rPr>
              <w:t>$0.80</w:t>
            </w:r>
          </w:p>
        </w:tc>
        <w:tc>
          <w:tcPr>
            <w:tcW w:w="172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b w:val="1"/>
                <w:bCs w:val="1"/>
                <w:color w:val="auto"/>
                <w:w w:val="99"/>
              </w:rPr>
              <w:t>$(0.32)</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(40.0)%</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Highlights</w:t>
      </w:r>
    </w:p>
    <w:p>
      <w:pPr>
        <w:spacing w:after="0" w:line="16" w:lineRule="exact"/>
        <w:rPr>
          <w:sz w:val="20"/>
          <w:szCs w:val="20"/>
          <w:color w:val="auto"/>
        </w:rPr>
      </w:pPr>
    </w:p>
    <w:p>
      <w:pPr>
        <w:jc w:val="both"/>
        <w:ind w:left="640" w:right="100" w:hanging="282"/>
        <w:spacing w:after="0"/>
        <w:tabs>
          <w:tab w:leader="none" w:pos="636" w:val="left"/>
        </w:tabs>
        <w:numPr>
          <w:ilvl w:val="0"/>
          <w:numId w:val="3"/>
        </w:numPr>
        <w:rPr>
          <w:rFonts w:ascii="Arial" w:cs="Arial" w:eastAsia="Arial" w:hAnsi="Arial"/>
          <w:sz w:val="16"/>
          <w:szCs w:val="16"/>
          <w:color w:val="auto"/>
        </w:rPr>
      </w:pPr>
      <w:r>
        <w:rPr>
          <w:rFonts w:ascii="Arial" w:cs="Arial" w:eastAsia="Arial" w:hAnsi="Arial"/>
          <w:sz w:val="17"/>
          <w:szCs w:val="17"/>
          <w:color w:val="auto"/>
        </w:rPr>
        <w:t>Added or renewed contracts with Fortune 500 and public sector clients such as Aflac, Bell Canada, Mizuho Bank, the State of Illinois, the Texas Health and Human Services Commission, Purolator, the Union of Public Purchasing Groups in France and the Government of Bangladesh</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835" w:right="239" w:bottom="1440" w:gutter="0" w:footer="0" w:header="0"/>
        </w:sectPr>
      </w:pPr>
    </w:p>
    <w:bookmarkStart w:id="7" w:name="page8"/>
    <w:bookmarkEnd w:id="7"/>
    <w:p>
      <w:pPr>
        <w:jc w:val="both"/>
        <w:ind w:left="560" w:hanging="282"/>
        <w:spacing w:after="0" w:line="204"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7"/>
          <w:szCs w:val="17"/>
          <w:color w:val="auto"/>
        </w:rPr>
        <w:t>Grew market share in production in the region Xerox serves and grew share in entry segments in both the Americas and EMEA. Maintained the top market share position in production in the Americas and EMEA, and maintained overall market share leadership for equipment sales revenue in the Americas, according to the most recent IDC data.</w:t>
      </w:r>
      <w:r>
        <w:rPr>
          <w:rFonts w:ascii="Arial" w:cs="Arial" w:eastAsia="Arial" w:hAnsi="Arial"/>
          <w:sz w:val="24"/>
          <w:szCs w:val="24"/>
          <w:color w:val="auto"/>
          <w:vertAlign w:val="superscript"/>
        </w:rPr>
        <w:t>2</w:t>
      </w:r>
    </w:p>
    <w:p>
      <w:pPr>
        <w:ind w:left="560" w:right="20" w:hanging="282"/>
        <w:spacing w:after="0" w:line="232"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7"/>
          <w:szCs w:val="17"/>
          <w:color w:val="auto"/>
        </w:rPr>
        <w:t>Awarded a contract from the Defense Advanced Research Projects Agency to develop the next phase of the Ocean of Things, its project to expand what scientists know about the seas</w:t>
      </w:r>
    </w:p>
    <w:p>
      <w:pPr>
        <w:jc w:val="both"/>
        <w:ind w:left="560" w:right="20" w:hanging="282"/>
        <w:spacing w:after="0"/>
        <w:tabs>
          <w:tab w:leader="none" w:pos="556" w:val="left"/>
        </w:tabs>
        <w:numPr>
          <w:ilvl w:val="0"/>
          <w:numId w:val="4"/>
        </w:numPr>
        <w:rPr>
          <w:rFonts w:ascii="Arial" w:cs="Arial" w:eastAsia="Arial" w:hAnsi="Arial"/>
          <w:sz w:val="16"/>
          <w:szCs w:val="16"/>
          <w:color w:val="auto"/>
        </w:rPr>
      </w:pPr>
      <w:r>
        <w:rPr>
          <w:rFonts w:ascii="Arial" w:cs="Arial" w:eastAsia="Arial" w:hAnsi="Arial"/>
          <w:sz w:val="17"/>
          <w:szCs w:val="17"/>
          <w:color w:val="auto"/>
        </w:rPr>
        <w:t>Expanded the company’s software portfolio with the launch of DocuShare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Go, a cloud-based, SaaS content management platform focused on the small and medium-sized business that automates how users organize, share, collaborate and back up business-critical content</w:t>
      </w:r>
    </w:p>
    <w:p>
      <w:pPr>
        <w:spacing w:after="0" w:line="95" w:lineRule="exact"/>
        <w:rPr>
          <w:rFonts w:ascii="Arial" w:cs="Arial" w:eastAsia="Arial" w:hAnsi="Arial"/>
          <w:sz w:val="16"/>
          <w:szCs w:val="16"/>
          <w:color w:val="auto"/>
        </w:rPr>
      </w:pPr>
    </w:p>
    <w:p>
      <w:pPr>
        <w:ind w:left="560" w:right="20" w:hanging="282"/>
        <w:spacing w:after="0" w:line="232"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7"/>
          <w:szCs w:val="17"/>
          <w:color w:val="auto"/>
        </w:rPr>
        <w:t>Honored with several industry awards including "Best Innovation Project of the Year" by Health Tech Digital and named one of the “World's Most Sustainably Managed Companies” by The Wall Street Journal</w:t>
      </w:r>
    </w:p>
    <w:p>
      <w:pPr>
        <w:jc w:val="both"/>
        <w:ind w:left="560" w:right="20" w:hanging="282"/>
        <w:spacing w:after="0" w:line="247"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7"/>
          <w:szCs w:val="17"/>
          <w:color w:val="auto"/>
        </w:rPr>
        <w:t xml:space="preserve">Established a new diversity, inclusion and belonging roadmap, focusing on areas where Xerox can make the biggest impact within the company and society, including a partnership with </w:t>
      </w:r>
      <w:r>
        <w:rPr>
          <w:rFonts w:ascii="Arial" w:cs="Arial" w:eastAsia="Arial" w:hAnsi="Arial"/>
          <w:sz w:val="17"/>
          <w:szCs w:val="17"/>
          <w:color w:val="CE343A"/>
        </w:rPr>
        <w:t>A</w:t>
      </w:r>
      <w:r>
        <w:rPr>
          <w:rFonts w:ascii="Arial" w:cs="Arial" w:eastAsia="Arial" w:hAnsi="Arial"/>
          <w:sz w:val="17"/>
          <w:szCs w:val="17"/>
          <w:color w:val="auto"/>
        </w:rPr>
        <w:t xml:space="preserve"> </w:t>
      </w:r>
      <w:r>
        <w:rPr>
          <w:rFonts w:ascii="Arial" w:cs="Arial" w:eastAsia="Arial" w:hAnsi="Arial"/>
          <w:sz w:val="18"/>
          <w:szCs w:val="18"/>
          <w:color w:val="CE343A"/>
        </w:rPr>
        <w:t>Better</w:t>
      </w:r>
      <w:r>
        <w:rPr>
          <w:rFonts w:ascii="Arial" w:cs="Arial" w:eastAsia="Arial" w:hAnsi="Arial"/>
          <w:sz w:val="17"/>
          <w:szCs w:val="17"/>
          <w:color w:val="auto"/>
        </w:rPr>
        <w:t xml:space="preserve"> </w:t>
      </w:r>
      <w:r>
        <w:rPr>
          <w:rFonts w:ascii="Arial" w:cs="Arial" w:eastAsia="Arial" w:hAnsi="Arial"/>
          <w:sz w:val="17"/>
          <w:szCs w:val="17"/>
          <w:color w:val="CE343A"/>
        </w:rPr>
        <w:t>Chance</w:t>
      </w:r>
      <w:r>
        <w:rPr>
          <w:rFonts w:ascii="Arial" w:cs="Arial" w:eastAsia="Arial" w:hAnsi="Arial"/>
          <w:sz w:val="17"/>
          <w:szCs w:val="17"/>
          <w:color w:val="auto"/>
        </w:rPr>
        <w:t>, a nonprofit dedicated to increasing education, access and opportunity for young people of color</w:t>
      </w:r>
    </w:p>
    <w:p>
      <w:pPr>
        <w:spacing w:after="0" w:line="178" w:lineRule="exact"/>
        <w:rPr>
          <w:sz w:val="20"/>
          <w:szCs w:val="20"/>
          <w:color w:val="auto"/>
        </w:rPr>
      </w:pPr>
    </w:p>
    <w:p>
      <w:pPr>
        <w:ind w:left="560" w:hanging="282"/>
        <w:spacing w:after="0"/>
        <w:tabs>
          <w:tab w:leader="none" w:pos="560" w:val="left"/>
        </w:tabs>
        <w:numPr>
          <w:ilvl w:val="0"/>
          <w:numId w:val="5"/>
        </w:numPr>
        <w:rPr>
          <w:rFonts w:ascii="Arial" w:cs="Arial" w:eastAsia="Arial" w:hAnsi="Arial"/>
          <w:sz w:val="11"/>
          <w:szCs w:val="11"/>
          <w:color w:val="auto"/>
        </w:rPr>
      </w:pPr>
      <w:r>
        <w:rPr>
          <w:rFonts w:ascii="Arial" w:cs="Arial" w:eastAsia="Arial" w:hAnsi="Arial"/>
          <w:sz w:val="12"/>
          <w:szCs w:val="12"/>
          <w:color w:val="auto"/>
        </w:rPr>
        <w:t>Refer to the “Non-GAAP Financial Measures” section of this release for a discussion of these non-GAAP measures and their reconciliation to the reported GAAP measures.</w:t>
      </w:r>
    </w:p>
    <w:p>
      <w:pPr>
        <w:ind w:left="560" w:hanging="282"/>
        <w:spacing w:after="0"/>
        <w:tabs>
          <w:tab w:leader="none" w:pos="560" w:val="left"/>
        </w:tabs>
        <w:numPr>
          <w:ilvl w:val="0"/>
          <w:numId w:val="5"/>
        </w:numPr>
        <w:rPr>
          <w:rFonts w:ascii="Arial" w:cs="Arial" w:eastAsia="Arial" w:hAnsi="Arial"/>
          <w:sz w:val="12"/>
          <w:szCs w:val="12"/>
          <w:color w:val="auto"/>
        </w:rPr>
      </w:pPr>
      <w:r>
        <w:rPr>
          <w:rFonts w:ascii="Arial" w:cs="Arial" w:eastAsia="Arial" w:hAnsi="Arial"/>
          <w:sz w:val="12"/>
          <w:szCs w:val="12"/>
          <w:color w:val="auto"/>
        </w:rPr>
        <w:t>Data Source: Xerox analysis of IDC WW Quarterly Hardcopy Peripherals Tracker, Q2 2020 using custom categories and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Xerox</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Xerox Holdings Corporation makes every day work better. </w:t>
      </w:r>
      <w:r>
        <w:rPr>
          <w:rFonts w:ascii="Arial" w:cs="Arial" w:eastAsia="Arial" w:hAnsi="Arial"/>
          <w:sz w:val="17"/>
          <w:szCs w:val="17"/>
          <w:color w:val="auto"/>
        </w:rPr>
        <w:t>We are a workplace technology company building and integrating software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hardware for enterprises large and small. As customers seek to manage information across digital and physical platforms, Xerox delivers a seamless, secure and sustainable experience. Whether inventing the copier, the Ethernet, the laser printer or more, Xerox has long defined the modern work experience. Learn how that innovation continues at </w:t>
      </w:r>
      <w:r>
        <w:rPr>
          <w:rFonts w:ascii="Arial" w:cs="Arial" w:eastAsia="Arial" w:hAnsi="Arial"/>
          <w:sz w:val="17"/>
          <w:szCs w:val="17"/>
          <w:color w:val="D92130"/>
        </w:rPr>
        <w:t>xerox.com</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This release refers to the following non-GAAP financial measures:</w:t>
      </w:r>
    </w:p>
    <w:p>
      <w:pPr>
        <w:spacing w:after="0" w:line="206" w:lineRule="exact"/>
        <w:rPr>
          <w:sz w:val="20"/>
          <w:szCs w:val="20"/>
          <w:color w:val="auto"/>
        </w:rPr>
      </w:pPr>
    </w:p>
    <w:p>
      <w:pPr>
        <w:ind w:left="560" w:hanging="282"/>
        <w:spacing w:after="0" w:line="232"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7"/>
          <w:szCs w:val="17"/>
          <w:color w:val="auto"/>
        </w:rPr>
        <w:t>Adjusted EPS, which excludes restructuring and related costs, the amortization of intangible assets, non-service retirement-related costs, transaction and related costs, net and other discrete adjustments from GAAP earnings per share from continuing operations.</w:t>
      </w:r>
    </w:p>
    <w:p>
      <w:pPr>
        <w:ind w:left="560" w:right="20" w:hanging="282"/>
        <w:spacing w:after="0" w:line="232"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7"/>
          <w:szCs w:val="17"/>
          <w:color w:val="auto"/>
        </w:rPr>
        <w:t>Adjusted operating income/margin, which exclude the EPS adjustments noted above as well as the remainder of other expenses, net from pre-tax income/margin.</w:t>
      </w:r>
    </w:p>
    <w:p>
      <w:pPr>
        <w:ind w:left="560" w:hanging="282"/>
        <w:spacing w:after="0" w:line="232"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7"/>
          <w:szCs w:val="17"/>
          <w:color w:val="auto"/>
        </w:rPr>
        <w:t>Constant currency (CC) revenue change, which excludes the effects of currency translation.</w:t>
      </w: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7"/>
          <w:szCs w:val="17"/>
          <w:color w:val="auto"/>
        </w:rPr>
        <w:t>Free cash flow, which is operating cash flow from continuing operations less capital expenditures.</w:t>
      </w:r>
    </w:p>
    <w:p>
      <w:pPr>
        <w:spacing w:after="0" w:line="206"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Refer to the “Non-GAAP Financial Measures” section of this release for a discussion of these non-GAAP measures and their reconciliation to the reported GAAP measures.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810" w:right="319" w:bottom="1440" w:gutter="0" w:footer="0" w:header="0"/>
        </w:sectPr>
      </w:pPr>
    </w:p>
    <w:bookmarkStart w:id="8" w:name="page9"/>
    <w:bookmarkEnd w:id="8"/>
    <w:p>
      <w:pPr>
        <w:jc w:val="both"/>
        <w:spacing w:after="0"/>
        <w:rPr>
          <w:sz w:val="20"/>
          <w:szCs w:val="20"/>
          <w:color w:val="auto"/>
        </w:rPr>
      </w:pPr>
      <w:r>
        <w:rPr>
          <w:rFonts w:ascii="Arial" w:cs="Arial" w:eastAsia="Arial" w:hAnsi="Arial"/>
          <w:sz w:val="17"/>
          <w:szCs w:val="17"/>
          <w:color w:val="auto"/>
        </w:rPr>
        <w:t>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-XXX-</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Caroline Gransee-Linsey, Xerox, +1-203-849-2359, </w:t>
      </w:r>
      <w:r>
        <w:rPr>
          <w:rFonts w:ascii="Arial" w:cs="Arial" w:eastAsia="Arial" w:hAnsi="Arial"/>
          <w:sz w:val="17"/>
          <w:szCs w:val="17"/>
          <w:color w:val="D92231"/>
        </w:rPr>
        <w:t>Caroline.Gransee-Linsey@xerox.com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Ann Pettrone, Xerox, +1-203-849-2590, </w:t>
      </w:r>
      <w:r>
        <w:rPr>
          <w:rFonts w:ascii="Arial" w:cs="Arial" w:eastAsia="Arial" w:hAnsi="Arial"/>
          <w:sz w:val="17"/>
          <w:szCs w:val="17"/>
          <w:color w:val="D92130"/>
        </w:rPr>
        <w:t>Ann.Pettrone@xerox.com</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To receive RSS news feeds, visit</w:t>
      </w:r>
      <w:r>
        <w:rPr>
          <w:rFonts w:ascii="Arial" w:cs="Arial" w:eastAsia="Arial" w:hAnsi="Arial"/>
          <w:sz w:val="17"/>
          <w:szCs w:val="17"/>
          <w:b w:val="1"/>
          <w:bCs w:val="1"/>
          <w:color w:val="auto"/>
        </w:rPr>
        <w:t xml:space="preserve"> </w:t>
      </w:r>
      <w:r>
        <w:rPr>
          <w:rFonts w:ascii="Arial" w:cs="Arial" w:eastAsia="Arial" w:hAnsi="Arial"/>
          <w:sz w:val="17"/>
          <w:szCs w:val="17"/>
          <w:color w:val="D92130"/>
        </w:rPr>
        <w:t>https://www.news.xerox.com</w:t>
      </w:r>
      <w:r>
        <w:rPr>
          <w:rFonts w:ascii="Arial" w:cs="Arial" w:eastAsia="Arial" w:hAnsi="Arial"/>
          <w:sz w:val="17"/>
          <w:szCs w:val="17"/>
          <w:color w:val="auto"/>
        </w:rPr>
        <w:t>. For open commentary, industry perspectives and views,</w:t>
      </w:r>
      <w:r>
        <w:rPr>
          <w:rFonts w:ascii="Arial" w:cs="Arial" w:eastAsia="Arial" w:hAnsi="Arial"/>
          <w:sz w:val="17"/>
          <w:szCs w:val="17"/>
          <w:b w:val="1"/>
          <w:bCs w:val="1"/>
          <w:color w:val="auto"/>
        </w:rPr>
        <w:t xml:space="preserve"> </w:t>
      </w:r>
      <w:r>
        <w:rPr>
          <w:rFonts w:ascii="Arial" w:cs="Arial" w:eastAsia="Arial" w:hAnsi="Arial"/>
          <w:sz w:val="18"/>
          <w:szCs w:val="18"/>
          <w:color w:val="D92130"/>
        </w:rPr>
        <w:t>visit</w:t>
      </w:r>
      <w:r>
        <w:rPr>
          <w:rFonts w:ascii="Arial" w:cs="Arial" w:eastAsia="Arial" w:hAnsi="Arial"/>
          <w:sz w:val="17"/>
          <w:szCs w:val="17"/>
          <w:b w:val="1"/>
          <w:bCs w:val="1"/>
          <w:color w:val="auto"/>
        </w:rPr>
        <w:t xml:space="preserve"> </w:t>
      </w:r>
      <w:r>
        <w:rPr>
          <w:rFonts w:ascii="Arial" w:cs="Arial" w:eastAsia="Arial" w:hAnsi="Arial"/>
          <w:sz w:val="17"/>
          <w:szCs w:val="17"/>
          <w:color w:val="D92130"/>
        </w:rPr>
        <w:t>http://twitter.com/xerox</w:t>
      </w:r>
      <w:r>
        <w:rPr>
          <w:rFonts w:ascii="Arial" w:cs="Arial" w:eastAsia="Arial" w:hAnsi="Arial"/>
          <w:sz w:val="17"/>
          <w:szCs w:val="17"/>
          <w:color w:val="000000"/>
        </w:rPr>
        <w:t>,</w:t>
      </w:r>
      <w:r>
        <w:rPr>
          <w:rFonts w:ascii="Arial" w:cs="Arial" w:eastAsia="Arial" w:hAnsi="Arial"/>
          <w:sz w:val="17"/>
          <w:szCs w:val="17"/>
          <w:color w:val="D92130"/>
        </w:rPr>
        <w:t xml:space="preserve"> http://www.facebook.com/XeroxCorp</w:t>
      </w:r>
      <w:r>
        <w:rPr>
          <w:rFonts w:ascii="Arial" w:cs="Arial" w:eastAsia="Arial" w:hAnsi="Arial"/>
          <w:sz w:val="17"/>
          <w:szCs w:val="17"/>
          <w:color w:val="000000"/>
        </w:rPr>
        <w:t>,</w:t>
      </w:r>
      <w:r>
        <w:rPr>
          <w:rFonts w:ascii="Arial" w:cs="Arial" w:eastAsia="Arial" w:hAnsi="Arial"/>
          <w:sz w:val="17"/>
          <w:szCs w:val="17"/>
          <w:color w:val="D92130"/>
        </w:rPr>
        <w:t xml:space="preserve"> https://www.instagram.com/xerox/</w:t>
      </w:r>
      <w:r>
        <w:rPr>
          <w:rFonts w:ascii="Arial" w:cs="Arial" w:eastAsia="Arial" w:hAnsi="Arial"/>
          <w:sz w:val="17"/>
          <w:szCs w:val="17"/>
          <w:color w:val="000000"/>
        </w:rPr>
        <w:t>,</w:t>
      </w:r>
      <w:r>
        <w:rPr>
          <w:rFonts w:ascii="Arial" w:cs="Arial" w:eastAsia="Arial" w:hAnsi="Arial"/>
          <w:sz w:val="17"/>
          <w:szCs w:val="17"/>
          <w:color w:val="D92130"/>
        </w:rPr>
        <w:t xml:space="preserve"> http://www.linkedin.com/company/xerox</w:t>
      </w:r>
      <w:r>
        <w:rPr>
          <w:rFonts w:ascii="Arial" w:cs="Arial" w:eastAsia="Arial" w:hAnsi="Arial"/>
          <w:sz w:val="17"/>
          <w:szCs w:val="17"/>
          <w:color w:val="000000"/>
        </w:rPr>
        <w:t>,</w:t>
      </w:r>
      <w:r>
        <w:rPr>
          <w:rFonts w:ascii="Arial" w:cs="Arial" w:eastAsia="Arial" w:hAnsi="Arial"/>
          <w:sz w:val="17"/>
          <w:szCs w:val="17"/>
          <w:color w:val="D92130"/>
        </w:rPr>
        <w:t xml:space="preserve"> </w:t>
      </w:r>
      <w:r>
        <w:rPr>
          <w:rFonts w:ascii="Arial" w:cs="Arial" w:eastAsia="Arial" w:hAnsi="Arial"/>
          <w:sz w:val="17"/>
          <w:szCs w:val="17"/>
          <w:color w:val="D92231"/>
        </w:rPr>
        <w:t>http://www.youtube.com/XeroxCorp.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Xerox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DocuShare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are trademarks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810" w:right="319" w:bottom="1440" w:gutter="0" w:footer="0" w:header="0"/>
        </w:sectPr>
      </w:pPr>
    </w:p>
    <w:bookmarkStart w:id="9" w:name="page10"/>
    <w:bookmarkEnd w:id="9"/>
    <w:p>
      <w:pPr>
        <w:ind w:left="5"/>
        <w:spacing w:after="0"/>
        <w:rPr>
          <w:sz w:val="20"/>
          <w:szCs w:val="20"/>
          <w:color w:val="auto"/>
        </w:rPr>
      </w:pPr>
      <w:r>
        <w:rPr>
          <w:rFonts w:ascii="Arial" w:cs="Arial" w:eastAsia="Arial" w:hAnsi="Arial"/>
          <w:sz w:val="16"/>
          <w:szCs w:val="16"/>
          <w:b w:val="1"/>
          <w:bCs w:val="1"/>
          <w:color w:val="DA2031"/>
        </w:rPr>
        <w:t>XEROX HOLDINGS CORPORATION</w:t>
      </w:r>
    </w:p>
    <w:p>
      <w:pPr>
        <w:spacing w:after="0" w:line="2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DA2031"/>
        </w:rPr>
        <w:t>CONDENSED CONSOLIDATED STATEMENTS OF INCOME (UNAUDITED)</w:t>
      </w:r>
    </w:p>
    <w:p>
      <w:pPr>
        <w:spacing w:after="0" w:line="133"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gridSpan w:val="3"/>
          </w:tcPr>
          <w:p>
            <w:pPr>
              <w:jc w:val="right"/>
              <w:ind w:right="377"/>
              <w:spacing w:after="0"/>
              <w:rPr>
                <w:sz w:val="20"/>
                <w:szCs w:val="20"/>
                <w:color w:val="auto"/>
              </w:rPr>
            </w:pPr>
            <w:r>
              <w:rPr>
                <w:rFonts w:ascii="Arial" w:cs="Arial" w:eastAsia="Arial" w:hAnsi="Arial"/>
                <w:sz w:val="13"/>
                <w:szCs w:val="13"/>
                <w:color w:val="auto"/>
                <w:w w:val="95"/>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617"/>
              <w:spacing w:after="0"/>
              <w:rPr>
                <w:sz w:val="20"/>
                <w:szCs w:val="20"/>
                <w:color w:val="auto"/>
              </w:rPr>
            </w:pPr>
            <w:r>
              <w:rPr>
                <w:rFonts w:ascii="Arial" w:cs="Arial" w:eastAsia="Arial" w:hAnsi="Arial"/>
                <w:sz w:val="13"/>
                <w:szCs w:val="13"/>
                <w:color w:val="auto"/>
              </w:rPr>
              <w:t>Nine Months Ended</w:t>
            </w:r>
          </w:p>
        </w:tc>
      </w:tr>
      <w:tr>
        <w:trPr>
          <w:trHeight w:val="157"/>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3"/>
                <w:szCs w:val="13"/>
                <w:color w:val="auto"/>
              </w:rPr>
              <w:t>September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September 30,</w:t>
            </w:r>
          </w:p>
        </w:tc>
        <w:tc>
          <w:tcPr>
            <w:tcW w:w="760" w:type="dxa"/>
            <w:vAlign w:val="bottom"/>
            <w:tcBorders>
              <w:bottom w:val="single" w:sz="8" w:color="auto"/>
            </w:tcBorders>
          </w:tcPr>
          <w:p>
            <w:pPr>
              <w:spacing w:after="0"/>
              <w:rPr>
                <w:sz w:val="13"/>
                <w:szCs w:val="13"/>
                <w:color w:val="auto"/>
              </w:rPr>
            </w:pPr>
          </w:p>
        </w:tc>
      </w:tr>
      <w:tr>
        <w:trPr>
          <w:trHeight w:val="181"/>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per-share data)</w:t>
            </w:r>
          </w:p>
        </w:tc>
        <w:tc>
          <w:tcPr>
            <w:tcW w:w="120" w:type="dxa"/>
            <w:vAlign w:val="bottom"/>
            <w:tcBorders>
              <w:bottom w:val="single" w:sz="8" w:color="E5E5E5"/>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2019</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E5E5E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w w:val="96"/>
              </w:rPr>
              <w:t>2019</w:t>
            </w:r>
          </w:p>
        </w:tc>
      </w:tr>
      <w:tr>
        <w:trPr>
          <w:trHeight w:val="185"/>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Revenues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Sales</w:t>
            </w: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6"/>
                <w:szCs w:val="16"/>
                <w:color w:val="auto"/>
              </w:rPr>
            </w:pPr>
          </w:p>
        </w:tc>
        <w:tc>
          <w:tcPr>
            <w:tcW w:w="960" w:type="dxa"/>
            <w:vAlign w:val="bottom"/>
          </w:tcPr>
          <w:p>
            <w:pPr>
              <w:jc w:val="right"/>
              <w:ind w:right="79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16"/>
                <w:szCs w:val="16"/>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1,676</w:t>
            </w:r>
          </w:p>
        </w:tc>
        <w:tc>
          <w:tcPr>
            <w:tcW w:w="100" w:type="dxa"/>
            <w:vAlign w:val="bottom"/>
          </w:tcPr>
          <w:p>
            <w:pPr>
              <w:spacing w:after="0"/>
              <w:rPr>
                <w:sz w:val="16"/>
                <w:szCs w:val="16"/>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2,308</w:t>
            </w: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Services, maintenance and rentals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1,061</w:t>
            </w: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1,335</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3,246</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4,130</w:t>
            </w:r>
          </w:p>
        </w:tc>
      </w:tr>
      <w:tr>
        <w:trPr>
          <w:trHeight w:val="184"/>
        </w:trPr>
        <w:tc>
          <w:tcPr>
            <w:tcW w:w="5780" w:type="dxa"/>
            <w:vAlign w:val="bottom"/>
            <w:tcBorders>
              <w:bottom w:val="single" w:sz="8" w:color="E5E5E5"/>
            </w:tcBorders>
            <w:gridSpan w:val="2"/>
          </w:tcPr>
          <w:p>
            <w:pPr>
              <w:ind w:left="280"/>
              <w:spacing w:after="0"/>
              <w:rPr>
                <w:sz w:val="20"/>
                <w:szCs w:val="20"/>
                <w:color w:val="auto"/>
              </w:rPr>
            </w:pPr>
            <w:r>
              <w:rPr>
                <w:rFonts w:ascii="Arial" w:cs="Arial" w:eastAsia="Arial" w:hAnsi="Arial"/>
                <w:sz w:val="13"/>
                <w:szCs w:val="13"/>
                <w:color w:val="auto"/>
              </w:rPr>
              <w:t>Financing</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E5E5E5"/>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184</w:t>
            </w:r>
          </w:p>
        </w:tc>
      </w:tr>
      <w:tr>
        <w:trPr>
          <w:trHeight w:val="185"/>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Total Revenues</w:t>
            </w:r>
          </w:p>
        </w:tc>
        <w:tc>
          <w:tcPr>
            <w:tcW w:w="86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1,767</w:t>
            </w:r>
          </w:p>
        </w:tc>
        <w:tc>
          <w:tcPr>
            <w:tcW w:w="100" w:type="dxa"/>
            <w:vAlign w:val="bottom"/>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2,179</w:t>
            </w:r>
          </w:p>
        </w:tc>
        <w:tc>
          <w:tcPr>
            <w:tcW w:w="100" w:type="dxa"/>
            <w:vAlign w:val="bottom"/>
            <w:shd w:val="clear" w:color="auto" w:fill="E5E5E5"/>
          </w:tcPr>
          <w:p>
            <w:pPr>
              <w:spacing w:after="0"/>
              <w:rPr>
                <w:sz w:val="16"/>
                <w:szCs w:val="16"/>
                <w:color w:val="auto"/>
              </w:rPr>
            </w:pPr>
          </w:p>
        </w:tc>
        <w:tc>
          <w:tcPr>
            <w:tcW w:w="260" w:type="dxa"/>
            <w:vAlign w:val="bottom"/>
            <w:tcBorders>
              <w:bottom w:val="single" w:sz="8" w:color="auto"/>
            </w:tcBorders>
            <w:shd w:val="clear" w:color="auto" w:fill="E5E5E5"/>
          </w:tcPr>
          <w:p>
            <w:pPr>
              <w:spacing w:after="0"/>
              <w:rPr>
                <w:sz w:val="16"/>
                <w:szCs w:val="16"/>
                <w:color w:val="auto"/>
              </w:rPr>
            </w:pPr>
          </w:p>
        </w:tc>
        <w:tc>
          <w:tcPr>
            <w:tcW w:w="8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5,092</w:t>
            </w:r>
          </w:p>
        </w:tc>
        <w:tc>
          <w:tcPr>
            <w:tcW w:w="100" w:type="dxa"/>
            <w:vAlign w:val="bottom"/>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spacing w:after="0"/>
              <w:rPr>
                <w:sz w:val="16"/>
                <w:szCs w:val="16"/>
                <w:color w:val="auto"/>
              </w:rPr>
            </w:pPr>
          </w:p>
        </w:tc>
        <w:tc>
          <w:tcPr>
            <w:tcW w:w="7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6,622</w:t>
            </w:r>
          </w:p>
        </w:tc>
      </w:tr>
      <w:tr>
        <w:trPr>
          <w:trHeight w:val="164"/>
        </w:trPr>
        <w:tc>
          <w:tcPr>
            <w:tcW w:w="578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Costs and Expenses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Cost of sales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1,201</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1,492</w:t>
            </w: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Cost of services, maintenance and rentals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1,875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2,398</w:t>
            </w: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Cost of financing</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89</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98</w:t>
            </w: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Research, development and engineering expenses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280</w:t>
            </w: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Selling, administrative and general expenses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1,411</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1,573</w:t>
            </w: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Restructuring and related costs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176</w:t>
            </w: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Amortization of intangible assets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35</w:t>
            </w: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Transaction and related costs, net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w:t>
            </w: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Other expenses, net</w:t>
            </w:r>
          </w:p>
        </w:tc>
        <w:tc>
          <w:tcPr>
            <w:tcW w:w="86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E5E5E5"/>
          </w:tcPr>
          <w:p>
            <w:pPr>
              <w:spacing w:after="0"/>
              <w:rPr>
                <w:sz w:val="16"/>
                <w:szCs w:val="16"/>
                <w:color w:val="auto"/>
              </w:rPr>
            </w:pPr>
          </w:p>
        </w:tc>
        <w:tc>
          <w:tcPr>
            <w:tcW w:w="260" w:type="dxa"/>
            <w:vAlign w:val="bottom"/>
            <w:tcBorders>
              <w:bottom w:val="single" w:sz="8" w:color="auto"/>
            </w:tcBorders>
            <w:shd w:val="clear" w:color="auto" w:fill="E5E5E5"/>
          </w:tcPr>
          <w:p>
            <w:pPr>
              <w:spacing w:after="0"/>
              <w:rPr>
                <w:sz w:val="16"/>
                <w:szCs w:val="16"/>
                <w:color w:val="auto"/>
              </w:rPr>
            </w:pPr>
          </w:p>
        </w:tc>
        <w:tc>
          <w:tcPr>
            <w:tcW w:w="8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spacing w:after="0"/>
              <w:rPr>
                <w:sz w:val="16"/>
                <w:szCs w:val="16"/>
                <w:color w:val="auto"/>
              </w:rPr>
            </w:pPr>
          </w:p>
        </w:tc>
        <w:tc>
          <w:tcPr>
            <w:tcW w:w="7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76</w:t>
            </w:r>
          </w:p>
        </w:tc>
      </w:tr>
      <w:tr>
        <w:trPr>
          <w:trHeight w:val="176"/>
        </w:trPr>
        <w:tc>
          <w:tcPr>
            <w:tcW w:w="578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b w:val="1"/>
                <w:bCs w:val="1"/>
                <w:color w:val="auto"/>
              </w:rPr>
              <w:t>Total Costs and Expenses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1,648</w:t>
            </w:r>
          </w:p>
        </w:tc>
        <w:tc>
          <w:tcPr>
            <w:tcW w:w="100" w:type="dxa"/>
            <w:vAlign w:val="bottom"/>
            <w:tcBorders>
              <w:bottom w:val="single" w:sz="8" w:color="E5E5E5"/>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1,956</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4,943</w:t>
            </w:r>
          </w:p>
        </w:tc>
        <w:tc>
          <w:tcPr>
            <w:tcW w:w="100" w:type="dxa"/>
            <w:vAlign w:val="bottom"/>
            <w:tcBorders>
              <w:bottom w:val="single" w:sz="8" w:color="E5E5E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6,136</w:t>
            </w:r>
          </w:p>
        </w:tc>
      </w:tr>
      <w:tr>
        <w:trPr>
          <w:trHeight w:val="185"/>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Income before Income Taxes &amp; Equity Income</w:t>
            </w:r>
            <w:r>
              <w:rPr>
                <w:rFonts w:ascii="Arial" w:cs="Arial" w:eastAsia="Arial" w:hAnsi="Arial"/>
                <w:sz w:val="16"/>
                <w:szCs w:val="16"/>
                <w:b w:val="1"/>
                <w:bCs w:val="1"/>
                <w:color w:val="auto"/>
                <w:vertAlign w:val="superscript"/>
              </w:rPr>
              <w:t>(1)</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486</w:t>
            </w: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Income tax expense</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106</w:t>
            </w: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Equity in net income of unconsolidated affiliates</w:t>
            </w:r>
          </w:p>
        </w:tc>
        <w:tc>
          <w:tcPr>
            <w:tcW w:w="86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w:t>
            </w:r>
          </w:p>
        </w:tc>
      </w:tr>
      <w:tr>
        <w:trPr>
          <w:trHeight w:val="176"/>
        </w:trPr>
        <w:tc>
          <w:tcPr>
            <w:tcW w:w="578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from Continuing Operations</w:t>
            </w:r>
          </w:p>
        </w:tc>
        <w:tc>
          <w:tcPr>
            <w:tcW w:w="8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385</w:t>
            </w: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Income from discontinued operations, net of tax</w:t>
            </w:r>
          </w:p>
        </w:tc>
        <w:tc>
          <w:tcPr>
            <w:tcW w:w="86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64</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157</w:t>
            </w:r>
          </w:p>
        </w:tc>
      </w:tr>
      <w:tr>
        <w:trPr>
          <w:trHeight w:val="176"/>
        </w:trPr>
        <w:tc>
          <w:tcPr>
            <w:tcW w:w="578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Income</w:t>
            </w:r>
          </w:p>
        </w:tc>
        <w:tc>
          <w:tcPr>
            <w:tcW w:w="8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542</w:t>
            </w: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Less: Income from continuing operations attributable to noncontrolling interests</w:t>
            </w:r>
          </w:p>
        </w:tc>
        <w:tc>
          <w:tcPr>
            <w:tcW w:w="86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w:t>
            </w: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Less: Income from discontinued operations attributable to noncontrolling interests</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w:t>
            </w:r>
          </w:p>
        </w:tc>
      </w:tr>
      <w:tr>
        <w:trPr>
          <w:trHeight w:val="210"/>
        </w:trPr>
        <w:tc>
          <w:tcPr>
            <w:tcW w:w="578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Net Income Attributable to Xerox Holdings</w:t>
            </w:r>
          </w:p>
        </w:tc>
        <w:tc>
          <w:tcPr>
            <w:tcW w:w="860" w:type="dxa"/>
            <w:vAlign w:val="bottom"/>
            <w:tcBorders>
              <w:top w:val="single" w:sz="8" w:color="auto"/>
              <w:bottom w:val="single" w:sz="8" w:color="auto"/>
            </w:tcBorders>
            <w:shd w:val="clear" w:color="auto" w:fill="E5E5E5"/>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960" w:type="dxa"/>
            <w:vAlign w:val="bottom"/>
            <w:tcBorders>
              <w:top w:val="single" w:sz="8" w:color="auto"/>
              <w:bottom w:val="single" w:sz="8" w:color="auto"/>
            </w:tcBorders>
            <w:shd w:val="clear" w:color="auto" w:fill="E5E5E5"/>
          </w:tcPr>
          <w:p>
            <w:pPr>
              <w:jc w:val="right"/>
              <w:ind w:right="79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221</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260" w:type="dxa"/>
            <w:vAlign w:val="bottom"/>
            <w:tcBorders>
              <w:top w:val="single" w:sz="8" w:color="auto"/>
              <w:bottom w:val="single" w:sz="8" w:color="auto"/>
            </w:tcBorders>
            <w:shd w:val="clear" w:color="auto" w:fill="E5E5E5"/>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420" w:type="dxa"/>
            <w:vAlign w:val="bottom"/>
            <w:tcBorders>
              <w:top w:val="single" w:sz="8" w:color="auto"/>
              <w:bottom w:val="single" w:sz="8" w:color="auto"/>
            </w:tcBorders>
            <w:shd w:val="clear" w:color="auto" w:fill="E5E5E5"/>
          </w:tcPr>
          <w:p>
            <w:pPr>
              <w:jc w:val="right"/>
              <w:ind w:right="2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535</w:t>
            </w:r>
          </w:p>
        </w:tc>
      </w:tr>
      <w:tr>
        <w:trPr>
          <w:trHeight w:val="20"/>
        </w:trPr>
        <w:tc>
          <w:tcPr>
            <w:tcW w:w="566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6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20" w:type="dxa"/>
            <w:vAlign w:val="bottom"/>
            <w:tcBorders>
              <w:top w:val="single" w:sz="8" w:color="E5E5E5"/>
              <w:bottom w:val="single" w:sz="8" w:color="auto"/>
            </w:tcBorders>
          </w:tcPr>
          <w:p>
            <w:pPr>
              <w:spacing w:after="0" w:line="20" w:lineRule="exact"/>
              <w:rPr>
                <w:sz w:val="1"/>
                <w:szCs w:val="1"/>
                <w:color w:val="auto"/>
              </w:rPr>
            </w:pPr>
          </w:p>
        </w:tc>
        <w:tc>
          <w:tcPr>
            <w:tcW w:w="760" w:type="dxa"/>
            <w:vAlign w:val="bottom"/>
            <w:tcBorders>
              <w:top w:val="single" w:sz="8" w:color="E5E5E5"/>
              <w:bottom w:val="single" w:sz="8" w:color="auto"/>
            </w:tcBorders>
          </w:tcPr>
          <w:p>
            <w:pPr>
              <w:spacing w:after="0" w:line="20" w:lineRule="exact"/>
              <w:rPr>
                <w:sz w:val="1"/>
                <w:szCs w:val="1"/>
                <w:color w:val="auto"/>
              </w:rPr>
            </w:pPr>
          </w:p>
        </w:tc>
      </w:tr>
      <w:tr>
        <w:trPr>
          <w:trHeight w:val="133"/>
        </w:trPr>
        <w:tc>
          <w:tcPr>
            <w:tcW w:w="5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89"/>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Amounts Attributable to Xerox Holdings: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Net income from continuing operations</w:t>
            </w: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6"/>
                <w:szCs w:val="16"/>
                <w:color w:val="auto"/>
              </w:rPr>
            </w:pPr>
          </w:p>
        </w:tc>
        <w:tc>
          <w:tcPr>
            <w:tcW w:w="960" w:type="dxa"/>
            <w:vAlign w:val="bottom"/>
          </w:tcPr>
          <w:p>
            <w:pPr>
              <w:jc w:val="right"/>
              <w:ind w:right="79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6"/>
                <w:szCs w:val="16"/>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6"/>
                <w:szCs w:val="16"/>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382</w:t>
            </w:r>
          </w:p>
        </w:tc>
      </w:tr>
      <w:tr>
        <w:trPr>
          <w:trHeight w:val="189"/>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Net income from discontinued operations</w:t>
            </w:r>
          </w:p>
        </w:tc>
        <w:tc>
          <w:tcPr>
            <w:tcW w:w="86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64</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153</w:t>
            </w:r>
          </w:p>
        </w:tc>
      </w:tr>
      <w:tr>
        <w:trPr>
          <w:trHeight w:val="185"/>
        </w:trPr>
        <w:tc>
          <w:tcPr>
            <w:tcW w:w="578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Income Attributable to Xerox Holdings</w:t>
            </w: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535</w:t>
            </w:r>
          </w:p>
        </w:tc>
      </w:tr>
      <w:tr>
        <w:trPr>
          <w:trHeight w:val="20"/>
        </w:trPr>
        <w:tc>
          <w:tcPr>
            <w:tcW w:w="566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3"/>
        </w:trPr>
        <w:tc>
          <w:tcPr>
            <w:tcW w:w="566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60" w:type="dxa"/>
            <w:vAlign w:val="bottom"/>
            <w:shd w:val="clear" w:color="auto" w:fill="E5E5E5"/>
          </w:tcPr>
          <w:p>
            <w:pPr>
              <w:spacing w:after="0"/>
              <w:rPr>
                <w:sz w:val="13"/>
                <w:szCs w:val="13"/>
                <w:color w:val="auto"/>
              </w:rPr>
            </w:pPr>
          </w:p>
        </w:tc>
        <w:tc>
          <w:tcPr>
            <w:tcW w:w="4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r>
      <w:tr>
        <w:trPr>
          <w:trHeight w:val="184"/>
        </w:trPr>
        <w:tc>
          <w:tcPr>
            <w:tcW w:w="5780" w:type="dxa"/>
            <w:vAlign w:val="bottom"/>
            <w:gridSpan w:val="2"/>
          </w:tcPr>
          <w:p>
            <w:pPr>
              <w:ind w:left="20"/>
              <w:spacing w:after="0"/>
              <w:rPr>
                <w:sz w:val="20"/>
                <w:szCs w:val="20"/>
                <w:color w:val="auto"/>
              </w:rPr>
            </w:pPr>
            <w:r>
              <w:rPr>
                <w:rFonts w:ascii="Arial" w:cs="Arial" w:eastAsia="Arial" w:hAnsi="Arial"/>
                <w:sz w:val="13"/>
                <w:szCs w:val="13"/>
                <w:b w:val="1"/>
                <w:bCs w:val="1"/>
                <w:color w:val="auto"/>
              </w:rPr>
              <w:t>Basic Earnings per Share:</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Continuing operations</w:t>
            </w:r>
          </w:p>
        </w:tc>
        <w:tc>
          <w:tcPr>
            <w:tcW w:w="860" w:type="dxa"/>
            <w:vAlign w:val="bottom"/>
            <w:shd w:val="clear" w:color="auto" w:fill="E5E5E5"/>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0.41</w:t>
            </w: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797"/>
              <w:spacing w:after="0"/>
              <w:rPr>
                <w:sz w:val="20"/>
                <w:szCs w:val="20"/>
                <w:color w:val="auto"/>
              </w:rPr>
            </w:pPr>
            <w:r>
              <w:rPr>
                <w:rFonts w:ascii="Arial" w:cs="Arial" w:eastAsia="Arial" w:hAnsi="Arial"/>
                <w:sz w:val="13"/>
                <w:szCs w:val="13"/>
                <w:color w:val="auto"/>
              </w:rPr>
              <w:t>$</w:t>
            </w: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0.70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0.49</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27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1.66</w:t>
            </w: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Discontinued operations</w:t>
            </w:r>
          </w:p>
        </w:tc>
        <w:tc>
          <w:tcPr>
            <w:tcW w:w="8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0.68</w:t>
            </w:r>
          </w:p>
        </w:tc>
      </w:tr>
      <w:tr>
        <w:trPr>
          <w:trHeight w:val="210"/>
        </w:trPr>
        <w:tc>
          <w:tcPr>
            <w:tcW w:w="578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Total Basic Earnings per Share</w:t>
            </w:r>
          </w:p>
        </w:tc>
        <w:tc>
          <w:tcPr>
            <w:tcW w:w="860" w:type="dxa"/>
            <w:vAlign w:val="bottom"/>
            <w:tcBorders>
              <w:top w:val="single" w:sz="8" w:color="auto"/>
              <w:bottom w:val="single" w:sz="8" w:color="auto"/>
            </w:tcBorders>
            <w:shd w:val="clear" w:color="auto" w:fill="E5E5E5"/>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0.41</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960" w:type="dxa"/>
            <w:vAlign w:val="bottom"/>
            <w:tcBorders>
              <w:top w:val="single" w:sz="8" w:color="auto"/>
              <w:bottom w:val="single" w:sz="8" w:color="auto"/>
            </w:tcBorders>
            <w:shd w:val="clear" w:color="auto" w:fill="E5E5E5"/>
          </w:tcPr>
          <w:p>
            <w:pPr>
              <w:jc w:val="right"/>
              <w:ind w:right="79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0.99</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260" w:type="dxa"/>
            <w:vAlign w:val="bottom"/>
            <w:tcBorders>
              <w:top w:val="single" w:sz="8" w:color="auto"/>
              <w:bottom w:val="single" w:sz="8" w:color="auto"/>
            </w:tcBorders>
            <w:shd w:val="clear" w:color="auto" w:fill="E5E5E5"/>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0.49</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420" w:type="dxa"/>
            <w:vAlign w:val="bottom"/>
            <w:tcBorders>
              <w:top w:val="single" w:sz="8" w:color="auto"/>
              <w:bottom w:val="single" w:sz="8" w:color="auto"/>
            </w:tcBorders>
            <w:shd w:val="clear" w:color="auto" w:fill="E5E5E5"/>
          </w:tcPr>
          <w:p>
            <w:pPr>
              <w:jc w:val="right"/>
              <w:ind w:right="2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2.34</w:t>
            </w:r>
          </w:p>
        </w:tc>
      </w:tr>
      <w:tr>
        <w:trPr>
          <w:trHeight w:val="20"/>
        </w:trPr>
        <w:tc>
          <w:tcPr>
            <w:tcW w:w="566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6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20" w:type="dxa"/>
            <w:vAlign w:val="bottom"/>
            <w:tcBorders>
              <w:top w:val="single" w:sz="8" w:color="E5E5E5"/>
              <w:bottom w:val="single" w:sz="8" w:color="auto"/>
            </w:tcBorders>
          </w:tcPr>
          <w:p>
            <w:pPr>
              <w:spacing w:after="0" w:line="20" w:lineRule="exact"/>
              <w:rPr>
                <w:sz w:val="1"/>
                <w:szCs w:val="1"/>
                <w:color w:val="auto"/>
              </w:rPr>
            </w:pPr>
          </w:p>
        </w:tc>
        <w:tc>
          <w:tcPr>
            <w:tcW w:w="760" w:type="dxa"/>
            <w:vAlign w:val="bottom"/>
            <w:tcBorders>
              <w:top w:val="single" w:sz="8" w:color="E5E5E5"/>
              <w:bottom w:val="single" w:sz="8" w:color="auto"/>
            </w:tcBorders>
          </w:tcPr>
          <w:p>
            <w:pPr>
              <w:spacing w:after="0" w:line="20" w:lineRule="exact"/>
              <w:rPr>
                <w:sz w:val="1"/>
                <w:szCs w:val="1"/>
                <w:color w:val="auto"/>
              </w:rPr>
            </w:pPr>
          </w:p>
        </w:tc>
      </w:tr>
      <w:tr>
        <w:trPr>
          <w:trHeight w:val="133"/>
        </w:trPr>
        <w:tc>
          <w:tcPr>
            <w:tcW w:w="5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89"/>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Diluted Earnings per Share:</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r>
      <w:tr>
        <w:trPr>
          <w:trHeight w:val="184"/>
        </w:trPr>
        <w:tc>
          <w:tcPr>
            <w:tcW w:w="5780" w:type="dxa"/>
            <w:vAlign w:val="bottom"/>
            <w:gridSpan w:val="2"/>
          </w:tcPr>
          <w:p>
            <w:pPr>
              <w:ind w:left="280"/>
              <w:spacing w:after="0"/>
              <w:rPr>
                <w:sz w:val="20"/>
                <w:szCs w:val="20"/>
                <w:color w:val="auto"/>
              </w:rPr>
            </w:pPr>
            <w:r>
              <w:rPr>
                <w:rFonts w:ascii="Arial" w:cs="Arial" w:eastAsia="Arial" w:hAnsi="Arial"/>
                <w:sz w:val="13"/>
                <w:szCs w:val="13"/>
                <w:color w:val="auto"/>
              </w:rPr>
              <w:t>Continuing operations</w:t>
            </w: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16"/>
                <w:szCs w:val="16"/>
                <w:color w:val="auto"/>
              </w:rPr>
            </w:pPr>
          </w:p>
        </w:tc>
        <w:tc>
          <w:tcPr>
            <w:tcW w:w="960" w:type="dxa"/>
            <w:vAlign w:val="bottom"/>
          </w:tcPr>
          <w:p>
            <w:pPr>
              <w:jc w:val="right"/>
              <w:ind w:right="79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0.68</w:t>
            </w:r>
          </w:p>
        </w:tc>
        <w:tc>
          <w:tcPr>
            <w:tcW w:w="100" w:type="dxa"/>
            <w:vAlign w:val="bottom"/>
          </w:tcPr>
          <w:p>
            <w:pPr>
              <w:spacing w:after="0"/>
              <w:rPr>
                <w:sz w:val="16"/>
                <w:szCs w:val="16"/>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6"/>
                <w:szCs w:val="16"/>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1.62</w:t>
            </w:r>
          </w:p>
        </w:tc>
      </w:tr>
      <w:tr>
        <w:trPr>
          <w:trHeight w:val="189"/>
        </w:trPr>
        <w:tc>
          <w:tcPr>
            <w:tcW w:w="578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Discontinued operations</w:t>
            </w:r>
          </w:p>
        </w:tc>
        <w:tc>
          <w:tcPr>
            <w:tcW w:w="86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0.65</w:t>
            </w:r>
          </w:p>
        </w:tc>
      </w:tr>
      <w:tr>
        <w:trPr>
          <w:trHeight w:val="185"/>
        </w:trPr>
        <w:tc>
          <w:tcPr>
            <w:tcW w:w="578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Diluted Earnings per Share</w:t>
            </w: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0.96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2.27</w:t>
            </w: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5"/>
        <w:spacing w:after="0"/>
        <w:rPr>
          <w:sz w:val="20"/>
          <w:szCs w:val="20"/>
          <w:color w:val="auto"/>
        </w:rPr>
      </w:pPr>
      <w:r>
        <w:rPr>
          <w:rFonts w:ascii="Arial" w:cs="Arial" w:eastAsia="Arial" w:hAnsi="Arial"/>
          <w:sz w:val="11"/>
          <w:szCs w:val="11"/>
          <w:i w:val="1"/>
          <w:iCs w:val="1"/>
          <w:color w:val="auto"/>
        </w:rPr>
        <w:t>___________________________</w:t>
      </w:r>
    </w:p>
    <w:p>
      <w:pPr>
        <w:spacing w:after="0" w:line="33" w:lineRule="exact"/>
        <w:rPr>
          <w:sz w:val="20"/>
          <w:szCs w:val="20"/>
          <w:color w:val="auto"/>
        </w:rPr>
      </w:pPr>
    </w:p>
    <w:p>
      <w:pPr>
        <w:ind w:left="125" w:hanging="125"/>
        <w:spacing w:after="0"/>
        <w:tabs>
          <w:tab w:leader="none" w:pos="125" w:val="left"/>
        </w:tabs>
        <w:numPr>
          <w:ilvl w:val="0"/>
          <w:numId w:val="7"/>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Referred to as “Pre-Tax Income” throughout the remainder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5"/>
          </w:cols>
          <w:pgMar w:left="315" w:top="839"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DA2031"/>
        </w:rPr>
        <w:t>XEROX HOLDINGS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DA2031"/>
        </w:rPr>
        <w:t>CONDENSED CONSOLIDATED STATEMENTS OF COMPREHENSIVE INCOME (UNAUDITED)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color w:val="auto"/>
              </w:rPr>
              <w:t>Nine Months Ended</w:t>
            </w:r>
          </w:p>
        </w:tc>
        <w:tc>
          <w:tcPr>
            <w:tcW w:w="900" w:type="dxa"/>
            <w:vAlign w:val="bottom"/>
          </w:tcPr>
          <w:p>
            <w:pPr>
              <w:spacing w:after="0"/>
              <w:rPr>
                <w:sz w:val="13"/>
                <w:szCs w:val="13"/>
                <w:color w:val="auto"/>
              </w:rPr>
            </w:pPr>
          </w:p>
        </w:tc>
      </w:tr>
      <w:tr>
        <w:trPr>
          <w:trHeight w:val="157"/>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color w:val="auto"/>
              </w:rPr>
              <w:t>September 30,</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color w:val="auto"/>
              </w:rPr>
              <w:t>September 30,</w:t>
            </w:r>
          </w:p>
        </w:tc>
        <w:tc>
          <w:tcPr>
            <w:tcW w:w="900" w:type="dxa"/>
            <w:vAlign w:val="bottom"/>
            <w:tcBorders>
              <w:bottom w:val="single" w:sz="8" w:color="auto"/>
            </w:tcBorders>
          </w:tcPr>
          <w:p>
            <w:pPr>
              <w:spacing w:after="0"/>
              <w:rPr>
                <w:sz w:val="13"/>
                <w:szCs w:val="13"/>
                <w:color w:val="auto"/>
              </w:rPr>
            </w:pPr>
          </w:p>
        </w:tc>
      </w:tr>
      <w:tr>
        <w:trPr>
          <w:trHeight w:val="18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E5E5E5"/>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w w:val="96"/>
              </w:rPr>
              <w:t>2019</w:t>
            </w:r>
          </w:p>
        </w:tc>
        <w:tc>
          <w:tcPr>
            <w:tcW w:w="10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E5E5E5"/>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2019</w:t>
            </w:r>
          </w:p>
        </w:tc>
      </w:tr>
      <w:tr>
        <w:trPr>
          <w:trHeight w:val="185"/>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Net Income</w:t>
            </w:r>
          </w:p>
        </w:tc>
        <w:tc>
          <w:tcPr>
            <w:tcW w:w="320" w:type="dxa"/>
            <w:vAlign w:val="bottom"/>
            <w:shd w:val="clear" w:color="auto" w:fill="E5E5E5"/>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542</w:t>
            </w:r>
          </w:p>
        </w:tc>
      </w:tr>
      <w:tr>
        <w:trPr>
          <w:trHeight w:val="184"/>
        </w:trPr>
        <w:tc>
          <w:tcPr>
            <w:tcW w:w="5220" w:type="dxa"/>
            <w:vAlign w:val="bottom"/>
            <w:gridSpan w:val="2"/>
          </w:tcPr>
          <w:p>
            <w:pPr>
              <w:ind w:left="280"/>
              <w:spacing w:after="0"/>
              <w:rPr>
                <w:sz w:val="20"/>
                <w:szCs w:val="20"/>
                <w:color w:val="auto"/>
              </w:rPr>
            </w:pPr>
            <w:r>
              <w:rPr>
                <w:rFonts w:ascii="Arial" w:cs="Arial" w:eastAsia="Arial" w:hAnsi="Arial"/>
                <w:sz w:val="13"/>
                <w:szCs w:val="13"/>
                <w:color w:val="auto"/>
              </w:rPr>
              <w:t>Less: Income from continuing operations attributable to noncontrolling interests</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r>
      <w:tr>
        <w:trPr>
          <w:trHeight w:val="194"/>
        </w:trPr>
        <w:tc>
          <w:tcPr>
            <w:tcW w:w="522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Less: Income from discontinued operations attributable to noncontrolling interests</w:t>
            </w:r>
          </w:p>
        </w:tc>
        <w:tc>
          <w:tcPr>
            <w:tcW w:w="3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w:t>
            </w:r>
          </w:p>
        </w:tc>
      </w:tr>
      <w:tr>
        <w:trPr>
          <w:trHeight w:val="176"/>
        </w:trPr>
        <w:tc>
          <w:tcPr>
            <w:tcW w:w="522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b w:val="1"/>
                <w:bCs w:val="1"/>
                <w:color w:val="auto"/>
              </w:rPr>
              <w:t>Net Income Attributable to Xerox Holdings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20" w:type="dxa"/>
            <w:vAlign w:val="bottom"/>
            <w:tcBorders>
              <w:bottom w:val="single" w:sz="8" w:color="E5E5E5"/>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Borders>
              <w:bottom w:val="single" w:sz="8" w:color="E5E5E5"/>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Borders>
              <w:bottom w:val="single" w:sz="8" w:color="E5E5E5"/>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535</w:t>
            </w:r>
          </w:p>
        </w:tc>
      </w:tr>
      <w:tr>
        <w:trPr>
          <w:trHeight w:val="162"/>
        </w:trPr>
        <w:tc>
          <w:tcPr>
            <w:tcW w:w="51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1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r>
      <w:tr>
        <w:trPr>
          <w:trHeight w:val="184"/>
        </w:trPr>
        <w:tc>
          <w:tcPr>
            <w:tcW w:w="522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Comprehensive Income (Loss), Net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522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Translation adjustments, net</w:t>
            </w: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179</w:t>
            </w: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(122)</w:t>
            </w:r>
          </w:p>
        </w:tc>
      </w:tr>
      <w:tr>
        <w:trPr>
          <w:trHeight w:val="184"/>
        </w:trPr>
        <w:tc>
          <w:tcPr>
            <w:tcW w:w="5220" w:type="dxa"/>
            <w:vAlign w:val="bottom"/>
            <w:gridSpan w:val="2"/>
          </w:tcPr>
          <w:p>
            <w:pPr>
              <w:ind w:left="280"/>
              <w:spacing w:after="0"/>
              <w:rPr>
                <w:sz w:val="20"/>
                <w:szCs w:val="20"/>
                <w:color w:val="auto"/>
              </w:rPr>
            </w:pPr>
            <w:r>
              <w:rPr>
                <w:rFonts w:ascii="Arial" w:cs="Arial" w:eastAsia="Arial" w:hAnsi="Arial"/>
                <w:sz w:val="13"/>
                <w:szCs w:val="13"/>
                <w:color w:val="auto"/>
              </w:rPr>
              <w:t>Unrealized gains,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r>
      <w:tr>
        <w:trPr>
          <w:trHeight w:val="194"/>
        </w:trPr>
        <w:tc>
          <w:tcPr>
            <w:tcW w:w="522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Changes in defined benefit plans, net</w:t>
            </w:r>
          </w:p>
        </w:tc>
        <w:tc>
          <w:tcPr>
            <w:tcW w:w="320" w:type="dxa"/>
            <w:vAlign w:val="bottom"/>
            <w:tcBorders>
              <w:bottom w:val="single" w:sz="8" w:color="auto"/>
            </w:tcBorders>
            <w:shd w:val="clear" w:color="auto" w:fill="E5E5E5"/>
          </w:tcPr>
          <w:p>
            <w:pPr>
              <w:spacing w:after="0"/>
              <w:rPr>
                <w:sz w:val="16"/>
                <w:szCs w:val="16"/>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E5E5E5"/>
          </w:tcPr>
          <w:p>
            <w:pPr>
              <w:spacing w:after="0"/>
              <w:rPr>
                <w:sz w:val="16"/>
                <w:szCs w:val="16"/>
                <w:color w:val="auto"/>
              </w:rPr>
            </w:pPr>
          </w:p>
        </w:tc>
        <w:tc>
          <w:tcPr>
            <w:tcW w:w="540" w:type="dxa"/>
            <w:vAlign w:val="bottom"/>
            <w:tcBorders>
              <w:bottom w:val="single" w:sz="8" w:color="auto"/>
            </w:tcBorders>
            <w:shd w:val="clear" w:color="auto" w:fill="E5E5E5"/>
          </w:tcPr>
          <w:p>
            <w:pPr>
              <w:spacing w:after="0"/>
              <w:rPr>
                <w:sz w:val="16"/>
                <w:szCs w:val="16"/>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E5E5E5"/>
          </w:tcPr>
          <w:p>
            <w:pPr>
              <w:spacing w:after="0"/>
              <w:rPr>
                <w:sz w:val="16"/>
                <w:szCs w:val="16"/>
                <w:color w:val="auto"/>
              </w:rPr>
            </w:pPr>
          </w:p>
        </w:tc>
        <w:tc>
          <w:tcPr>
            <w:tcW w:w="340" w:type="dxa"/>
            <w:vAlign w:val="bottom"/>
            <w:tcBorders>
              <w:bottom w:val="single" w:sz="8" w:color="auto"/>
            </w:tcBorders>
            <w:shd w:val="clear" w:color="auto" w:fill="E5E5E5"/>
          </w:tcPr>
          <w:p>
            <w:pPr>
              <w:spacing w:after="0"/>
              <w:rPr>
                <w:sz w:val="16"/>
                <w:szCs w:val="16"/>
                <w:color w:val="auto"/>
              </w:rPr>
            </w:pPr>
          </w:p>
        </w:tc>
        <w:tc>
          <w:tcPr>
            <w:tcW w:w="11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E5E5E5"/>
          </w:tcPr>
          <w:p>
            <w:pPr>
              <w:spacing w:after="0"/>
              <w:rPr>
                <w:sz w:val="16"/>
                <w:szCs w:val="16"/>
                <w:color w:val="auto"/>
              </w:rPr>
            </w:pPr>
          </w:p>
        </w:tc>
        <w:tc>
          <w:tcPr>
            <w:tcW w:w="54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(38)</w:t>
            </w:r>
          </w:p>
        </w:tc>
      </w:tr>
      <w:tr>
        <w:trPr>
          <w:trHeight w:val="176"/>
        </w:trPr>
        <w:tc>
          <w:tcPr>
            <w:tcW w:w="522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Comprehensive Income (Loss),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174"/>
        </w:trPr>
        <w:tc>
          <w:tcPr>
            <w:tcW w:w="522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Less: Other comprehensive income, net from continuing operations attributable to</w:t>
            </w: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161"/>
        </w:trPr>
        <w:tc>
          <w:tcPr>
            <w:tcW w:w="522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noncontrolling interests</w:t>
            </w:r>
          </w:p>
        </w:tc>
        <w:tc>
          <w:tcPr>
            <w:tcW w:w="320" w:type="dxa"/>
            <w:vAlign w:val="bottom"/>
            <w:shd w:val="clear" w:color="auto" w:fill="E5E5E5"/>
          </w:tcPr>
          <w:p>
            <w:pPr>
              <w:spacing w:after="0"/>
              <w:rPr>
                <w:sz w:val="14"/>
                <w:szCs w:val="14"/>
                <w:color w:val="auto"/>
              </w:rPr>
            </w:pPr>
          </w:p>
        </w:tc>
        <w:tc>
          <w:tcPr>
            <w:tcW w:w="122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4"/>
                <w:szCs w:val="14"/>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w:t>
            </w:r>
          </w:p>
        </w:tc>
      </w:tr>
      <w:tr>
        <w:trPr>
          <w:trHeight w:val="176"/>
        </w:trPr>
        <w:tc>
          <w:tcPr>
            <w:tcW w:w="522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b w:val="1"/>
                <w:bCs w:val="1"/>
                <w:color w:val="auto"/>
              </w:rPr>
              <w:t>Other Comprehensive Income (Loss), Net Attributable to Xerox Holdings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20" w:type="dxa"/>
            <w:vAlign w:val="bottom"/>
            <w:tcBorders>
              <w:bottom w:val="single" w:sz="8" w:color="E5E5E5"/>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Borders>
              <w:bottom w:val="single" w:sz="8" w:color="E5E5E5"/>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E5E5E5"/>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w:t>
            </w:r>
          </w:p>
        </w:tc>
      </w:tr>
      <w:tr>
        <w:trPr>
          <w:trHeight w:val="174"/>
        </w:trPr>
        <w:tc>
          <w:tcPr>
            <w:tcW w:w="5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184"/>
        </w:trPr>
        <w:tc>
          <w:tcPr>
            <w:tcW w:w="52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Comprehensive Income,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385</w:t>
            </w:r>
          </w:p>
        </w:tc>
      </w:tr>
      <w:tr>
        <w:trPr>
          <w:trHeight w:val="174"/>
        </w:trPr>
        <w:tc>
          <w:tcPr>
            <w:tcW w:w="522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Less: Comprehensive income, net from continuing operations attributable to</w:t>
            </w: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161"/>
        </w:trPr>
        <w:tc>
          <w:tcPr>
            <w:tcW w:w="522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noncontrolling interests</w:t>
            </w:r>
          </w:p>
        </w:tc>
        <w:tc>
          <w:tcPr>
            <w:tcW w:w="320" w:type="dxa"/>
            <w:vAlign w:val="bottom"/>
            <w:shd w:val="clear" w:color="auto" w:fill="E5E5E5"/>
          </w:tcPr>
          <w:p>
            <w:pPr>
              <w:spacing w:after="0"/>
              <w:rPr>
                <w:sz w:val="14"/>
                <w:szCs w:val="14"/>
                <w:color w:val="auto"/>
              </w:rPr>
            </w:pPr>
          </w:p>
        </w:tc>
        <w:tc>
          <w:tcPr>
            <w:tcW w:w="122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4"/>
                <w:szCs w:val="14"/>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w:t>
            </w:r>
          </w:p>
        </w:tc>
      </w:tr>
      <w:tr>
        <w:trPr>
          <w:trHeight w:val="170"/>
        </w:trPr>
        <w:tc>
          <w:tcPr>
            <w:tcW w:w="5220" w:type="dxa"/>
            <w:vAlign w:val="bottom"/>
            <w:gridSpan w:val="2"/>
          </w:tcPr>
          <w:p>
            <w:pPr>
              <w:ind w:left="280"/>
              <w:spacing w:after="0"/>
              <w:rPr>
                <w:sz w:val="20"/>
                <w:szCs w:val="20"/>
                <w:color w:val="auto"/>
              </w:rPr>
            </w:pPr>
            <w:r>
              <w:rPr>
                <w:rFonts w:ascii="Arial" w:cs="Arial" w:eastAsia="Arial" w:hAnsi="Arial"/>
                <w:sz w:val="13"/>
                <w:szCs w:val="13"/>
                <w:color w:val="auto"/>
              </w:rPr>
              <w:t>Less: Comprehensive income, net from discontinued operations attributable to</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7"/>
        </w:trPr>
        <w:tc>
          <w:tcPr>
            <w:tcW w:w="5220" w:type="dxa"/>
            <w:vAlign w:val="bottom"/>
            <w:gridSpan w:val="2"/>
          </w:tcPr>
          <w:p>
            <w:pPr>
              <w:ind w:left="280"/>
              <w:spacing w:after="0"/>
              <w:rPr>
                <w:sz w:val="20"/>
                <w:szCs w:val="20"/>
                <w:color w:val="auto"/>
              </w:rPr>
            </w:pPr>
            <w:r>
              <w:rPr>
                <w:rFonts w:ascii="Arial" w:cs="Arial" w:eastAsia="Arial" w:hAnsi="Arial"/>
                <w:sz w:val="13"/>
                <w:szCs w:val="13"/>
                <w:color w:val="auto"/>
              </w:rPr>
              <w:t>noncontrolling interests</w:t>
            </w:r>
          </w:p>
        </w:tc>
        <w:tc>
          <w:tcPr>
            <w:tcW w:w="32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w:t>
            </w:r>
          </w:p>
        </w:tc>
      </w:tr>
      <w:tr>
        <w:trPr>
          <w:trHeight w:val="210"/>
        </w:trPr>
        <w:tc>
          <w:tcPr>
            <w:tcW w:w="522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Comprehensive Income, Net Attributable to Xerox Holdings</w:t>
            </w:r>
          </w:p>
        </w:tc>
        <w:tc>
          <w:tcPr>
            <w:tcW w:w="320" w:type="dxa"/>
            <w:vAlign w:val="bottom"/>
            <w:tcBorders>
              <w:top w:val="single" w:sz="8" w:color="auto"/>
              <w:bottom w:val="single" w:sz="8" w:color="auto"/>
            </w:tcBorders>
            <w:shd w:val="clear" w:color="auto" w:fill="E5E5E5"/>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540" w:type="dxa"/>
            <w:vAlign w:val="bottom"/>
            <w:tcBorders>
              <w:top w:val="single" w:sz="8" w:color="auto"/>
              <w:bottom w:val="single" w:sz="8" w:color="auto"/>
            </w:tcBorders>
            <w:shd w:val="clear" w:color="auto" w:fill="E5E5E5"/>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340" w:type="dxa"/>
            <w:vAlign w:val="bottom"/>
            <w:tcBorders>
              <w:top w:val="single" w:sz="8" w:color="auto"/>
              <w:bottom w:val="single" w:sz="8" w:color="auto"/>
            </w:tcBorders>
            <w:shd w:val="clear" w:color="auto" w:fill="E5E5E5"/>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168</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540" w:type="dxa"/>
            <w:vAlign w:val="bottom"/>
            <w:tcBorders>
              <w:top w:val="single" w:sz="8" w:color="auto"/>
              <w:bottom w:val="single" w:sz="8" w:color="auto"/>
            </w:tcBorders>
            <w:shd w:val="clear" w:color="auto" w:fill="E5E5E5"/>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377</w:t>
            </w:r>
          </w:p>
        </w:tc>
      </w:tr>
      <w:tr>
        <w:trPr>
          <w:trHeight w:val="20"/>
        </w:trPr>
        <w:tc>
          <w:tcPr>
            <w:tcW w:w="5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839"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DA2031"/>
        </w:rPr>
        <w:t>XEROX HOLDINGS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DA2031"/>
        </w:rPr>
        <w:t>CONDENSED CONSOLIDATED BALANCE SHEETS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share data in thousands)</w:t>
            </w:r>
          </w:p>
        </w:tc>
        <w:tc>
          <w:tcPr>
            <w:tcW w:w="120" w:type="dxa"/>
            <w:vAlign w:val="bottom"/>
            <w:tcBorders>
              <w:bottom w:val="single" w:sz="8" w:color="E5E5E5"/>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September 30, 2020</w:t>
            </w:r>
          </w:p>
        </w:tc>
        <w:tc>
          <w:tcPr>
            <w:tcW w:w="120" w:type="dxa"/>
            <w:vAlign w:val="bottom"/>
            <w:tcBorders>
              <w:bottom w:val="single" w:sz="8" w:color="E5E5E5"/>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December 31, 2019</w:t>
            </w:r>
          </w:p>
        </w:tc>
      </w:tr>
      <w:tr>
        <w:trPr>
          <w:trHeight w:val="185"/>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spacing w:after="0"/>
              <w:rPr>
                <w:sz w:val="16"/>
                <w:szCs w:val="16"/>
                <w:color w:val="auto"/>
              </w:rPr>
            </w:pP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Cash and cash equivalents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3,242</w:t>
            </w:r>
          </w:p>
        </w:tc>
        <w:tc>
          <w:tcPr>
            <w:tcW w:w="120" w:type="dxa"/>
            <w:vAlign w:val="bottom"/>
          </w:tcPr>
          <w:p>
            <w:pPr>
              <w:spacing w:after="0"/>
              <w:rPr>
                <w:sz w:val="16"/>
                <w:szCs w:val="16"/>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2,740</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Accounts receivable (net of allowances of $63 and $55, respectively)</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895</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1,236</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Billed portion of finance receivables (net of allowances of $4 and $3,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Finance receivables, net</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1,066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1,158</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Inventories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978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694</w:t>
            </w:r>
          </w:p>
        </w:tc>
      </w:tr>
      <w:tr>
        <w:trPr>
          <w:trHeight w:val="189"/>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Other current assets</w:t>
            </w:r>
          </w:p>
        </w:tc>
        <w:tc>
          <w:tcPr>
            <w:tcW w:w="180" w:type="dxa"/>
            <w:vAlign w:val="bottom"/>
            <w:tcBorders>
              <w:bottom w:val="single" w:sz="8" w:color="auto"/>
            </w:tcBorders>
            <w:shd w:val="clear" w:color="auto" w:fill="E5E5E5"/>
          </w:tcPr>
          <w:p>
            <w:pPr>
              <w:spacing w:after="0"/>
              <w:rPr>
                <w:sz w:val="16"/>
                <w:szCs w:val="16"/>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201</w:t>
            </w:r>
          </w:p>
        </w:tc>
      </w:tr>
      <w:tr>
        <w:trPr>
          <w:trHeight w:val="181"/>
        </w:trPr>
        <w:tc>
          <w:tcPr>
            <w:tcW w:w="7660" w:type="dxa"/>
            <w:vAlign w:val="bottom"/>
            <w:gridSpan w:val="2"/>
          </w:tcPr>
          <w:p>
            <w:pPr>
              <w:ind w:left="280"/>
              <w:spacing w:after="0"/>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6,541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6,140</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Finance receivables due after one year (net of allowances of $138 and $86, respectively)</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1,899</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2,082</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Equipment on operating leases, net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Land, buildings and equipment, net</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426</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199</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3,996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3,900</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Deferred tax assets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598</w:t>
            </w:r>
          </w:p>
        </w:tc>
      </w:tr>
      <w:tr>
        <w:trPr>
          <w:trHeight w:val="189"/>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Other long-term assets</w:t>
            </w:r>
          </w:p>
        </w:tc>
        <w:tc>
          <w:tcPr>
            <w:tcW w:w="180" w:type="dxa"/>
            <w:vAlign w:val="bottom"/>
            <w:tcBorders>
              <w:bottom w:val="single" w:sz="8" w:color="auto"/>
            </w:tcBorders>
            <w:shd w:val="clear" w:color="auto" w:fill="E5E5E5"/>
          </w:tcPr>
          <w:p>
            <w:pPr>
              <w:spacing w:after="0"/>
              <w:rPr>
                <w:sz w:val="16"/>
                <w:szCs w:val="16"/>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1,390</w:t>
            </w:r>
          </w:p>
        </w:tc>
        <w:tc>
          <w:tcPr>
            <w:tcW w:w="12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1,338</w:t>
            </w:r>
          </w:p>
        </w:tc>
      </w:tr>
      <w:tr>
        <w:trPr>
          <w:trHeight w:val="185"/>
        </w:trPr>
        <w:tc>
          <w:tcPr>
            <w:tcW w:w="766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15,352</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15,047</w:t>
            </w:r>
          </w:p>
        </w:tc>
      </w:tr>
      <w:tr>
        <w:trPr>
          <w:trHeight w:val="20"/>
        </w:trPr>
        <w:tc>
          <w:tcPr>
            <w:tcW w:w="754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53"/>
        </w:trPr>
        <w:tc>
          <w:tcPr>
            <w:tcW w:w="7660" w:type="dxa"/>
            <w:vAlign w:val="bottom"/>
            <w:gridSpan w:val="2"/>
            <w:shd w:val="clear" w:color="auto" w:fill="E5E5E5"/>
          </w:tcPr>
          <w:p>
            <w:pPr>
              <w:ind w:left="20"/>
              <w:spacing w:after="0" w:line="148" w:lineRule="exact"/>
              <w:rPr>
                <w:sz w:val="20"/>
                <w:szCs w:val="20"/>
                <w:color w:val="auto"/>
              </w:rPr>
            </w:pPr>
            <w:r>
              <w:rPr>
                <w:rFonts w:ascii="Arial" w:cs="Arial" w:eastAsia="Arial" w:hAnsi="Arial"/>
                <w:sz w:val="13"/>
                <w:szCs w:val="13"/>
                <w:b w:val="1"/>
                <w:bCs w:val="1"/>
                <w:color w:val="auto"/>
              </w:rPr>
              <w:t>Liabilities and Equity</w:t>
            </w:r>
          </w:p>
        </w:tc>
        <w:tc>
          <w:tcPr>
            <w:tcW w:w="180" w:type="dxa"/>
            <w:vAlign w:val="bottom"/>
            <w:shd w:val="clear" w:color="auto" w:fill="E5E5E5"/>
          </w:tcPr>
          <w:p>
            <w:pPr>
              <w:spacing w:after="0"/>
              <w:rPr>
                <w:sz w:val="13"/>
                <w:szCs w:val="13"/>
                <w:color w:val="auto"/>
              </w:rPr>
            </w:pPr>
          </w:p>
        </w:tc>
        <w:tc>
          <w:tcPr>
            <w:tcW w:w="15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520" w:type="dxa"/>
            <w:vAlign w:val="bottom"/>
            <w:shd w:val="clear" w:color="auto" w:fill="E5E5E5"/>
          </w:tcPr>
          <w:p>
            <w:pPr>
              <w:spacing w:after="0"/>
              <w:rPr>
                <w:sz w:val="13"/>
                <w:szCs w:val="13"/>
                <w:color w:val="auto"/>
              </w:rPr>
            </w:pP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Short-term debt and current portion of long-term debt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1,218</w:t>
            </w:r>
          </w:p>
        </w:tc>
        <w:tc>
          <w:tcPr>
            <w:tcW w:w="120" w:type="dxa"/>
            <w:vAlign w:val="bottom"/>
          </w:tcPr>
          <w:p>
            <w:pPr>
              <w:spacing w:after="0"/>
              <w:rPr>
                <w:sz w:val="16"/>
                <w:szCs w:val="16"/>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1,049</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1,018</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1,053</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Accrued compensation and benefits costs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349</w:t>
            </w:r>
          </w:p>
        </w:tc>
      </w:tr>
      <w:tr>
        <w:trPr>
          <w:trHeight w:val="189"/>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tcBorders>
              <w:bottom w:val="single" w:sz="8" w:color="auto"/>
            </w:tcBorders>
            <w:shd w:val="clear" w:color="auto" w:fill="E5E5E5"/>
          </w:tcPr>
          <w:p>
            <w:pPr>
              <w:spacing w:after="0"/>
              <w:rPr>
                <w:sz w:val="16"/>
                <w:szCs w:val="16"/>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815</w:t>
            </w:r>
          </w:p>
        </w:tc>
        <w:tc>
          <w:tcPr>
            <w:tcW w:w="12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984</w:t>
            </w:r>
          </w:p>
        </w:tc>
      </w:tr>
      <w:tr>
        <w:trPr>
          <w:trHeight w:val="181"/>
        </w:trPr>
        <w:tc>
          <w:tcPr>
            <w:tcW w:w="7660" w:type="dxa"/>
            <w:vAlign w:val="bottom"/>
            <w:gridSpan w:val="2"/>
          </w:tcPr>
          <w:p>
            <w:pPr>
              <w:ind w:left="280"/>
              <w:spacing w:after="0"/>
              <w:rPr>
                <w:sz w:val="20"/>
                <w:szCs w:val="20"/>
                <w:color w:val="auto"/>
              </w:rPr>
            </w:pPr>
            <w:r>
              <w:rPr>
                <w:rFonts w:ascii="Arial" w:cs="Arial" w:eastAsia="Arial" w:hAnsi="Arial"/>
                <w:sz w:val="13"/>
                <w:szCs w:val="13"/>
                <w:color w:val="auto"/>
              </w:rPr>
              <w:t>Total current liabilities</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3,327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3,435</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Long-term debt</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3,836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3,233</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Pension and other benefit liabilities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1,675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1,707</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Post-retirement medical benefits</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352</w:t>
            </w:r>
          </w:p>
        </w:tc>
      </w:tr>
      <w:tr>
        <w:trPr>
          <w:trHeight w:val="184"/>
        </w:trPr>
        <w:tc>
          <w:tcPr>
            <w:tcW w:w="766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Other long-term liabilities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w:t>
            </w:r>
          </w:p>
        </w:tc>
        <w:tc>
          <w:tcPr>
            <w:tcW w:w="12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w:t>
            </w:r>
          </w:p>
        </w:tc>
      </w:tr>
      <w:tr>
        <w:trPr>
          <w:trHeight w:val="181"/>
        </w:trPr>
        <w:tc>
          <w:tcPr>
            <w:tcW w:w="7660" w:type="dxa"/>
            <w:vAlign w:val="bottom"/>
            <w:gridSpan w:val="2"/>
            <w:shd w:val="clear" w:color="auto" w:fill="E5E5E5"/>
          </w:tcPr>
          <w:p>
            <w:pPr>
              <w:ind w:left="280"/>
              <w:spacing w:after="0"/>
              <w:rPr>
                <w:sz w:val="20"/>
                <w:szCs w:val="20"/>
                <w:color w:val="auto"/>
              </w:rPr>
            </w:pPr>
            <w:r>
              <w:rPr>
                <w:rFonts w:ascii="Arial" w:cs="Arial" w:eastAsia="Arial" w:hAnsi="Arial"/>
                <w:sz w:val="13"/>
                <w:szCs w:val="13"/>
                <w:b w:val="1"/>
                <w:bCs w:val="1"/>
                <w:color w:val="auto"/>
              </w:rPr>
              <w:t>Total Liabilities</w:t>
            </w:r>
          </w:p>
        </w:tc>
        <w:tc>
          <w:tcPr>
            <w:tcW w:w="180" w:type="dxa"/>
            <w:vAlign w:val="bottom"/>
            <w:tcBorders>
              <w:bottom w:val="single" w:sz="8" w:color="auto"/>
            </w:tcBorders>
            <w:shd w:val="clear" w:color="auto" w:fill="E5E5E5"/>
          </w:tcPr>
          <w:p>
            <w:pPr>
              <w:spacing w:after="0"/>
              <w:rPr>
                <w:sz w:val="15"/>
                <w:szCs w:val="15"/>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9,686</w:t>
            </w:r>
          </w:p>
        </w:tc>
        <w:tc>
          <w:tcPr>
            <w:tcW w:w="120" w:type="dxa"/>
            <w:vAlign w:val="bottom"/>
            <w:shd w:val="clear" w:color="auto" w:fill="E5E5E5"/>
          </w:tcPr>
          <w:p>
            <w:pPr>
              <w:spacing w:after="0"/>
              <w:rPr>
                <w:sz w:val="15"/>
                <w:szCs w:val="15"/>
                <w:color w:val="auto"/>
              </w:rPr>
            </w:pPr>
          </w:p>
        </w:tc>
        <w:tc>
          <w:tcPr>
            <w:tcW w:w="200" w:type="dxa"/>
            <w:vAlign w:val="bottom"/>
            <w:tcBorders>
              <w:bottom w:val="single" w:sz="8" w:color="auto"/>
            </w:tcBorders>
            <w:shd w:val="clear" w:color="auto" w:fill="E5E5E5"/>
          </w:tcPr>
          <w:p>
            <w:pPr>
              <w:spacing w:after="0"/>
              <w:rPr>
                <w:sz w:val="15"/>
                <w:szCs w:val="15"/>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9,239</w:t>
            </w:r>
          </w:p>
        </w:tc>
      </w:tr>
      <w:tr>
        <w:trPr>
          <w:trHeight w:val="174"/>
        </w:trPr>
        <w:tc>
          <w:tcPr>
            <w:tcW w:w="7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Convertible Preferred Stock</w:t>
            </w:r>
          </w:p>
        </w:tc>
        <w:tc>
          <w:tcPr>
            <w:tcW w:w="180" w:type="dxa"/>
            <w:vAlign w:val="bottom"/>
            <w:tcBorders>
              <w:bottom w:val="single" w:sz="8" w:color="auto"/>
            </w:tcBorders>
            <w:shd w:val="clear" w:color="auto" w:fill="E5E5E5"/>
          </w:tcPr>
          <w:p>
            <w:pPr>
              <w:spacing w:after="0"/>
              <w:rPr>
                <w:sz w:val="16"/>
                <w:szCs w:val="16"/>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214</w:t>
            </w:r>
          </w:p>
        </w:tc>
      </w:tr>
      <w:tr>
        <w:trPr>
          <w:trHeight w:val="174"/>
        </w:trPr>
        <w:tc>
          <w:tcPr>
            <w:tcW w:w="7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9"/>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215</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2,719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2,782</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Treasury stock, at cost</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(76)</w:t>
            </w: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3"/>
                <w:szCs w:val="13"/>
                <w:color w:val="auto"/>
              </w:rPr>
              <w:t>Retained earnings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6,258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6,312</w:t>
            </w:r>
          </w:p>
        </w:tc>
      </w:tr>
      <w:tr>
        <w:trPr>
          <w:trHeight w:val="189"/>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Accumulated other comprehensive loss</w:t>
            </w:r>
          </w:p>
        </w:tc>
        <w:tc>
          <w:tcPr>
            <w:tcW w:w="180" w:type="dxa"/>
            <w:vAlign w:val="bottom"/>
            <w:tcBorders>
              <w:bottom w:val="single" w:sz="8" w:color="auto"/>
            </w:tcBorders>
            <w:shd w:val="clear" w:color="auto" w:fill="E5E5E5"/>
          </w:tcPr>
          <w:p>
            <w:pPr>
              <w:spacing w:after="0"/>
              <w:rPr>
                <w:sz w:val="16"/>
                <w:szCs w:val="16"/>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(3,593)</w:t>
            </w:r>
          </w:p>
        </w:tc>
        <w:tc>
          <w:tcPr>
            <w:tcW w:w="12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(3,646)</w:t>
            </w:r>
          </w:p>
        </w:tc>
      </w:tr>
      <w:tr>
        <w:trPr>
          <w:trHeight w:val="181"/>
        </w:trPr>
        <w:tc>
          <w:tcPr>
            <w:tcW w:w="7660" w:type="dxa"/>
            <w:vAlign w:val="bottom"/>
            <w:gridSpan w:val="2"/>
          </w:tcPr>
          <w:p>
            <w:pPr>
              <w:ind w:left="280"/>
              <w:spacing w:after="0"/>
              <w:rPr>
                <w:sz w:val="20"/>
                <w:szCs w:val="20"/>
                <w:color w:val="auto"/>
              </w:rPr>
            </w:pPr>
            <w:r>
              <w:rPr>
                <w:rFonts w:ascii="Arial" w:cs="Arial" w:eastAsia="Arial" w:hAnsi="Arial"/>
                <w:sz w:val="13"/>
                <w:szCs w:val="13"/>
                <w:color w:val="auto"/>
              </w:rPr>
              <w:t>Xerox Holdings shareholders’ equity</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5,448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5,587</w:t>
            </w:r>
          </w:p>
        </w:tc>
      </w:tr>
      <w:tr>
        <w:trPr>
          <w:trHeight w:val="194"/>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shd w:val="clear" w:color="auto" w:fill="E5E5E5"/>
          </w:tcPr>
          <w:p>
            <w:pPr>
              <w:spacing w:after="0"/>
              <w:rPr>
                <w:sz w:val="16"/>
                <w:szCs w:val="16"/>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7</w:t>
            </w:r>
          </w:p>
        </w:tc>
      </w:tr>
      <w:tr>
        <w:trPr>
          <w:trHeight w:val="176"/>
        </w:trPr>
        <w:tc>
          <w:tcPr>
            <w:tcW w:w="7660" w:type="dxa"/>
            <w:vAlign w:val="bottom"/>
            <w:tcBorders>
              <w:bottom w:val="single" w:sz="8" w:color="E5E5E5"/>
            </w:tcBorders>
            <w:gridSpan w:val="2"/>
          </w:tcPr>
          <w:p>
            <w:pPr>
              <w:ind w:left="280"/>
              <w:spacing w:after="0"/>
              <w:rPr>
                <w:sz w:val="20"/>
                <w:szCs w:val="20"/>
                <w:color w:val="auto"/>
              </w:rPr>
            </w:pPr>
            <w:r>
              <w:rPr>
                <w:rFonts w:ascii="Arial" w:cs="Arial" w:eastAsia="Arial" w:hAnsi="Arial"/>
                <w:sz w:val="13"/>
                <w:szCs w:val="13"/>
                <w:b w:val="1"/>
                <w:bCs w:val="1"/>
                <w:color w:val="auto"/>
              </w:rPr>
              <w:t>Total Equity</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5,452</w:t>
            </w:r>
          </w:p>
        </w:tc>
        <w:tc>
          <w:tcPr>
            <w:tcW w:w="12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5,594</w:t>
            </w:r>
          </w:p>
        </w:tc>
      </w:tr>
      <w:tr>
        <w:trPr>
          <w:trHeight w:val="187"/>
        </w:trPr>
        <w:tc>
          <w:tcPr>
            <w:tcW w:w="7660" w:type="dxa"/>
            <w:vAlign w:val="bottom"/>
            <w:tcBorders>
              <w:bottom w:val="single" w:sz="8" w:color="E5E5E5"/>
            </w:tcBorders>
            <w:gridSpan w:val="2"/>
            <w:shd w:val="clear" w:color="auto" w:fill="E5E5E5"/>
          </w:tcPr>
          <w:p>
            <w:pPr>
              <w:ind w:left="280"/>
              <w:spacing w:after="0"/>
              <w:rPr>
                <w:sz w:val="20"/>
                <w:szCs w:val="20"/>
                <w:color w:val="auto"/>
              </w:rPr>
            </w:pPr>
            <w:r>
              <w:rPr>
                <w:rFonts w:ascii="Arial" w:cs="Arial" w:eastAsia="Arial" w:hAnsi="Arial"/>
                <w:sz w:val="13"/>
                <w:szCs w:val="13"/>
                <w:b w:val="1"/>
                <w:bCs w:val="1"/>
                <w:color w:val="auto"/>
              </w:rPr>
              <w:t>Total Liabilities and Equity</w:t>
            </w:r>
          </w:p>
        </w:tc>
        <w:tc>
          <w:tcPr>
            <w:tcW w:w="18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15,352</w:t>
            </w:r>
          </w:p>
        </w:tc>
        <w:tc>
          <w:tcPr>
            <w:tcW w:w="120" w:type="dxa"/>
            <w:vAlign w:val="bottom"/>
            <w:tcBorders>
              <w:bottom w:val="single" w:sz="8" w:color="E5E5E5"/>
            </w:tcBorders>
            <w:shd w:val="clear" w:color="auto" w:fill="E5E5E5"/>
          </w:tcPr>
          <w:p>
            <w:pPr>
              <w:spacing w:after="0"/>
              <w:rPr>
                <w:sz w:val="15"/>
                <w:szCs w:val="15"/>
                <w:color w:val="auto"/>
              </w:rPr>
            </w:pPr>
          </w:p>
        </w:tc>
        <w:tc>
          <w:tcPr>
            <w:tcW w:w="20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15,047</w:t>
            </w:r>
          </w:p>
        </w:tc>
      </w:tr>
      <w:tr>
        <w:trPr>
          <w:trHeight w:val="20"/>
        </w:trPr>
        <w:tc>
          <w:tcPr>
            <w:tcW w:w="754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520" w:type="dxa"/>
            <w:vAlign w:val="bottom"/>
            <w:tcBorders>
              <w:top w:val="single" w:sz="8" w:color="E5E5E5"/>
              <w:bottom w:val="single" w:sz="8" w:color="auto"/>
            </w:tcBorders>
          </w:tcPr>
          <w:p>
            <w:pPr>
              <w:spacing w:after="0" w:line="20" w:lineRule="exact"/>
              <w:rPr>
                <w:sz w:val="1"/>
                <w:szCs w:val="1"/>
                <w:color w:val="auto"/>
              </w:rPr>
            </w:pPr>
          </w:p>
        </w:tc>
      </w:tr>
      <w:tr>
        <w:trPr>
          <w:trHeight w:val="133"/>
        </w:trPr>
        <w:tc>
          <w:tcPr>
            <w:tcW w:w="7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89"/>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Shares of common stock issued</w:t>
            </w:r>
          </w:p>
        </w:tc>
        <w:tc>
          <w:tcPr>
            <w:tcW w:w="180" w:type="dxa"/>
            <w:vAlign w:val="bottom"/>
            <w:shd w:val="clear" w:color="auto" w:fill="E5E5E5"/>
          </w:tcPr>
          <w:p>
            <w:pPr>
              <w:spacing w:after="0"/>
              <w:rPr>
                <w:sz w:val="16"/>
                <w:szCs w:val="16"/>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213,964</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214,621</w:t>
            </w:r>
          </w:p>
        </w:tc>
      </w:tr>
      <w:tr>
        <w:trPr>
          <w:trHeight w:val="184"/>
        </w:trPr>
        <w:tc>
          <w:tcPr>
            <w:tcW w:w="766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Treasury stock</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(8,007)</w:t>
            </w:r>
          </w:p>
        </w:tc>
        <w:tc>
          <w:tcPr>
            <w:tcW w:w="12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w:t>
            </w:r>
          </w:p>
        </w:tc>
      </w:tr>
      <w:tr>
        <w:trPr>
          <w:trHeight w:val="210"/>
        </w:trPr>
        <w:tc>
          <w:tcPr>
            <w:tcW w:w="76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Shares of Common Stock Outstanding</w:t>
            </w:r>
          </w:p>
        </w:tc>
        <w:tc>
          <w:tcPr>
            <w:tcW w:w="180" w:type="dxa"/>
            <w:vAlign w:val="bottom"/>
            <w:tcBorders>
              <w:bottom w:val="single" w:sz="8" w:color="auto"/>
            </w:tcBorders>
            <w:shd w:val="clear" w:color="auto" w:fill="E5E5E5"/>
          </w:tcPr>
          <w:p>
            <w:pPr>
              <w:spacing w:after="0"/>
              <w:rPr>
                <w:sz w:val="17"/>
                <w:szCs w:val="17"/>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205,957</w:t>
            </w:r>
          </w:p>
        </w:tc>
        <w:tc>
          <w:tcPr>
            <w:tcW w:w="12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212,590</w:t>
            </w:r>
          </w:p>
        </w:tc>
      </w:tr>
      <w:tr>
        <w:trPr>
          <w:trHeight w:val="20"/>
        </w:trPr>
        <w:tc>
          <w:tcPr>
            <w:tcW w:w="754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52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946" w:right="359" w:bottom="1440" w:gutter="0" w:footer="0" w:header="0"/>
        </w:sectPr>
      </w:pPr>
    </w:p>
    <w:bookmarkStart w:id="12" w:name="page13"/>
    <w:bookmarkEnd w:id="12"/>
    <w:p>
      <w:pPr>
        <w:ind w:left="5"/>
        <w:spacing w:after="0"/>
        <w:rPr>
          <w:sz w:val="20"/>
          <w:szCs w:val="20"/>
          <w:color w:val="auto"/>
        </w:rPr>
      </w:pPr>
      <w:r>
        <w:rPr>
          <w:rFonts w:ascii="Arial" w:cs="Arial" w:eastAsia="Arial" w:hAnsi="Arial"/>
          <w:sz w:val="16"/>
          <w:szCs w:val="16"/>
          <w:b w:val="1"/>
          <w:bCs w:val="1"/>
          <w:color w:val="DA2031"/>
        </w:rPr>
        <w:t>XEROX HOLDINGS CORPORATION</w:t>
      </w:r>
    </w:p>
    <w:p>
      <w:pPr>
        <w:spacing w:after="0" w:line="2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DA2031"/>
        </w:rPr>
        <w:t>CONDENSED CONSOLIDATED STATEMENTS OF CASH FLOWS (UNAUDITED)</w:t>
      </w:r>
    </w:p>
    <w:p>
      <w:pPr>
        <w:spacing w:after="0" w:line="133"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gridSpan w:val="3"/>
          </w:tcPr>
          <w:p>
            <w:pPr>
              <w:jc w:val="right"/>
              <w:ind w:right="397"/>
              <w:spacing w:after="0"/>
              <w:rPr>
                <w:sz w:val="20"/>
                <w:szCs w:val="20"/>
                <w:color w:val="auto"/>
              </w:rPr>
            </w:pPr>
            <w:r>
              <w:rPr>
                <w:rFonts w:ascii="Arial" w:cs="Arial" w:eastAsia="Arial" w:hAnsi="Arial"/>
                <w:sz w:val="13"/>
                <w:szCs w:val="13"/>
                <w:color w:val="auto"/>
                <w:w w:val="95"/>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right"/>
              <w:ind w:right="637"/>
              <w:spacing w:after="0"/>
              <w:rPr>
                <w:sz w:val="20"/>
                <w:szCs w:val="20"/>
                <w:color w:val="auto"/>
              </w:rPr>
            </w:pPr>
            <w:r>
              <w:rPr>
                <w:rFonts w:ascii="Arial" w:cs="Arial" w:eastAsia="Arial" w:hAnsi="Arial"/>
                <w:sz w:val="13"/>
                <w:szCs w:val="13"/>
                <w:color w:val="auto"/>
              </w:rPr>
              <w:t>Nine Months Ended</w:t>
            </w:r>
          </w:p>
        </w:tc>
      </w:tr>
      <w:tr>
        <w:trPr>
          <w:trHeight w:val="157"/>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3"/>
                <w:szCs w:val="13"/>
                <w:color w:val="auto"/>
              </w:rPr>
              <w:t>September 30,</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September 30,</w:t>
            </w:r>
          </w:p>
        </w:tc>
        <w:tc>
          <w:tcPr>
            <w:tcW w:w="780" w:type="dxa"/>
            <w:vAlign w:val="bottom"/>
            <w:tcBorders>
              <w:bottom w:val="single" w:sz="8" w:color="auto"/>
            </w:tcBorders>
          </w:tcPr>
          <w:p>
            <w:pPr>
              <w:spacing w:after="0"/>
              <w:rPr>
                <w:sz w:val="13"/>
                <w:szCs w:val="13"/>
                <w:color w:val="auto"/>
              </w:rPr>
            </w:pPr>
          </w:p>
        </w:tc>
      </w:tr>
      <w:tr>
        <w:trPr>
          <w:trHeight w:val="181"/>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E5E5E5"/>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2019</w:t>
            </w:r>
          </w:p>
        </w:tc>
      </w:tr>
      <w:tr>
        <w:trPr>
          <w:trHeight w:val="185"/>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r>
      <w:tr>
        <w:trPr>
          <w:trHeight w:val="184"/>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6"/>
                <w:szCs w:val="16"/>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6"/>
                <w:szCs w:val="16"/>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542</w:t>
            </w:r>
          </w:p>
        </w:tc>
      </w:tr>
      <w:tr>
        <w:trPr>
          <w:trHeight w:val="189"/>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Income from discontinued operations, net of tax</w:t>
            </w:r>
          </w:p>
        </w:tc>
        <w:tc>
          <w:tcPr>
            <w:tcW w:w="8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(157)</w:t>
            </w:r>
          </w:p>
        </w:tc>
      </w:tr>
      <w:tr>
        <w:trPr>
          <w:trHeight w:val="181"/>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Income from continuing operations</w:t>
            </w:r>
          </w:p>
        </w:tc>
        <w:tc>
          <w:tcPr>
            <w:tcW w:w="8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385</w:t>
            </w:r>
          </w:p>
        </w:tc>
      </w:tr>
      <w:tr>
        <w:trPr>
          <w:trHeight w:val="194"/>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Adjustments required to reconcile Net income to Cash flows from operating activities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Depreciation and amortization</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332</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Provisions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58</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Net gain on sales of businesses and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Stock-based compensation</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41</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Restructuring and asset impairment charges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80</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Payments for restructurings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(71)</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Defined benefit pension cost</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89</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Contributions to defined benefit pension plans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(107)</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(Increase) decrease in accounts receivable and billed portion of finance receivables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60</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(Increase) decrease in inventories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31</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Increase in equipment on operating leases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Decrease in finance receivables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124</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Decrease (increase) in other current and long-term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Increase (decrease) in accounts payable</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(24)</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Decrease in accrued compensation</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(Decrease) increase in other current and long-term liabilities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19</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Net change in income tax assets and liabilities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30</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Net change in derivative assets and liabilities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15</w:t>
            </w:r>
          </w:p>
        </w:tc>
      </w:tr>
      <w:tr>
        <w:trPr>
          <w:trHeight w:val="184"/>
        </w:trPr>
        <w:tc>
          <w:tcPr>
            <w:tcW w:w="5740" w:type="dxa"/>
            <w:vAlign w:val="bottom"/>
            <w:tcBorders>
              <w:bottom w:val="single" w:sz="8" w:color="E5E5E5"/>
            </w:tcBorders>
            <w:gridSpan w:val="2"/>
          </w:tcPr>
          <w:p>
            <w:pPr>
              <w:ind w:left="280"/>
              <w:spacing w:after="0"/>
              <w:rPr>
                <w:sz w:val="20"/>
                <w:szCs w:val="20"/>
                <w:color w:val="auto"/>
              </w:rPr>
            </w:pPr>
            <w:r>
              <w:rPr>
                <w:rFonts w:ascii="Arial" w:cs="Arial" w:eastAsia="Arial" w:hAnsi="Arial"/>
                <w:sz w:val="13"/>
                <w:szCs w:val="13"/>
                <w:color w:val="auto"/>
              </w:rPr>
              <w:t>Other operating, net</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E5E5E5"/>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w:t>
            </w:r>
          </w:p>
        </w:tc>
      </w:tr>
      <w:tr>
        <w:trPr>
          <w:trHeight w:val="185"/>
        </w:trPr>
        <w:tc>
          <w:tcPr>
            <w:tcW w:w="5740" w:type="dxa"/>
            <w:vAlign w:val="bottom"/>
            <w:gridSpan w:val="2"/>
            <w:shd w:val="clear" w:color="auto" w:fill="E5E5E5"/>
          </w:tcPr>
          <w:p>
            <w:pPr>
              <w:ind w:left="560"/>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846</w:t>
            </w:r>
          </w:p>
        </w:tc>
      </w:tr>
      <w:tr>
        <w:trPr>
          <w:trHeight w:val="184"/>
        </w:trPr>
        <w:tc>
          <w:tcPr>
            <w:tcW w:w="5740" w:type="dxa"/>
            <w:vAlign w:val="bottom"/>
            <w:gridSpan w:val="2"/>
          </w:tcPr>
          <w:p>
            <w:pPr>
              <w:ind w:left="560"/>
              <w:spacing w:after="0"/>
              <w:rPr>
                <w:sz w:val="20"/>
                <w:szCs w:val="20"/>
                <w:color w:val="auto"/>
              </w:rPr>
            </w:pPr>
            <w:r>
              <w:rPr>
                <w:rFonts w:ascii="Arial" w:cs="Arial" w:eastAsia="Arial" w:hAnsi="Arial"/>
                <w:sz w:val="13"/>
                <w:szCs w:val="13"/>
                <w:color w:val="auto"/>
              </w:rPr>
              <w:t>Net cash provided by operating activities of discontinued operations</w:t>
            </w:r>
          </w:p>
        </w:tc>
        <w:tc>
          <w:tcPr>
            <w:tcW w:w="8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49</w:t>
            </w:r>
          </w:p>
        </w:tc>
      </w:tr>
      <w:tr>
        <w:trPr>
          <w:trHeight w:val="185"/>
        </w:trPr>
        <w:tc>
          <w:tcPr>
            <w:tcW w:w="5740" w:type="dxa"/>
            <w:vAlign w:val="bottom"/>
            <w:tcBorders>
              <w:top w:val="single" w:sz="8" w:color="E5E5E5"/>
            </w:tcBorders>
            <w:gridSpan w:val="2"/>
            <w:shd w:val="clear" w:color="auto" w:fill="E5E5E5"/>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860" w:type="dxa"/>
            <w:vAlign w:val="bottom"/>
            <w:tcBorders>
              <w:top w:val="single" w:sz="8" w:color="auto"/>
              <w:bottom w:val="single" w:sz="8" w:color="auto"/>
            </w:tcBorders>
            <w:shd w:val="clear" w:color="auto" w:fill="E5E5E5"/>
          </w:tcPr>
          <w:p>
            <w:pPr>
              <w:spacing w:after="0"/>
              <w:rPr>
                <w:sz w:val="16"/>
                <w:szCs w:val="16"/>
                <w:color w:val="auto"/>
              </w:rPr>
            </w:pP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Borders>
              <w:top w:val="single" w:sz="8" w:color="E5E5E5"/>
            </w:tcBorders>
            <w:shd w:val="clear" w:color="auto" w:fill="E5E5E5"/>
          </w:tcPr>
          <w:p>
            <w:pPr>
              <w:spacing w:after="0"/>
              <w:rPr>
                <w:sz w:val="16"/>
                <w:szCs w:val="16"/>
                <w:color w:val="auto"/>
              </w:rPr>
            </w:pPr>
          </w:p>
        </w:tc>
        <w:tc>
          <w:tcPr>
            <w:tcW w:w="960" w:type="dxa"/>
            <w:vAlign w:val="bottom"/>
            <w:tcBorders>
              <w:top w:val="single" w:sz="8" w:color="auto"/>
              <w:bottom w:val="single" w:sz="8" w:color="auto"/>
            </w:tcBorders>
            <w:shd w:val="clear" w:color="auto" w:fill="E5E5E5"/>
          </w:tcPr>
          <w:p>
            <w:pPr>
              <w:spacing w:after="0"/>
              <w:rPr>
                <w:sz w:val="16"/>
                <w:szCs w:val="16"/>
                <w:color w:val="auto"/>
              </w:rPr>
            </w:pPr>
          </w:p>
        </w:tc>
        <w:tc>
          <w:tcPr>
            <w:tcW w:w="4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Borders>
              <w:top w:val="single" w:sz="8" w:color="E5E5E5"/>
            </w:tcBorders>
            <w:shd w:val="clear" w:color="auto" w:fill="E5E5E5"/>
          </w:tcPr>
          <w:p>
            <w:pPr>
              <w:spacing w:after="0"/>
              <w:rPr>
                <w:sz w:val="16"/>
                <w:szCs w:val="16"/>
                <w:color w:val="auto"/>
              </w:rPr>
            </w:pPr>
          </w:p>
        </w:tc>
        <w:tc>
          <w:tcPr>
            <w:tcW w:w="280" w:type="dxa"/>
            <w:vAlign w:val="bottom"/>
            <w:tcBorders>
              <w:top w:val="single" w:sz="8" w:color="auto"/>
              <w:bottom w:val="single" w:sz="8" w:color="auto"/>
            </w:tcBorders>
            <w:shd w:val="clear" w:color="auto" w:fill="E5E5E5"/>
          </w:tcPr>
          <w:p>
            <w:pPr>
              <w:spacing w:after="0"/>
              <w:rPr>
                <w:sz w:val="16"/>
                <w:szCs w:val="16"/>
                <w:color w:val="auto"/>
              </w:rPr>
            </w:pPr>
          </w:p>
        </w:tc>
        <w:tc>
          <w:tcPr>
            <w:tcW w:w="90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313</w:t>
            </w:r>
          </w:p>
        </w:tc>
        <w:tc>
          <w:tcPr>
            <w:tcW w:w="100" w:type="dxa"/>
            <w:vAlign w:val="bottom"/>
            <w:tcBorders>
              <w:top w:val="single" w:sz="8" w:color="E5E5E5"/>
            </w:tcBorders>
            <w:shd w:val="clear" w:color="auto" w:fill="E5E5E5"/>
          </w:tcPr>
          <w:p>
            <w:pPr>
              <w:spacing w:after="0"/>
              <w:rPr>
                <w:sz w:val="16"/>
                <w:szCs w:val="16"/>
                <w:color w:val="auto"/>
              </w:rPr>
            </w:pPr>
          </w:p>
        </w:tc>
        <w:tc>
          <w:tcPr>
            <w:tcW w:w="400" w:type="dxa"/>
            <w:vAlign w:val="bottom"/>
            <w:tcBorders>
              <w:top w:val="single" w:sz="8" w:color="auto"/>
              <w:bottom w:val="single" w:sz="8" w:color="auto"/>
            </w:tcBorders>
            <w:shd w:val="clear" w:color="auto" w:fill="E5E5E5"/>
          </w:tcPr>
          <w:p>
            <w:pPr>
              <w:spacing w:after="0"/>
              <w:rPr>
                <w:sz w:val="16"/>
                <w:szCs w:val="16"/>
                <w:color w:val="auto"/>
              </w:rPr>
            </w:pPr>
          </w:p>
        </w:tc>
        <w:tc>
          <w:tcPr>
            <w:tcW w:w="78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895</w:t>
            </w:r>
          </w:p>
        </w:tc>
      </w:tr>
      <w:tr>
        <w:trPr>
          <w:trHeight w:val="164"/>
        </w:trPr>
        <w:tc>
          <w:tcPr>
            <w:tcW w:w="5740" w:type="dxa"/>
            <w:vAlign w:val="bottom"/>
            <w:gridSpan w:val="2"/>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Cost of additions to land, buildings, equipment and software</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(48)</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Proceeds from sales of businesses and assets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21</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Acquisitions, net of cash acquired</w:t>
            </w:r>
          </w:p>
        </w:tc>
        <w:tc>
          <w:tcPr>
            <w:tcW w:w="8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spacing w:after="0"/>
              <w:rPr>
                <w:sz w:val="16"/>
                <w:szCs w:val="16"/>
                <w:color w:val="auto"/>
              </w:rPr>
            </w:pPr>
          </w:p>
        </w:tc>
        <w:tc>
          <w:tcPr>
            <w:tcW w:w="5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(42)</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Other investing, net</w:t>
            </w:r>
          </w:p>
        </w:tc>
        <w:tc>
          <w:tcPr>
            <w:tcW w:w="8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185"/>
        </w:trPr>
        <w:tc>
          <w:tcPr>
            <w:tcW w:w="5740" w:type="dxa"/>
            <w:vAlign w:val="bottom"/>
            <w:tcBorders>
              <w:top w:val="single" w:sz="8" w:color="E5E5E5"/>
            </w:tcBorders>
            <w:gridSpan w:val="2"/>
            <w:shd w:val="clear" w:color="auto" w:fill="E5E5E5"/>
          </w:tcPr>
          <w:p>
            <w:pPr>
              <w:ind w:left="560"/>
              <w:spacing w:after="0"/>
              <w:rPr>
                <w:sz w:val="20"/>
                <w:szCs w:val="20"/>
                <w:color w:val="auto"/>
              </w:rPr>
            </w:pPr>
            <w:r>
              <w:rPr>
                <w:rFonts w:ascii="Arial" w:cs="Arial" w:eastAsia="Arial" w:hAnsi="Arial"/>
                <w:sz w:val="13"/>
                <w:szCs w:val="13"/>
                <w:color w:val="auto"/>
              </w:rPr>
              <w:t>Net cash provided by (used in) investing activities</w:t>
            </w:r>
          </w:p>
        </w:tc>
        <w:tc>
          <w:tcPr>
            <w:tcW w:w="860" w:type="dxa"/>
            <w:vAlign w:val="bottom"/>
            <w:tcBorders>
              <w:top w:val="single" w:sz="8" w:color="auto"/>
              <w:bottom w:val="single" w:sz="8" w:color="auto"/>
            </w:tcBorders>
            <w:shd w:val="clear" w:color="auto" w:fill="E5E5E5"/>
          </w:tcPr>
          <w:p>
            <w:pPr>
              <w:spacing w:after="0"/>
              <w:rPr>
                <w:sz w:val="16"/>
                <w:szCs w:val="16"/>
                <w:color w:val="auto"/>
              </w:rPr>
            </w:pP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top w:val="single" w:sz="8" w:color="E5E5E5"/>
            </w:tcBorders>
            <w:shd w:val="clear" w:color="auto" w:fill="E5E5E5"/>
          </w:tcPr>
          <w:p>
            <w:pPr>
              <w:spacing w:after="0"/>
              <w:rPr>
                <w:sz w:val="16"/>
                <w:szCs w:val="16"/>
                <w:color w:val="auto"/>
              </w:rPr>
            </w:pPr>
          </w:p>
        </w:tc>
        <w:tc>
          <w:tcPr>
            <w:tcW w:w="960" w:type="dxa"/>
            <w:vAlign w:val="bottom"/>
            <w:tcBorders>
              <w:top w:val="single" w:sz="8" w:color="auto"/>
              <w:bottom w:val="single" w:sz="8" w:color="auto"/>
            </w:tcBorders>
            <w:shd w:val="clear" w:color="auto" w:fill="E5E5E5"/>
          </w:tcPr>
          <w:p>
            <w:pPr>
              <w:spacing w:after="0"/>
              <w:rPr>
                <w:sz w:val="16"/>
                <w:szCs w:val="16"/>
                <w:color w:val="auto"/>
              </w:rPr>
            </w:pPr>
          </w:p>
        </w:tc>
        <w:tc>
          <w:tcPr>
            <w:tcW w:w="4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E5E5E5"/>
            </w:tcBorders>
            <w:shd w:val="clear" w:color="auto" w:fill="E5E5E5"/>
          </w:tcPr>
          <w:p>
            <w:pPr>
              <w:spacing w:after="0"/>
              <w:rPr>
                <w:sz w:val="16"/>
                <w:szCs w:val="16"/>
                <w:color w:val="auto"/>
              </w:rPr>
            </w:pPr>
          </w:p>
        </w:tc>
        <w:tc>
          <w:tcPr>
            <w:tcW w:w="280" w:type="dxa"/>
            <w:vAlign w:val="bottom"/>
            <w:tcBorders>
              <w:top w:val="single" w:sz="8" w:color="auto"/>
              <w:bottom w:val="single" w:sz="8" w:color="auto"/>
            </w:tcBorders>
            <w:shd w:val="clear" w:color="auto" w:fill="E5E5E5"/>
          </w:tcPr>
          <w:p>
            <w:pPr>
              <w:spacing w:after="0"/>
              <w:rPr>
                <w:sz w:val="16"/>
                <w:szCs w:val="16"/>
                <w:color w:val="auto"/>
              </w:rPr>
            </w:pPr>
          </w:p>
        </w:tc>
        <w:tc>
          <w:tcPr>
            <w:tcW w:w="9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Borders>
              <w:top w:val="single" w:sz="8" w:color="E5E5E5"/>
            </w:tcBorders>
            <w:shd w:val="clear" w:color="auto" w:fill="E5E5E5"/>
          </w:tcPr>
          <w:p>
            <w:pPr>
              <w:spacing w:after="0"/>
              <w:rPr>
                <w:sz w:val="16"/>
                <w:szCs w:val="16"/>
                <w:color w:val="auto"/>
              </w:rPr>
            </w:pPr>
          </w:p>
        </w:tc>
        <w:tc>
          <w:tcPr>
            <w:tcW w:w="400" w:type="dxa"/>
            <w:vAlign w:val="bottom"/>
            <w:tcBorders>
              <w:top w:val="single" w:sz="8" w:color="auto"/>
              <w:bottom w:val="single" w:sz="8" w:color="auto"/>
            </w:tcBorders>
            <w:shd w:val="clear" w:color="auto" w:fill="E5E5E5"/>
          </w:tcPr>
          <w:p>
            <w:pPr>
              <w:spacing w:after="0"/>
              <w:rPr>
                <w:sz w:val="16"/>
                <w:szCs w:val="16"/>
                <w:color w:val="auto"/>
              </w:rPr>
            </w:pPr>
          </w:p>
        </w:tc>
        <w:tc>
          <w:tcPr>
            <w:tcW w:w="7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(68)</w:t>
            </w:r>
          </w:p>
        </w:tc>
      </w:tr>
      <w:tr>
        <w:trPr>
          <w:trHeight w:val="164"/>
        </w:trPr>
        <w:tc>
          <w:tcPr>
            <w:tcW w:w="5740" w:type="dxa"/>
            <w:vAlign w:val="bottom"/>
            <w:gridSpan w:val="2"/>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Net proceeds (payments) on debt</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1,077</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769</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(399)</w:t>
            </w:r>
          </w:p>
        </w:tc>
      </w:tr>
      <w:tr>
        <w:trPr>
          <w:trHeight w:val="184"/>
        </w:trPr>
        <w:tc>
          <w:tcPr>
            <w:tcW w:w="5740" w:type="dxa"/>
            <w:vAlign w:val="bottom"/>
            <w:gridSpan w:val="2"/>
          </w:tcPr>
          <w:p>
            <w:pPr>
              <w:ind w:left="280"/>
              <w:spacing w:after="0"/>
              <w:rPr>
                <w:sz w:val="20"/>
                <w:szCs w:val="20"/>
                <w:color w:val="auto"/>
              </w:rPr>
            </w:pPr>
            <w:r>
              <w:rPr>
                <w:rFonts w:ascii="Arial" w:cs="Arial" w:eastAsia="Arial" w:hAnsi="Arial"/>
                <w:sz w:val="13"/>
                <w:szCs w:val="13"/>
                <w:color w:val="auto"/>
              </w:rPr>
              <w:t>Dividends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94"/>
        </w:trPr>
        <w:tc>
          <w:tcPr>
            <w:tcW w:w="574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Payments to acquire treasury stock, including fees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(368)</w:t>
            </w:r>
          </w:p>
        </w:tc>
      </w:tr>
      <w:tr>
        <w:trPr>
          <w:trHeight w:val="184"/>
        </w:trPr>
        <w:tc>
          <w:tcPr>
            <w:tcW w:w="5740" w:type="dxa"/>
            <w:vAlign w:val="bottom"/>
            <w:tcBorders>
              <w:bottom w:val="single" w:sz="8" w:color="E5E5E5"/>
            </w:tcBorders>
            <w:gridSpan w:val="2"/>
          </w:tcPr>
          <w:p>
            <w:pPr>
              <w:ind w:left="280"/>
              <w:spacing w:after="0"/>
              <w:rPr>
                <w:sz w:val="20"/>
                <w:szCs w:val="20"/>
                <w:color w:val="auto"/>
              </w:rPr>
            </w:pPr>
            <w:r>
              <w:rPr>
                <w:rFonts w:ascii="Arial" w:cs="Arial" w:eastAsia="Arial" w:hAnsi="Arial"/>
                <w:sz w:val="13"/>
                <w:szCs w:val="13"/>
                <w:color w:val="auto"/>
              </w:rPr>
              <w:t>Other financing, net</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E5E5E5"/>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81"/>
        </w:trPr>
        <w:tc>
          <w:tcPr>
            <w:tcW w:w="5740" w:type="dxa"/>
            <w:vAlign w:val="bottom"/>
            <w:gridSpan w:val="2"/>
            <w:shd w:val="clear" w:color="auto" w:fill="E5E5E5"/>
          </w:tcPr>
          <w:p>
            <w:pPr>
              <w:ind w:left="560"/>
              <w:spacing w:after="0"/>
              <w:rPr>
                <w:sz w:val="20"/>
                <w:szCs w:val="20"/>
                <w:color w:val="auto"/>
              </w:rPr>
            </w:pPr>
            <w:r>
              <w:rPr>
                <w:rFonts w:ascii="Arial" w:cs="Arial" w:eastAsia="Arial" w:hAnsi="Arial"/>
                <w:sz w:val="13"/>
                <w:szCs w:val="13"/>
                <w:color w:val="auto"/>
              </w:rPr>
              <w:t>Net cash provided by (used in) financing activities</w:t>
            </w:r>
          </w:p>
        </w:tc>
        <w:tc>
          <w:tcPr>
            <w:tcW w:w="860" w:type="dxa"/>
            <w:vAlign w:val="bottom"/>
            <w:tcBorders>
              <w:bottom w:val="single" w:sz="8" w:color="auto"/>
            </w:tcBorders>
            <w:shd w:val="clear" w:color="auto" w:fill="E5E5E5"/>
          </w:tcPr>
          <w:p>
            <w:pPr>
              <w:spacing w:after="0"/>
              <w:rPr>
                <w:sz w:val="15"/>
                <w:szCs w:val="15"/>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856</w:t>
            </w:r>
          </w:p>
        </w:tc>
        <w:tc>
          <w:tcPr>
            <w:tcW w:w="120" w:type="dxa"/>
            <w:vAlign w:val="bottom"/>
            <w:shd w:val="clear" w:color="auto" w:fill="E5E5E5"/>
          </w:tcPr>
          <w:p>
            <w:pPr>
              <w:spacing w:after="0"/>
              <w:rPr>
                <w:sz w:val="15"/>
                <w:szCs w:val="15"/>
                <w:color w:val="auto"/>
              </w:rPr>
            </w:pPr>
          </w:p>
        </w:tc>
        <w:tc>
          <w:tcPr>
            <w:tcW w:w="960" w:type="dxa"/>
            <w:vAlign w:val="bottom"/>
            <w:tcBorders>
              <w:bottom w:val="single" w:sz="8" w:color="auto"/>
            </w:tcBorders>
            <w:shd w:val="clear" w:color="auto" w:fill="E5E5E5"/>
          </w:tcPr>
          <w:p>
            <w:pPr>
              <w:spacing w:after="0"/>
              <w:rPr>
                <w:sz w:val="15"/>
                <w:szCs w:val="15"/>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E5E5E5"/>
          </w:tcPr>
          <w:p>
            <w:pPr>
              <w:spacing w:after="0"/>
              <w:rPr>
                <w:sz w:val="15"/>
                <w:szCs w:val="15"/>
                <w:color w:val="auto"/>
              </w:rPr>
            </w:pPr>
          </w:p>
        </w:tc>
        <w:tc>
          <w:tcPr>
            <w:tcW w:w="280" w:type="dxa"/>
            <w:vAlign w:val="bottom"/>
            <w:tcBorders>
              <w:bottom w:val="single" w:sz="8" w:color="auto"/>
            </w:tcBorders>
            <w:shd w:val="clear" w:color="auto" w:fill="E5E5E5"/>
          </w:tcPr>
          <w:p>
            <w:pPr>
              <w:spacing w:after="0"/>
              <w:rPr>
                <w:sz w:val="15"/>
                <w:szCs w:val="15"/>
                <w:color w:val="auto"/>
              </w:rPr>
            </w:pPr>
          </w:p>
        </w:tc>
        <w:tc>
          <w:tcPr>
            <w:tcW w:w="9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424</w:t>
            </w:r>
          </w:p>
        </w:tc>
        <w:tc>
          <w:tcPr>
            <w:tcW w:w="100" w:type="dxa"/>
            <w:vAlign w:val="bottom"/>
            <w:shd w:val="clear" w:color="auto" w:fill="E5E5E5"/>
          </w:tcPr>
          <w:p>
            <w:pPr>
              <w:spacing w:after="0"/>
              <w:rPr>
                <w:sz w:val="15"/>
                <w:szCs w:val="15"/>
                <w:color w:val="auto"/>
              </w:rPr>
            </w:pPr>
          </w:p>
        </w:tc>
        <w:tc>
          <w:tcPr>
            <w:tcW w:w="400" w:type="dxa"/>
            <w:vAlign w:val="bottom"/>
            <w:tcBorders>
              <w:bottom w:val="single" w:sz="8" w:color="auto"/>
            </w:tcBorders>
            <w:shd w:val="clear" w:color="auto" w:fill="E5E5E5"/>
          </w:tcPr>
          <w:p>
            <w:pPr>
              <w:spacing w:after="0"/>
              <w:rPr>
                <w:sz w:val="15"/>
                <w:szCs w:val="15"/>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(983)</w:t>
            </w:r>
          </w:p>
        </w:tc>
      </w:tr>
      <w:tr>
        <w:trPr>
          <w:trHeight w:val="181"/>
        </w:trPr>
        <w:tc>
          <w:tcPr>
            <w:tcW w:w="574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E5E5E5"/>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E5E5E5"/>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85"/>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Increase (decrease) in cash, cash equivalents and restricted cash</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983</w:t>
            </w: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(169)</w:t>
            </w:r>
          </w:p>
        </w:tc>
      </w:tr>
      <w:tr>
        <w:trPr>
          <w:trHeight w:val="184"/>
        </w:trPr>
        <w:tc>
          <w:tcPr>
            <w:tcW w:w="574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2,314</w:t>
            </w:r>
          </w:p>
        </w:tc>
        <w:tc>
          <w:tcPr>
            <w:tcW w:w="120" w:type="dxa"/>
            <w:vAlign w:val="bottom"/>
            <w:tcBorders>
              <w:bottom w:val="single" w:sz="8" w:color="E5E5E5"/>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10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2,795</w:t>
            </w:r>
          </w:p>
        </w:tc>
        <w:tc>
          <w:tcPr>
            <w:tcW w:w="10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1,148</w:t>
            </w:r>
          </w:p>
        </w:tc>
      </w:tr>
      <w:tr>
        <w:trPr>
          <w:trHeight w:val="210"/>
        </w:trPr>
        <w:tc>
          <w:tcPr>
            <w:tcW w:w="57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Cash, Cash Equivalents and Restricted Cash at End of Period</w:t>
            </w:r>
            <w:r>
              <w:rPr>
                <w:rFonts w:ascii="Arial" w:cs="Arial" w:eastAsia="Arial" w:hAnsi="Arial"/>
                <w:sz w:val="16"/>
                <w:szCs w:val="16"/>
                <w:b w:val="1"/>
                <w:bCs w:val="1"/>
                <w:color w:val="auto"/>
                <w:vertAlign w:val="superscript"/>
              </w:rPr>
              <w:t>(1)</w:t>
            </w:r>
          </w:p>
        </w:tc>
        <w:tc>
          <w:tcPr>
            <w:tcW w:w="860" w:type="dxa"/>
            <w:vAlign w:val="bottom"/>
            <w:tcBorders>
              <w:bottom w:val="single" w:sz="8" w:color="auto"/>
            </w:tcBorders>
            <w:shd w:val="clear" w:color="auto" w:fill="E5E5E5"/>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3,297</w:t>
            </w:r>
          </w:p>
        </w:tc>
        <w:tc>
          <w:tcPr>
            <w:tcW w:w="120" w:type="dxa"/>
            <w:vAlign w:val="bottom"/>
            <w:tcBorders>
              <w:bottom w:val="single" w:sz="8" w:color="E5E5E5"/>
            </w:tcBorders>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jc w:val="right"/>
              <w:ind w:right="81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979</w:t>
            </w:r>
          </w:p>
        </w:tc>
        <w:tc>
          <w:tcPr>
            <w:tcW w:w="100" w:type="dxa"/>
            <w:vAlign w:val="bottom"/>
            <w:tcBorders>
              <w:bottom w:val="single" w:sz="8" w:color="E5E5E5"/>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3,297</w:t>
            </w:r>
          </w:p>
        </w:tc>
        <w:tc>
          <w:tcPr>
            <w:tcW w:w="100" w:type="dxa"/>
            <w:vAlign w:val="bottom"/>
            <w:tcBorders>
              <w:bottom w:val="single" w:sz="8" w:color="E5E5E5"/>
            </w:tcBorders>
            <w:shd w:val="clear" w:color="auto" w:fill="E5E5E5"/>
          </w:tcPr>
          <w:p>
            <w:pPr>
              <w:spacing w:after="0"/>
              <w:rPr>
                <w:sz w:val="17"/>
                <w:szCs w:val="17"/>
                <w:color w:val="auto"/>
              </w:rPr>
            </w:pPr>
          </w:p>
        </w:tc>
        <w:tc>
          <w:tcPr>
            <w:tcW w:w="40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979</w:t>
            </w:r>
          </w:p>
        </w:tc>
      </w:tr>
      <w:tr>
        <w:trPr>
          <w:trHeight w:val="20"/>
        </w:trPr>
        <w:tc>
          <w:tcPr>
            <w:tcW w:w="56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60" w:type="dxa"/>
            <w:vAlign w:val="bottom"/>
            <w:tcBorders>
              <w:top w:val="single" w:sz="8" w:color="E5E5E5"/>
              <w:bottom w:val="single" w:sz="8" w:color="auto"/>
            </w:tcBorders>
          </w:tcPr>
          <w:p>
            <w:pPr>
              <w:spacing w:after="0" w:line="20" w:lineRule="exact"/>
              <w:rPr>
                <w:sz w:val="1"/>
                <w:szCs w:val="1"/>
                <w:color w:val="auto"/>
              </w:rPr>
            </w:pPr>
          </w:p>
        </w:tc>
        <w:tc>
          <w:tcPr>
            <w:tcW w:w="4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780" w:type="dxa"/>
            <w:vAlign w:val="bottom"/>
            <w:tcBorders>
              <w:top w:val="single" w:sz="8" w:color="E5E5E5"/>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w:t>
      </w:r>
    </w:p>
    <w:p>
      <w:pPr>
        <w:ind w:left="105" w:hanging="105"/>
        <w:spacing w:after="0" w:line="229" w:lineRule="auto"/>
        <w:tabs>
          <w:tab w:leader="none" w:pos="105" w:val="left"/>
        </w:tabs>
        <w:numPr>
          <w:ilvl w:val="0"/>
          <w:numId w:val="8"/>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Balance at September 30, 2019 includes $1 associated with discontinued operations.</w:t>
      </w:r>
    </w:p>
    <w:p>
      <w:pPr>
        <w:spacing w:after="0" w:line="31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5"/>
          </w:cols>
          <w:pgMar w:left="315" w:top="733" w:right="31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DA2031"/>
        </w:rPr>
        <w:t>Impact of COVID-19 on Our Business Operations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response to the COVID-19 pandemic, we have prioritized the health and safety of our employees, customers and partners to support their needs in the current hybrid environment so work can be done flawlessly, migrating between the workplace and the home-office. While we continue to implement actions to mitigate the effects of the pandemic on our business and operations, the uncertainty around its trajectory, duration and economic impact make it difficult for the company to predict its full impact on our business operations and financial performance. As a result, we are not providing specific financial guidance at this time.</w:t>
      </w:r>
    </w:p>
    <w:p>
      <w:pPr>
        <w:spacing w:after="0" w:line="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During the third quarter, corresponding with business reopenings, the rate of decline of equipment installations (including in areas of our business that support our hybrid workplace initiatives) improved, as did printed-page volumes. These operational improvements resulted in a moderation of our rate of revenue decline during the third quarter as compared to the second quarter, which gives us confidence in the resilience and readiness of our business to recover as progress is made to control the pandemic and as businesses and economies reopen. We have modeled the impacts on our business of numerous recovery scenarios and expect to deliver positive earnings and free cash flow in the fourth quarter. However, the ongoing resurgence of the virus around the globe, and the impact it is having in forcing new restrictions and lockdowns, leads us to anticipate that our revenues will continue to decline significantly as compared to the prior year, as businesses hold off or delay purchases until there is a more certain path to controlling the pandemic and to economic recovery.</w:t>
      </w:r>
    </w:p>
    <w:p>
      <w:pPr>
        <w:spacing w:after="0" w:line="92"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During the current year, the most significant impact from the pandemic has been on sales of our equipment and unbundled supplies. However, due to their transactional nature, these revenues experienced the largest recovery during the third quarter and we expect that they will continue to fluctuate and gradually improve concurrent with business reopenings. Our bundled services contracts, on average, include a minimum fixed charge and a significant variable component based on print volumes. The variable charges are impacted by our customers' employees not being in the office using our equipment due to lock-downs or capacity restrictions in office buildings. We expect that this contractual relationship will continue to enable us to ramp up and support our customers' needs as businesses resume operations.</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a strong balance sheet and sufficient liquidity, including access to our undrawn $1.8 billion revolver. We further strengthened our liquidity by refinancing our 2020 debt maturities in the third quarter 2020 and early-redeeming a portion of our 2021 debt maturities in October with the proceeds from the issuance of new senior unsecured notes and from a finance receivables securitization. With our Project Own It transformation and cost savings, we built a more flexible cost structure, and have also focused our efforts on incremental actions to prioritize and preserve cash as we manage through the pandemic. These actions include the use of available temporary government assistance measures and furlough programs, and the reduction of discretionary spend such as near term targeted marketing programs, the use of contract employees, and the temporary suspension of 401(k) matching contributions, as well as lower compensation incentives consistent with lower sales and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DA2031"/>
        </w:rPr>
        <w:t>Government Assistance and Furlough Programs</w:t>
      </w:r>
    </w:p>
    <w:p>
      <w:pPr>
        <w:spacing w:after="0" w:line="160"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In response to the COVID-19 pandemic, various governments have enacted or continue to contemplate temporary measures to provide aid and economic stimulus directly to companies through cash grants and credits or indirectly through payments to temporarily furloughed employees.</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 March 27, 2020, in response to the COVID-19 pandemic, the U.S. government enacted the Coronavirus Aid, Relief, and Economic Security Act (the "CARES Act"). In addition to including temporary changes to income and non-income-based tax laws, the CARES Act provides refundable employee retention credits and defers the requirement to remit the employer-paid portion of social security payroll taxes. Similar pay protection programs were enacted in Canada and Europe that primarily provide direct grants to companies to cover the salary and wages of employees (retained or temporarily furloughed). During third quarter 2020, we recognized savings of approximately $35 million from these temporary measures in the U.S., Canada and Europe, including $28 million from various government assistance programs and $7 million from furlough programs. Through the use of these programs, we have thus far been able to provide an offset to our costs, without further use of cash, while largely maintaining our employee base and minimizing the financial impact to our employees.</w:t>
      </w:r>
    </w:p>
    <w:p>
      <w:pPr>
        <w:spacing w:after="0" w:line="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There were no material impacts to our income tax expense in the third quarter 2020 as a result of the temporary changes included in the CARES Act and we expect to defer payment of the employer-paid portion of social security payroll taxes through the end of calendar year 2020; however, this deferral will be reduced by employee retention credits as earned during 2020.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893" w:right="319" w:bottom="1440" w:gutter="0" w:footer="0" w:header="0"/>
        </w:sectPr>
      </w:pPr>
    </w:p>
    <w:bookmarkStart w:id="14" w:name="page15"/>
    <w:bookmarkEnd w:id="14"/>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savings of approximately $35 million were recorded as follows in the Condensed Consolidated Statements of Income: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right"/>
              <w:ind w:right="297"/>
              <w:spacing w:after="0"/>
              <w:rPr>
                <w:sz w:val="20"/>
                <w:szCs w:val="20"/>
                <w:color w:val="auto"/>
              </w:rPr>
            </w:pPr>
            <w:r>
              <w:rPr>
                <w:rFonts w:ascii="Arial" w:cs="Arial" w:eastAsia="Arial" w:hAnsi="Arial"/>
                <w:sz w:val="13"/>
                <w:szCs w:val="13"/>
                <w:color w:val="auto"/>
              </w:rPr>
              <w:t>Three Months Ended</w:t>
            </w:r>
          </w:p>
        </w:tc>
      </w:tr>
      <w:tr>
        <w:trPr>
          <w:trHeight w:val="157"/>
        </w:trPr>
        <w:tc>
          <w:tcPr>
            <w:tcW w:w="9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September 30, 2020</w:t>
            </w:r>
          </w:p>
        </w:tc>
      </w:tr>
      <w:tr>
        <w:trPr>
          <w:trHeight w:val="181"/>
        </w:trPr>
        <w:tc>
          <w:tcPr>
            <w:tcW w:w="9380" w:type="dxa"/>
            <w:vAlign w:val="bottom"/>
            <w:gridSpan w:val="2"/>
          </w:tcPr>
          <w:p>
            <w:pPr>
              <w:ind w:left="20"/>
              <w:spacing w:after="0"/>
              <w:rPr>
                <w:sz w:val="20"/>
                <w:szCs w:val="20"/>
                <w:color w:val="auto"/>
              </w:rPr>
            </w:pPr>
            <w:r>
              <w:rPr>
                <w:rFonts w:ascii="Arial" w:cs="Arial" w:eastAsia="Arial" w:hAnsi="Arial"/>
                <w:sz w:val="13"/>
                <w:szCs w:val="13"/>
                <w:color w:val="auto"/>
              </w:rPr>
              <w:t>Cost of sales</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194"/>
        </w:trPr>
        <w:tc>
          <w:tcPr>
            <w:tcW w:w="938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Cost of services, maintenance and rentals</w:t>
            </w:r>
          </w:p>
        </w:tc>
        <w:tc>
          <w:tcPr>
            <w:tcW w:w="2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25</w:t>
            </w:r>
          </w:p>
        </w:tc>
      </w:tr>
      <w:tr>
        <w:trPr>
          <w:trHeight w:val="184"/>
        </w:trPr>
        <w:tc>
          <w:tcPr>
            <w:tcW w:w="938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Selling, administrative and general expenses</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r>
      <w:tr>
        <w:trPr>
          <w:trHeight w:val="210"/>
        </w:trPr>
        <w:tc>
          <w:tcPr>
            <w:tcW w:w="93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color w:val="auto"/>
              </w:rPr>
              <w:t>Total Estimated Savings</w:t>
            </w:r>
          </w:p>
        </w:tc>
        <w:tc>
          <w:tcPr>
            <w:tcW w:w="22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35</w:t>
            </w:r>
          </w:p>
        </w:tc>
      </w:tr>
      <w:tr>
        <w:trPr>
          <w:trHeight w:val="20"/>
        </w:trPr>
        <w:tc>
          <w:tcPr>
            <w:tcW w:w="92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1440" w:right="319" w:bottom="1440" w:gutter="0" w:footer="0" w:header="0"/>
        </w:sectPr>
      </w:pPr>
    </w:p>
    <w:bookmarkStart w:id="15" w:name="page16"/>
    <w:bookmarkEnd w:id="15"/>
    <w:p>
      <w:pPr>
        <w:ind w:left="5"/>
        <w:spacing w:after="0"/>
        <w:rPr>
          <w:sz w:val="20"/>
          <w:szCs w:val="20"/>
          <w:color w:val="auto"/>
        </w:rPr>
      </w:pPr>
      <w:r>
        <w:rPr>
          <w:rFonts w:ascii="Arial" w:cs="Arial" w:eastAsia="Arial" w:hAnsi="Arial"/>
          <w:sz w:val="22"/>
          <w:szCs w:val="22"/>
          <w:b w:val="1"/>
          <w:bCs w:val="1"/>
          <w:color w:val="DA2031"/>
        </w:rPr>
        <w:t>Revenues</w:t>
      </w:r>
    </w:p>
    <w:p>
      <w:pPr>
        <w:spacing w:after="0" w:line="16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right"/>
              <w:ind w:right="117"/>
              <w:spacing w:after="0"/>
              <w:rPr>
                <w:sz w:val="20"/>
                <w:szCs w:val="20"/>
                <w:color w:val="auto"/>
              </w:rPr>
            </w:pPr>
            <w:r>
              <w:rPr>
                <w:rFonts w:ascii="Arial" w:cs="Arial" w:eastAsia="Arial" w:hAnsi="Arial"/>
                <w:sz w:val="13"/>
                <w:szCs w:val="13"/>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color w:val="auto"/>
                <w:w w:val="98"/>
              </w:rPr>
              <w:t>September 30,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color w:val="auto"/>
              </w:rPr>
              <w:t>% of Total Revenue</w:t>
            </w:r>
          </w:p>
        </w:tc>
      </w:tr>
      <w:tr>
        <w:trPr>
          <w:trHeight w:val="158"/>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tcPr>
          <w:p>
            <w:pPr>
              <w:jc w:val="center"/>
              <w:ind w:lef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E5E5E5"/>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E5E5E5"/>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E5E5E5"/>
            </w:tcBorders>
          </w:tcPr>
          <w:p>
            <w:pPr>
              <w:spacing w:after="0"/>
              <w:rPr>
                <w:sz w:val="13"/>
                <w:szCs w:val="13"/>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Change</w:t>
            </w:r>
          </w:p>
        </w:tc>
        <w:tc>
          <w:tcPr>
            <w:tcW w:w="100" w:type="dxa"/>
            <w:vAlign w:val="bottom"/>
            <w:tcBorders>
              <w:bottom w:val="single" w:sz="8" w:color="E5E5E5"/>
            </w:tcBorders>
          </w:tcPr>
          <w:p>
            <w:pPr>
              <w:spacing w:after="0"/>
              <w:rPr>
                <w:sz w:val="13"/>
                <w:szCs w:val="13"/>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CC % Change</w:t>
            </w:r>
          </w:p>
        </w:tc>
        <w:tc>
          <w:tcPr>
            <w:tcW w:w="100" w:type="dxa"/>
            <w:vAlign w:val="bottom"/>
            <w:tcBorders>
              <w:bottom w:val="single" w:sz="8" w:color="E5E5E5"/>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120" w:type="dxa"/>
            <w:vAlign w:val="bottom"/>
            <w:tcBorders>
              <w:bottom w:val="single" w:sz="8" w:color="E5E5E5"/>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r>
      <w:tr>
        <w:trPr>
          <w:trHeight w:val="185"/>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Equipment sales</w:t>
            </w:r>
          </w:p>
        </w:tc>
        <w:tc>
          <w:tcPr>
            <w:tcW w:w="700" w:type="dxa"/>
            <w:vAlign w:val="bottom"/>
            <w:shd w:val="clear" w:color="auto" w:fill="E5E5E5"/>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419</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494</w:t>
            </w:r>
          </w:p>
        </w:tc>
        <w:tc>
          <w:tcPr>
            <w:tcW w:w="1200" w:type="dxa"/>
            <w:vAlign w:val="bottom"/>
            <w:gridSpan w:val="2"/>
            <w:shd w:val="clear" w:color="auto" w:fill="E5E5E5"/>
          </w:tcPr>
          <w:p>
            <w:pPr>
              <w:jc w:val="center"/>
              <w:ind w:left="57"/>
              <w:spacing w:after="0"/>
              <w:rPr>
                <w:sz w:val="20"/>
                <w:szCs w:val="20"/>
                <w:color w:val="auto"/>
              </w:rPr>
            </w:pPr>
            <w:r>
              <w:rPr>
                <w:rFonts w:ascii="Arial" w:cs="Arial" w:eastAsia="Arial" w:hAnsi="Arial"/>
                <w:sz w:val="13"/>
                <w:szCs w:val="13"/>
                <w:color w:val="auto"/>
                <w:w w:val="96"/>
              </w:rPr>
              <w:t>(15.2)%</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6"/>
              </w:rPr>
              <w:t>(16.1)%</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2"/>
              </w:rPr>
              <w:t>24%</w:t>
            </w: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2"/>
              </w:rPr>
              <w:t>23%</w:t>
            </w:r>
          </w:p>
        </w:tc>
      </w:tr>
      <w:tr>
        <w:trPr>
          <w:trHeight w:val="184"/>
        </w:trPr>
        <w:tc>
          <w:tcPr>
            <w:tcW w:w="418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Post sale revenue</w:t>
            </w: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1,348</w:t>
            </w:r>
          </w:p>
        </w:tc>
        <w:tc>
          <w:tcPr>
            <w:tcW w:w="10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1,685</w:t>
            </w:r>
          </w:p>
        </w:tc>
        <w:tc>
          <w:tcPr>
            <w:tcW w:w="1200" w:type="dxa"/>
            <w:vAlign w:val="bottom"/>
            <w:tcBorders>
              <w:bottom w:val="single" w:sz="8" w:color="E5E5E5"/>
            </w:tcBorders>
            <w:gridSpan w:val="2"/>
          </w:tcPr>
          <w:p>
            <w:pPr>
              <w:jc w:val="center"/>
              <w:ind w:left="57"/>
              <w:spacing w:after="0"/>
              <w:rPr>
                <w:sz w:val="20"/>
                <w:szCs w:val="20"/>
                <w:color w:val="auto"/>
              </w:rPr>
            </w:pPr>
            <w:r>
              <w:rPr>
                <w:rFonts w:ascii="Arial" w:cs="Arial" w:eastAsia="Arial" w:hAnsi="Arial"/>
                <w:sz w:val="13"/>
                <w:szCs w:val="13"/>
                <w:color w:val="auto"/>
                <w:w w:val="96"/>
              </w:rPr>
              <w:t>(20.0)%</w:t>
            </w:r>
          </w:p>
        </w:tc>
        <w:tc>
          <w:tcPr>
            <w:tcW w:w="100" w:type="dxa"/>
            <w:vAlign w:val="bottom"/>
            <w:tcBorders>
              <w:bottom w:val="single" w:sz="8" w:color="E5E5E5"/>
            </w:tcBorders>
          </w:tcPr>
          <w:p>
            <w:pPr>
              <w:spacing w:after="0"/>
              <w:rPr>
                <w:sz w:val="16"/>
                <w:szCs w:val="16"/>
                <w:color w:val="auto"/>
              </w:rPr>
            </w:pPr>
          </w:p>
        </w:tc>
        <w:tc>
          <w:tcPr>
            <w:tcW w:w="1080" w:type="dxa"/>
            <w:vAlign w:val="bottom"/>
            <w:tcBorders>
              <w:bottom w:val="single" w:sz="8" w:color="E5E5E5"/>
            </w:tcBorders>
          </w:tcPr>
          <w:p>
            <w:pPr>
              <w:jc w:val="center"/>
              <w:spacing w:after="0"/>
              <w:rPr>
                <w:sz w:val="20"/>
                <w:szCs w:val="20"/>
                <w:color w:val="auto"/>
              </w:rPr>
            </w:pPr>
            <w:r>
              <w:rPr>
                <w:rFonts w:ascii="Arial" w:cs="Arial" w:eastAsia="Arial" w:hAnsi="Arial"/>
                <w:sz w:val="13"/>
                <w:szCs w:val="13"/>
                <w:color w:val="auto"/>
                <w:w w:val="96"/>
              </w:rPr>
              <w:t>(20.7)%</w:t>
            </w:r>
          </w:p>
        </w:tc>
        <w:tc>
          <w:tcPr>
            <w:tcW w:w="100" w:type="dxa"/>
            <w:vAlign w:val="bottom"/>
            <w:tcBorders>
              <w:bottom w:val="single" w:sz="8" w:color="E5E5E5"/>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76%</w:t>
            </w:r>
          </w:p>
        </w:tc>
        <w:tc>
          <w:tcPr>
            <w:tcW w:w="120" w:type="dxa"/>
            <w:vAlign w:val="bottom"/>
            <w:tcBorders>
              <w:bottom w:val="single" w:sz="8" w:color="E5E5E5"/>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77%</w:t>
            </w:r>
          </w:p>
        </w:tc>
      </w:tr>
      <w:tr>
        <w:trPr>
          <w:trHeight w:val="210"/>
        </w:trPr>
        <w:tc>
          <w:tcPr>
            <w:tcW w:w="41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Total Revenue</w:t>
            </w:r>
          </w:p>
        </w:tc>
        <w:tc>
          <w:tcPr>
            <w:tcW w:w="70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w w:val="92"/>
              </w:rPr>
              <w:t>1,767</w:t>
            </w:r>
          </w:p>
        </w:tc>
        <w:tc>
          <w:tcPr>
            <w:tcW w:w="100" w:type="dxa"/>
            <w:vAlign w:val="bottom"/>
            <w:tcBorders>
              <w:bottom w:val="single" w:sz="8" w:color="E5E5E5"/>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w w:val="92"/>
              </w:rPr>
              <w:t>2,179</w:t>
            </w:r>
          </w:p>
        </w:tc>
        <w:tc>
          <w:tcPr>
            <w:tcW w:w="1200" w:type="dxa"/>
            <w:vAlign w:val="bottom"/>
            <w:tcBorders>
              <w:bottom w:val="single" w:sz="8" w:color="E5E5E5"/>
            </w:tcBorders>
            <w:gridSpan w:val="2"/>
            <w:shd w:val="clear" w:color="auto" w:fill="E5E5E5"/>
          </w:tcPr>
          <w:p>
            <w:pPr>
              <w:jc w:val="center"/>
              <w:ind w:left="57"/>
              <w:spacing w:after="0"/>
              <w:rPr>
                <w:sz w:val="20"/>
                <w:szCs w:val="20"/>
                <w:color w:val="auto"/>
              </w:rPr>
            </w:pPr>
            <w:r>
              <w:rPr>
                <w:rFonts w:ascii="Arial" w:cs="Arial" w:eastAsia="Arial" w:hAnsi="Arial"/>
                <w:sz w:val="13"/>
                <w:szCs w:val="13"/>
                <w:color w:val="auto"/>
                <w:w w:val="96"/>
              </w:rPr>
              <w:t>(18.9)%</w:t>
            </w:r>
          </w:p>
        </w:tc>
        <w:tc>
          <w:tcPr>
            <w:tcW w:w="10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auto"/>
                <w:w w:val="96"/>
              </w:rPr>
              <w:t>(19.7)%</w:t>
            </w:r>
          </w:p>
        </w:tc>
        <w:tc>
          <w:tcPr>
            <w:tcW w:w="10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100%</w:t>
            </w:r>
          </w:p>
        </w:tc>
        <w:tc>
          <w:tcPr>
            <w:tcW w:w="12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100%</w:t>
            </w:r>
          </w:p>
        </w:tc>
      </w:tr>
      <w:tr>
        <w:trPr>
          <w:trHeight w:val="20"/>
        </w:trPr>
        <w:tc>
          <w:tcPr>
            <w:tcW w:w="4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00" w:type="dxa"/>
            <w:vAlign w:val="bottom"/>
            <w:tcBorders>
              <w:top w:val="single" w:sz="8" w:color="E5E5E5"/>
              <w:bottom w:val="single" w:sz="8" w:color="auto"/>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20" w:type="dxa"/>
            <w:vAlign w:val="bottom"/>
            <w:tcBorders>
              <w:top w:val="single" w:sz="8" w:color="E5E5E5"/>
              <w:bottom w:val="single" w:sz="8" w:color="auto"/>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r>
      <w:tr>
        <w:trPr>
          <w:trHeight w:val="133"/>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Reconciliation to Condensed Consolidated Statements of Income:</w:t>
            </w:r>
          </w:p>
        </w:tc>
        <w:tc>
          <w:tcPr>
            <w:tcW w:w="7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r>
      <w:tr>
        <w:trPr>
          <w:trHeight w:val="184"/>
        </w:trPr>
        <w:tc>
          <w:tcPr>
            <w:tcW w:w="4180" w:type="dxa"/>
            <w:vAlign w:val="bottom"/>
            <w:gridSpan w:val="2"/>
          </w:tcPr>
          <w:p>
            <w:pPr>
              <w:ind w:left="20"/>
              <w:spacing w:after="0"/>
              <w:rPr>
                <w:sz w:val="20"/>
                <w:szCs w:val="20"/>
                <w:color w:val="auto"/>
              </w:rPr>
            </w:pPr>
            <w:r>
              <w:rPr>
                <w:rFonts w:ascii="Arial" w:cs="Arial" w:eastAsia="Arial" w:hAnsi="Arial"/>
                <w:sz w:val="13"/>
                <w:szCs w:val="13"/>
                <w:color w:val="auto"/>
              </w:rPr>
              <w:t>Sales</w:t>
            </w:r>
          </w:p>
        </w:tc>
        <w:tc>
          <w:tcPr>
            <w:tcW w:w="700" w:type="dxa"/>
            <w:vAlign w:val="bottom"/>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6"/>
                <w:szCs w:val="16"/>
                <w:color w:val="auto"/>
              </w:rPr>
            </w:pPr>
          </w:p>
        </w:tc>
        <w:tc>
          <w:tcPr>
            <w:tcW w:w="720" w:type="dxa"/>
            <w:vAlign w:val="bottom"/>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784</w:t>
            </w:r>
          </w:p>
        </w:tc>
        <w:tc>
          <w:tcPr>
            <w:tcW w:w="1200" w:type="dxa"/>
            <w:vAlign w:val="bottom"/>
            <w:gridSpan w:val="2"/>
          </w:tcPr>
          <w:p>
            <w:pPr>
              <w:jc w:val="center"/>
              <w:ind w:left="57"/>
              <w:spacing w:after="0"/>
              <w:rPr>
                <w:sz w:val="20"/>
                <w:szCs w:val="20"/>
                <w:color w:val="auto"/>
              </w:rPr>
            </w:pPr>
            <w:r>
              <w:rPr>
                <w:rFonts w:ascii="Arial" w:cs="Arial" w:eastAsia="Arial" w:hAnsi="Arial"/>
                <w:sz w:val="13"/>
                <w:szCs w:val="13"/>
                <w:color w:val="auto"/>
                <w:w w:val="96"/>
              </w:rPr>
              <w:t>(17.0)%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(17.7)%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Less: Supplies, paper and other sales</w:t>
            </w:r>
          </w:p>
        </w:tc>
        <w:tc>
          <w:tcPr>
            <w:tcW w:w="700" w:type="dxa"/>
            <w:vAlign w:val="bottom"/>
            <w:tcBorders>
              <w:bottom w:val="single" w:sz="8" w:color="auto"/>
            </w:tcBorders>
            <w:shd w:val="clear" w:color="auto" w:fill="E5E5E5"/>
          </w:tcPr>
          <w:p>
            <w:pPr>
              <w:spacing w:after="0"/>
              <w:rPr>
                <w:sz w:val="16"/>
                <w:szCs w:val="16"/>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(290)</w:t>
            </w:r>
          </w:p>
        </w:tc>
        <w:tc>
          <w:tcPr>
            <w:tcW w:w="1200" w:type="dxa"/>
            <w:vAlign w:val="bottom"/>
            <w:gridSpan w:val="2"/>
            <w:shd w:val="clear" w:color="auto" w:fill="E5E5E5"/>
          </w:tcPr>
          <w:p>
            <w:pPr>
              <w:jc w:val="center"/>
              <w:ind w:left="57"/>
              <w:spacing w:after="0"/>
              <w:rPr>
                <w:sz w:val="20"/>
                <w:szCs w:val="20"/>
                <w:color w:val="auto"/>
              </w:rPr>
            </w:pPr>
            <w:r>
              <w:rPr>
                <w:rFonts w:ascii="Arial" w:cs="Arial" w:eastAsia="Arial" w:hAnsi="Arial"/>
                <w:sz w:val="13"/>
                <w:szCs w:val="13"/>
                <w:color w:val="auto"/>
                <w:w w:val="96"/>
              </w:rPr>
              <w:t>(20.0)%</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6"/>
              </w:rPr>
              <w:t>(20.2)%</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r>
      <w:tr>
        <w:trPr>
          <w:trHeight w:val="185"/>
        </w:trPr>
        <w:tc>
          <w:tcPr>
            <w:tcW w:w="4180" w:type="dxa"/>
            <w:vAlign w:val="bottom"/>
            <w:gridSpan w:val="2"/>
          </w:tcPr>
          <w:p>
            <w:pPr>
              <w:ind w:left="20"/>
              <w:spacing w:after="0"/>
              <w:rPr>
                <w:sz w:val="20"/>
                <w:szCs w:val="20"/>
                <w:color w:val="auto"/>
              </w:rPr>
            </w:pPr>
            <w:r>
              <w:rPr>
                <w:rFonts w:ascii="Arial" w:cs="Arial" w:eastAsia="Arial" w:hAnsi="Arial"/>
                <w:sz w:val="13"/>
                <w:szCs w:val="13"/>
                <w:b w:val="1"/>
                <w:bCs w:val="1"/>
                <w:color w:val="auto"/>
              </w:rPr>
              <w:t>Equipment Sales</w:t>
            </w: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w:t>
            </w:r>
          </w:p>
        </w:tc>
        <w:tc>
          <w:tcPr>
            <w:tcW w:w="1200" w:type="dxa"/>
            <w:vAlign w:val="bottom"/>
            <w:gridSpan w:val="2"/>
          </w:tcPr>
          <w:p>
            <w:pPr>
              <w:jc w:val="center"/>
              <w:ind w:left="57"/>
              <w:spacing w:after="0"/>
              <w:rPr>
                <w:sz w:val="20"/>
                <w:szCs w:val="20"/>
                <w:color w:val="auto"/>
              </w:rPr>
            </w:pPr>
            <w:r>
              <w:rPr>
                <w:rFonts w:ascii="Arial" w:cs="Arial" w:eastAsia="Arial" w:hAnsi="Arial"/>
                <w:sz w:val="13"/>
                <w:szCs w:val="13"/>
                <w:color w:val="auto"/>
                <w:w w:val="96"/>
              </w:rPr>
              <w:t>(15.2)%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(16.1)%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4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r>
      <w:tr>
        <w:trPr>
          <w:trHeight w:val="153"/>
        </w:trPr>
        <w:tc>
          <w:tcPr>
            <w:tcW w:w="40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r>
      <w:tr>
        <w:trPr>
          <w:trHeight w:val="184"/>
        </w:trPr>
        <w:tc>
          <w:tcPr>
            <w:tcW w:w="4180" w:type="dxa"/>
            <w:vAlign w:val="bottom"/>
            <w:gridSpan w:val="2"/>
          </w:tcPr>
          <w:p>
            <w:pPr>
              <w:ind w:left="20"/>
              <w:spacing w:after="0"/>
              <w:rPr>
                <w:sz w:val="20"/>
                <w:szCs w:val="20"/>
                <w:color w:val="auto"/>
              </w:rPr>
            </w:pPr>
            <w:r>
              <w:rPr>
                <w:rFonts w:ascii="Arial" w:cs="Arial" w:eastAsia="Arial" w:hAnsi="Arial"/>
                <w:sz w:val="13"/>
                <w:szCs w:val="13"/>
                <w:color w:val="auto"/>
              </w:rPr>
              <w:t>Services, maintenance and rentals</w:t>
            </w:r>
          </w:p>
        </w:tc>
        <w:tc>
          <w:tcPr>
            <w:tcW w:w="700" w:type="dxa"/>
            <w:vAlign w:val="bottom"/>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1,061</w:t>
            </w:r>
          </w:p>
        </w:tc>
        <w:tc>
          <w:tcPr>
            <w:tcW w:w="100" w:type="dxa"/>
            <w:vAlign w:val="bottom"/>
          </w:tcPr>
          <w:p>
            <w:pPr>
              <w:spacing w:after="0"/>
              <w:rPr>
                <w:sz w:val="16"/>
                <w:szCs w:val="16"/>
                <w:color w:val="auto"/>
              </w:rPr>
            </w:pPr>
          </w:p>
        </w:tc>
        <w:tc>
          <w:tcPr>
            <w:tcW w:w="720" w:type="dxa"/>
            <w:vAlign w:val="bottom"/>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1,335</w:t>
            </w:r>
          </w:p>
        </w:tc>
        <w:tc>
          <w:tcPr>
            <w:tcW w:w="1200" w:type="dxa"/>
            <w:vAlign w:val="bottom"/>
            <w:gridSpan w:val="2"/>
          </w:tcPr>
          <w:p>
            <w:pPr>
              <w:jc w:val="center"/>
              <w:ind w:left="57"/>
              <w:spacing w:after="0"/>
              <w:rPr>
                <w:sz w:val="20"/>
                <w:szCs w:val="20"/>
                <w:color w:val="auto"/>
              </w:rPr>
            </w:pPr>
            <w:r>
              <w:rPr>
                <w:rFonts w:ascii="Arial" w:cs="Arial" w:eastAsia="Arial" w:hAnsi="Arial"/>
                <w:sz w:val="13"/>
                <w:szCs w:val="13"/>
                <w:color w:val="auto"/>
                <w:w w:val="96"/>
              </w:rPr>
              <w:t>(20.5)%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(21.3)%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4"/>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Add: Supplies, paper and other sales</w:t>
            </w:r>
          </w:p>
        </w:tc>
        <w:tc>
          <w:tcPr>
            <w:tcW w:w="700" w:type="dxa"/>
            <w:vAlign w:val="bottom"/>
            <w:shd w:val="clear" w:color="auto" w:fill="E5E5E5"/>
          </w:tcPr>
          <w:p>
            <w:pPr>
              <w:spacing w:after="0"/>
              <w:rPr>
                <w:sz w:val="16"/>
                <w:szCs w:val="16"/>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290</w:t>
            </w:r>
          </w:p>
        </w:tc>
        <w:tc>
          <w:tcPr>
            <w:tcW w:w="1200" w:type="dxa"/>
            <w:vAlign w:val="bottom"/>
            <w:gridSpan w:val="2"/>
            <w:shd w:val="clear" w:color="auto" w:fill="E5E5E5"/>
          </w:tcPr>
          <w:p>
            <w:pPr>
              <w:jc w:val="center"/>
              <w:ind w:left="57"/>
              <w:spacing w:after="0"/>
              <w:rPr>
                <w:sz w:val="20"/>
                <w:szCs w:val="20"/>
                <w:color w:val="auto"/>
              </w:rPr>
            </w:pPr>
            <w:r>
              <w:rPr>
                <w:rFonts w:ascii="Arial" w:cs="Arial" w:eastAsia="Arial" w:hAnsi="Arial"/>
                <w:sz w:val="13"/>
                <w:szCs w:val="13"/>
                <w:color w:val="auto"/>
                <w:w w:val="96"/>
              </w:rPr>
              <w:t>(20.0)%</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6"/>
              </w:rPr>
              <w:t>(20.2)%</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r>
      <w:tr>
        <w:trPr>
          <w:trHeight w:val="184"/>
        </w:trPr>
        <w:tc>
          <w:tcPr>
            <w:tcW w:w="418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Add: Financing</w:t>
            </w: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200" w:type="dxa"/>
            <w:vAlign w:val="bottom"/>
            <w:tcBorders>
              <w:bottom w:val="single" w:sz="8" w:color="E5E5E5"/>
            </w:tcBorders>
            <w:gridSpan w:val="2"/>
          </w:tcPr>
          <w:p>
            <w:pPr>
              <w:jc w:val="center"/>
              <w:ind w:left="57"/>
              <w:spacing w:after="0"/>
              <w:rPr>
                <w:sz w:val="20"/>
                <w:szCs w:val="20"/>
                <w:color w:val="auto"/>
              </w:rPr>
            </w:pPr>
            <w:r>
              <w:rPr>
                <w:rFonts w:ascii="Arial" w:cs="Arial" w:eastAsia="Arial" w:hAnsi="Arial"/>
                <w:sz w:val="13"/>
                <w:szCs w:val="13"/>
                <w:color w:val="auto"/>
                <w:w w:val="93"/>
              </w:rPr>
              <w:t>(8.3)%</w:t>
            </w:r>
          </w:p>
        </w:tc>
        <w:tc>
          <w:tcPr>
            <w:tcW w:w="100" w:type="dxa"/>
            <w:vAlign w:val="bottom"/>
            <w:tcBorders>
              <w:bottom w:val="single" w:sz="8" w:color="E5E5E5"/>
            </w:tcBorders>
          </w:tcPr>
          <w:p>
            <w:pPr>
              <w:spacing w:after="0"/>
              <w:rPr>
                <w:sz w:val="16"/>
                <w:szCs w:val="16"/>
                <w:color w:val="auto"/>
              </w:rPr>
            </w:pPr>
          </w:p>
        </w:tc>
        <w:tc>
          <w:tcPr>
            <w:tcW w:w="1080" w:type="dxa"/>
            <w:vAlign w:val="bottom"/>
            <w:tcBorders>
              <w:bottom w:val="single" w:sz="8" w:color="E5E5E5"/>
            </w:tcBorders>
          </w:tcPr>
          <w:p>
            <w:pPr>
              <w:jc w:val="center"/>
              <w:spacing w:after="0"/>
              <w:rPr>
                <w:sz w:val="20"/>
                <w:szCs w:val="20"/>
                <w:color w:val="auto"/>
              </w:rPr>
            </w:pPr>
            <w:r>
              <w:rPr>
                <w:rFonts w:ascii="Arial" w:cs="Arial" w:eastAsia="Arial" w:hAnsi="Arial"/>
                <w:sz w:val="13"/>
                <w:szCs w:val="13"/>
                <w:color w:val="auto"/>
                <w:w w:val="93"/>
              </w:rPr>
              <w:t>(8.8)%</w:t>
            </w:r>
          </w:p>
        </w:tc>
        <w:tc>
          <w:tcPr>
            <w:tcW w:w="100" w:type="dxa"/>
            <w:vAlign w:val="bottom"/>
            <w:tcBorders>
              <w:bottom w:val="single" w:sz="8" w:color="E5E5E5"/>
            </w:tcBorders>
          </w:tcPr>
          <w:p>
            <w:pPr>
              <w:spacing w:after="0"/>
              <w:rPr>
                <w:sz w:val="16"/>
                <w:szCs w:val="16"/>
                <w:color w:val="auto"/>
              </w:rPr>
            </w:pPr>
          </w:p>
        </w:tc>
        <w:tc>
          <w:tcPr>
            <w:tcW w:w="1080" w:type="dxa"/>
            <w:vAlign w:val="bottom"/>
            <w:tcBorders>
              <w:bottom w:val="single" w:sz="8" w:color="E5E5E5"/>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1080" w:type="dxa"/>
            <w:vAlign w:val="bottom"/>
            <w:tcBorders>
              <w:bottom w:val="single" w:sz="8" w:color="E5E5E5"/>
            </w:tcBorders>
          </w:tcPr>
          <w:p>
            <w:pPr>
              <w:spacing w:after="0"/>
              <w:rPr>
                <w:sz w:val="16"/>
                <w:szCs w:val="16"/>
                <w:color w:val="auto"/>
              </w:rPr>
            </w:pPr>
          </w:p>
        </w:tc>
      </w:tr>
      <w:tr>
        <w:trPr>
          <w:trHeight w:val="210"/>
        </w:trPr>
        <w:tc>
          <w:tcPr>
            <w:tcW w:w="41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Post Sale Revenue</w:t>
            </w:r>
          </w:p>
        </w:tc>
        <w:tc>
          <w:tcPr>
            <w:tcW w:w="70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w w:val="92"/>
              </w:rPr>
              <w:t>1,348</w:t>
            </w:r>
          </w:p>
        </w:tc>
        <w:tc>
          <w:tcPr>
            <w:tcW w:w="100" w:type="dxa"/>
            <w:vAlign w:val="bottom"/>
            <w:tcBorders>
              <w:bottom w:val="single" w:sz="8" w:color="E5E5E5"/>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w w:val="92"/>
              </w:rPr>
              <w:t>1,685</w:t>
            </w:r>
          </w:p>
        </w:tc>
        <w:tc>
          <w:tcPr>
            <w:tcW w:w="1200" w:type="dxa"/>
            <w:vAlign w:val="bottom"/>
            <w:tcBorders>
              <w:bottom w:val="single" w:sz="8" w:color="E5E5E5"/>
            </w:tcBorders>
            <w:gridSpan w:val="2"/>
            <w:shd w:val="clear" w:color="auto" w:fill="E5E5E5"/>
          </w:tcPr>
          <w:p>
            <w:pPr>
              <w:jc w:val="center"/>
              <w:ind w:left="57"/>
              <w:spacing w:after="0"/>
              <w:rPr>
                <w:sz w:val="20"/>
                <w:szCs w:val="20"/>
                <w:color w:val="auto"/>
              </w:rPr>
            </w:pPr>
            <w:r>
              <w:rPr>
                <w:rFonts w:ascii="Arial" w:cs="Arial" w:eastAsia="Arial" w:hAnsi="Arial"/>
                <w:sz w:val="13"/>
                <w:szCs w:val="13"/>
                <w:color w:val="auto"/>
                <w:w w:val="96"/>
              </w:rPr>
              <w:t>(20.0)%</w:t>
            </w:r>
          </w:p>
        </w:tc>
        <w:tc>
          <w:tcPr>
            <w:tcW w:w="10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auto"/>
                <w:w w:val="96"/>
              </w:rPr>
              <w:t>(20.7)%</w:t>
            </w:r>
          </w:p>
        </w:tc>
        <w:tc>
          <w:tcPr>
            <w:tcW w:w="10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spacing w:after="0"/>
              <w:rPr>
                <w:sz w:val="17"/>
                <w:szCs w:val="17"/>
                <w:color w:val="auto"/>
              </w:rPr>
            </w:pPr>
          </w:p>
        </w:tc>
        <w:tc>
          <w:tcPr>
            <w:tcW w:w="12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spacing w:after="0"/>
              <w:rPr>
                <w:sz w:val="17"/>
                <w:szCs w:val="17"/>
                <w:color w:val="auto"/>
              </w:rPr>
            </w:pPr>
          </w:p>
        </w:tc>
      </w:tr>
      <w:tr>
        <w:trPr>
          <w:trHeight w:val="20"/>
        </w:trPr>
        <w:tc>
          <w:tcPr>
            <w:tcW w:w="4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00" w:type="dxa"/>
            <w:vAlign w:val="bottom"/>
            <w:tcBorders>
              <w:top w:val="single" w:sz="8" w:color="E5E5E5"/>
              <w:bottom w:val="single" w:sz="8" w:color="auto"/>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20" w:type="dxa"/>
            <w:vAlign w:val="bottom"/>
            <w:tcBorders>
              <w:top w:val="single" w:sz="8" w:color="E5E5E5"/>
              <w:bottom w:val="single" w:sz="8" w:color="auto"/>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r>
      <w:tr>
        <w:trPr>
          <w:trHeight w:val="85"/>
        </w:trPr>
        <w:tc>
          <w:tcPr>
            <w:tcW w:w="4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Americas</w:t>
            </w:r>
          </w:p>
        </w:tc>
        <w:tc>
          <w:tcPr>
            <w:tcW w:w="700" w:type="dxa"/>
            <w:vAlign w:val="bottom"/>
            <w:shd w:val="clear" w:color="auto" w:fill="E5E5E5"/>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w w:val="92"/>
              </w:rPr>
              <w:t>1,152</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w w:val="92"/>
              </w:rPr>
              <w:t>1,488</w:t>
            </w:r>
          </w:p>
        </w:tc>
        <w:tc>
          <w:tcPr>
            <w:tcW w:w="1200" w:type="dxa"/>
            <w:vAlign w:val="bottom"/>
            <w:gridSpan w:val="2"/>
            <w:shd w:val="clear" w:color="auto" w:fill="E5E5E5"/>
          </w:tcPr>
          <w:p>
            <w:pPr>
              <w:jc w:val="center"/>
              <w:ind w:left="57"/>
              <w:spacing w:after="0"/>
              <w:rPr>
                <w:sz w:val="20"/>
                <w:szCs w:val="20"/>
                <w:color w:val="auto"/>
              </w:rPr>
            </w:pPr>
            <w:r>
              <w:rPr>
                <w:rFonts w:ascii="Arial" w:cs="Arial" w:eastAsia="Arial" w:hAnsi="Arial"/>
                <w:sz w:val="13"/>
                <w:szCs w:val="13"/>
                <w:color w:val="auto"/>
                <w:w w:val="96"/>
              </w:rPr>
              <w:t>(22.6)%</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6"/>
              </w:rPr>
              <w:t>(22.2)%</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2"/>
              </w:rPr>
              <w:t>65%</w:t>
            </w: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2"/>
              </w:rPr>
              <w:t>69%</w:t>
            </w:r>
          </w:p>
        </w:tc>
      </w:tr>
      <w:tr>
        <w:trPr>
          <w:trHeight w:val="184"/>
        </w:trPr>
        <w:tc>
          <w:tcPr>
            <w:tcW w:w="4180" w:type="dxa"/>
            <w:vAlign w:val="bottom"/>
            <w:gridSpan w:val="2"/>
          </w:tcPr>
          <w:p>
            <w:pPr>
              <w:ind w:left="20"/>
              <w:spacing w:after="0"/>
              <w:rPr>
                <w:sz w:val="20"/>
                <w:szCs w:val="20"/>
                <w:color w:val="auto"/>
              </w:rPr>
            </w:pPr>
            <w:r>
              <w:rPr>
                <w:rFonts w:ascii="Arial" w:cs="Arial" w:eastAsia="Arial" w:hAnsi="Arial"/>
                <w:sz w:val="13"/>
                <w:szCs w:val="13"/>
                <w:color w:val="auto"/>
              </w:rPr>
              <w:t>EMEA</w:t>
            </w: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640</w:t>
            </w:r>
          </w:p>
        </w:tc>
        <w:tc>
          <w:tcPr>
            <w:tcW w:w="1200" w:type="dxa"/>
            <w:vAlign w:val="bottom"/>
            <w:gridSpan w:val="2"/>
          </w:tcPr>
          <w:p>
            <w:pPr>
              <w:jc w:val="center"/>
              <w:ind w:left="57"/>
              <w:spacing w:after="0"/>
              <w:rPr>
                <w:sz w:val="20"/>
                <w:szCs w:val="20"/>
                <w:color w:val="auto"/>
              </w:rPr>
            </w:pPr>
            <w:r>
              <w:rPr>
                <w:rFonts w:ascii="Arial" w:cs="Arial" w:eastAsia="Arial" w:hAnsi="Arial"/>
                <w:sz w:val="13"/>
                <w:szCs w:val="13"/>
                <w:color w:val="auto"/>
                <w:w w:val="96"/>
              </w:rPr>
              <w:t>(11.3)%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(14.6)%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2"/>
              </w:rPr>
              <w:t>32%</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2"/>
              </w:rPr>
              <w:t>29%</w:t>
            </w:r>
          </w:p>
        </w:tc>
      </w:tr>
      <w:tr>
        <w:trPr>
          <w:trHeight w:val="189"/>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Other</w:t>
            </w:r>
          </w:p>
        </w:tc>
        <w:tc>
          <w:tcPr>
            <w:tcW w:w="700" w:type="dxa"/>
            <w:vAlign w:val="bottom"/>
            <w:tcBorders>
              <w:bottom w:val="single" w:sz="8" w:color="auto"/>
            </w:tcBorders>
            <w:shd w:val="clear" w:color="auto" w:fill="E5E5E5"/>
          </w:tcPr>
          <w:p>
            <w:pPr>
              <w:spacing w:after="0"/>
              <w:rPr>
                <w:sz w:val="16"/>
                <w:szCs w:val="16"/>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51</w:t>
            </w:r>
          </w:p>
        </w:tc>
        <w:tc>
          <w:tcPr>
            <w:tcW w:w="1200" w:type="dxa"/>
            <w:vAlign w:val="bottom"/>
            <w:gridSpan w:val="2"/>
            <w:shd w:val="clear" w:color="auto" w:fill="E5E5E5"/>
          </w:tcPr>
          <w:p>
            <w:pPr>
              <w:jc w:val="center"/>
              <w:ind w:left="57"/>
              <w:spacing w:after="0"/>
              <w:rPr>
                <w:sz w:val="20"/>
                <w:szCs w:val="20"/>
                <w:color w:val="auto"/>
              </w:rPr>
            </w:pPr>
            <w:r>
              <w:rPr>
                <w:rFonts w:ascii="Arial" w:cs="Arial" w:eastAsia="Arial" w:hAnsi="Arial"/>
                <w:sz w:val="13"/>
                <w:szCs w:val="13"/>
                <w:color w:val="auto"/>
                <w:w w:val="93"/>
              </w:rPr>
              <w:t>(7.8)%</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3"/>
              </w:rPr>
              <w:t>(7.8)%</w:t>
            </w:r>
          </w:p>
        </w:tc>
        <w:tc>
          <w:tcPr>
            <w:tcW w:w="100" w:type="dxa"/>
            <w:vAlign w:val="bottom"/>
            <w:shd w:val="clear" w:color="auto" w:fill="E5E5E5"/>
          </w:tcPr>
          <w:p>
            <w:pPr>
              <w:spacing w:after="0"/>
              <w:rPr>
                <w:sz w:val="16"/>
                <w:szCs w:val="16"/>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3%</w:t>
            </w:r>
          </w:p>
        </w:tc>
        <w:tc>
          <w:tcPr>
            <w:tcW w:w="120" w:type="dxa"/>
            <w:vAlign w:val="bottom"/>
            <w:shd w:val="clear" w:color="auto" w:fill="E5E5E5"/>
          </w:tcPr>
          <w:p>
            <w:pPr>
              <w:spacing w:after="0"/>
              <w:rPr>
                <w:sz w:val="16"/>
                <w:szCs w:val="16"/>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rPr>
              <w:t>2%</w:t>
            </w:r>
          </w:p>
        </w:tc>
      </w:tr>
      <w:tr>
        <w:trPr>
          <w:trHeight w:val="185"/>
        </w:trPr>
        <w:tc>
          <w:tcPr>
            <w:tcW w:w="418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Revenue</w:t>
            </w:r>
            <w:r>
              <w:rPr>
                <w:rFonts w:ascii="Arial" w:cs="Arial" w:eastAsia="Arial" w:hAnsi="Arial"/>
                <w:sz w:val="16"/>
                <w:szCs w:val="16"/>
                <w:b w:val="1"/>
                <w:bCs w:val="1"/>
                <w:color w:val="auto"/>
                <w:vertAlign w:val="superscript"/>
              </w:rPr>
              <w:t>(1)</w:t>
            </w: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1,767</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2,179</w:t>
            </w:r>
          </w:p>
        </w:tc>
        <w:tc>
          <w:tcPr>
            <w:tcW w:w="1200" w:type="dxa"/>
            <w:vAlign w:val="bottom"/>
            <w:gridSpan w:val="2"/>
          </w:tcPr>
          <w:p>
            <w:pPr>
              <w:jc w:val="center"/>
              <w:ind w:left="57"/>
              <w:spacing w:after="0"/>
              <w:rPr>
                <w:sz w:val="20"/>
                <w:szCs w:val="20"/>
                <w:color w:val="auto"/>
              </w:rPr>
            </w:pPr>
            <w:r>
              <w:rPr>
                <w:rFonts w:ascii="Arial" w:cs="Arial" w:eastAsia="Arial" w:hAnsi="Arial"/>
                <w:sz w:val="13"/>
                <w:szCs w:val="13"/>
                <w:color w:val="auto"/>
                <w:w w:val="96"/>
              </w:rPr>
              <w:t>(18.9)%</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(19.7)%</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100%</w:t>
            </w:r>
          </w:p>
        </w:tc>
      </w:tr>
      <w:tr>
        <w:trPr>
          <w:trHeight w:val="20"/>
        </w:trPr>
        <w:tc>
          <w:tcPr>
            <w:tcW w:w="4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05"/>
        </w:trPr>
        <w:tc>
          <w:tcPr>
            <w:tcW w:w="408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700" w:type="dxa"/>
            <w:vAlign w:val="bottom"/>
            <w:shd w:val="clear" w:color="auto" w:fill="E5E5E5"/>
          </w:tcPr>
          <w:p>
            <w:pPr>
              <w:spacing w:after="0"/>
              <w:rPr>
                <w:sz w:val="9"/>
                <w:szCs w:val="9"/>
                <w:color w:val="auto"/>
              </w:rPr>
            </w:pPr>
          </w:p>
        </w:tc>
        <w:tc>
          <w:tcPr>
            <w:tcW w:w="38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720" w:type="dxa"/>
            <w:vAlign w:val="bottom"/>
            <w:shd w:val="clear" w:color="auto" w:fill="E5E5E5"/>
          </w:tcPr>
          <w:p>
            <w:pPr>
              <w:spacing w:after="0"/>
              <w:rPr>
                <w:sz w:val="9"/>
                <w:szCs w:val="9"/>
                <w:color w:val="auto"/>
              </w:rPr>
            </w:pPr>
          </w:p>
        </w:tc>
        <w:tc>
          <w:tcPr>
            <w:tcW w:w="38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08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1080" w:type="dxa"/>
            <w:vAlign w:val="bottom"/>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108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080" w:type="dxa"/>
            <w:vAlign w:val="bottom"/>
            <w:shd w:val="clear" w:color="auto" w:fill="E5E5E5"/>
          </w:tcPr>
          <w:p>
            <w:pPr>
              <w:spacing w:after="0"/>
              <w:rPr>
                <w:sz w:val="9"/>
                <w:szCs w:val="9"/>
                <w:color w:val="auto"/>
              </w:rPr>
            </w:pPr>
          </w:p>
        </w:tc>
      </w:tr>
      <w:tr>
        <w:trPr>
          <w:trHeight w:val="184"/>
        </w:trPr>
        <w:tc>
          <w:tcPr>
            <w:tcW w:w="4180" w:type="dxa"/>
            <w:vAlign w:val="bottom"/>
            <w:gridSpan w:val="2"/>
          </w:tcPr>
          <w:p>
            <w:pPr>
              <w:ind w:left="20"/>
              <w:spacing w:after="0"/>
              <w:rPr>
                <w:sz w:val="20"/>
                <w:szCs w:val="20"/>
                <w:color w:val="auto"/>
              </w:rPr>
            </w:pPr>
            <w:r>
              <w:rPr>
                <w:rFonts w:ascii="Arial" w:cs="Arial" w:eastAsia="Arial" w:hAnsi="Arial"/>
                <w:sz w:val="13"/>
                <w:szCs w:val="13"/>
                <w:b w:val="1"/>
                <w:bCs w:val="1"/>
                <w:color w:val="auto"/>
              </w:rPr>
              <w:t>Memo:</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4"/>
        </w:trPr>
        <w:tc>
          <w:tcPr>
            <w:tcW w:w="418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Xerox Services</w:t>
            </w:r>
          </w:p>
        </w:tc>
        <w:tc>
          <w:tcPr>
            <w:tcW w:w="700" w:type="dxa"/>
            <w:vAlign w:val="bottom"/>
            <w:shd w:val="clear" w:color="auto" w:fill="E5E5E5"/>
          </w:tcPr>
          <w:p>
            <w:pPr>
              <w:jc w:val="right"/>
              <w:ind w:right="537"/>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661</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557"/>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829</w:t>
            </w:r>
          </w:p>
        </w:tc>
        <w:tc>
          <w:tcPr>
            <w:tcW w:w="1200" w:type="dxa"/>
            <w:vAlign w:val="bottom"/>
            <w:gridSpan w:val="2"/>
            <w:shd w:val="clear" w:color="auto" w:fill="E5E5E5"/>
          </w:tcPr>
          <w:p>
            <w:pPr>
              <w:jc w:val="center"/>
              <w:ind w:left="57"/>
              <w:spacing w:after="0"/>
              <w:rPr>
                <w:sz w:val="20"/>
                <w:szCs w:val="20"/>
                <w:color w:val="auto"/>
              </w:rPr>
            </w:pPr>
            <w:r>
              <w:rPr>
                <w:rFonts w:ascii="Arial" w:cs="Arial" w:eastAsia="Arial" w:hAnsi="Arial"/>
                <w:sz w:val="13"/>
                <w:szCs w:val="13"/>
                <w:color w:val="auto"/>
                <w:w w:val="96"/>
              </w:rPr>
              <w:t>(20.3)%</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6"/>
              </w:rPr>
              <w:t>(21.3)%</w:t>
            </w:r>
          </w:p>
        </w:tc>
        <w:tc>
          <w:tcPr>
            <w:tcW w:w="10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2"/>
              </w:rPr>
              <w:t>37%</w:t>
            </w: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2"/>
              </w:rPr>
              <w:t>38%</w:t>
            </w:r>
          </w:p>
        </w:tc>
      </w:tr>
    </w:tbl>
    <w:p>
      <w:pPr>
        <w:spacing w:after="0" w:line="68"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42"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CC - Constant Currency (see "Non-GAAP Financial Measures" section).</w:t>
      </w:r>
    </w:p>
    <w:p>
      <w:pPr>
        <w:ind w:left="285" w:hanging="285"/>
        <w:spacing w:after="0" w:line="207" w:lineRule="auto"/>
        <w:tabs>
          <w:tab w:leader="none" w:pos="285"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 to Appendix II for our Geographic Sales Channels and Products and Offerings Definitions.</w:t>
      </w:r>
    </w:p>
    <w:p>
      <w:pPr>
        <w:spacing w:after="0" w:line="198" w:lineRule="exact"/>
        <w:rPr>
          <w:sz w:val="20"/>
          <w:szCs w:val="20"/>
          <w:color w:val="auto"/>
        </w:rPr>
      </w:pPr>
    </w:p>
    <w:p>
      <w:pPr>
        <w:jc w:val="both"/>
        <w:ind w:left="5"/>
        <w:spacing w:after="0" w:line="247" w:lineRule="auto"/>
        <w:rPr>
          <w:sz w:val="20"/>
          <w:szCs w:val="20"/>
          <w:color w:val="auto"/>
        </w:rPr>
      </w:pPr>
      <w:r>
        <w:rPr>
          <w:rFonts w:ascii="Arial" w:cs="Arial" w:eastAsia="Arial" w:hAnsi="Arial"/>
          <w:sz w:val="16"/>
          <w:szCs w:val="16"/>
          <w:color w:val="auto"/>
        </w:rPr>
        <w:t>Third quarter 2020 total revenue decreased 18.9% as compared to third quarter 2019, including a 0.8-percentage point favorable impact from currency and an approximate 1.4-percentage point favorable impact from recent partner dealer acquisitions. The COVID-19 pandemic significantly impacted our third quarter 2020 revenues due to business closures and office building capacity restrictions that impacted our customers' purchasing decisions and caused lower printing volumes on our devices. However, the rate of our revenue decline improved sequentially, as businesses slowly reopened and more employees returned to the workplace. Geographically, the revenue declines from our EMEA Operations were smaller and also improved the most sequentially, primarily as a result of wider reopenings over the summer of workplaces and economies in the region, and higher installation of devices associated with our hybrid workplace initiatives. EMEA revenues were also more favorably impacted by recent acquisitions in the region. The decrease in revenues from our Americas Organization also improved sequentially as a result of business reopenings, primarily in our SMB and indirect channels, while the sequential recovery of Large Enterprise revenues in the region was smaller due to the more restricted reopening of large office buildings, as well as a larger mix of bundled contracts with fixed minimums. Our Latin American Operations had the largest revenue declines, consistent with the extensive lockdowns and the economic crisis throughout the region. Third quarter 2020 total revenue reflected the following:</w:t>
      </w:r>
    </w:p>
    <w:p>
      <w:pPr>
        <w:spacing w:after="0" w:line="118" w:lineRule="exact"/>
        <w:rPr>
          <w:sz w:val="20"/>
          <w:szCs w:val="20"/>
          <w:color w:val="auto"/>
        </w:rPr>
      </w:pPr>
    </w:p>
    <w:p>
      <w:pPr>
        <w:jc w:val="both"/>
        <w:ind w:left="285" w:hanging="285"/>
        <w:spacing w:after="0" w:line="251" w:lineRule="auto"/>
        <w:tabs>
          <w:tab w:leader="none" w:pos="28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Post sale revenue </w:t>
      </w:r>
      <w:r>
        <w:rPr>
          <w:rFonts w:ascii="Arial" w:cs="Arial" w:eastAsia="Arial" w:hAnsi="Arial"/>
          <w:sz w:val="16"/>
          <w:szCs w:val="16"/>
          <w:color w:val="auto"/>
        </w:rPr>
        <w:t>primarily reflects contracted services, equipment maintenance, supplies and financing. These revenues are associated not only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 of devices in the field, which is affected by installs and removals, but also by the page volumes generated from the usage of such devices and the revenue per printed page. Post sale revenue also includes transactional IT hardware sales and implementation services primarily from our XBS organization. Post sale revenue decreased 20.0% as compared to third quarter 2019, including a 0.7-percentage point favorable impact from currency. The COVID-19 pandemic significantly impacted our post sale revenue during the third quarter 2020, however its impact on our post sale revenue lessened compared to the second quarter, as business reopenings in certain geographical areas in the U.S. and Europe resulted in a gradual moderation of our page volume declines. The decline in post sale revenue reflected the following:</w:t>
      </w:r>
    </w:p>
    <w:p>
      <w:pPr>
        <w:spacing w:after="0" w:line="200" w:lineRule="exact"/>
        <w:rPr>
          <w:sz w:val="20"/>
          <w:szCs w:val="20"/>
          <w:color w:val="auto"/>
        </w:rPr>
      </w:pPr>
    </w:p>
    <w:p>
      <w:pPr>
        <w:spacing w:after="0" w:line="38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5"/>
          </w:cols>
          <w:pgMar w:left="315" w:top="893" w:right="319" w:bottom="1440" w:gutter="0" w:footer="0" w:header="0"/>
        </w:sectPr>
      </w:pPr>
    </w:p>
    <w:bookmarkStart w:id="16" w:name="page17"/>
    <w:bookmarkEnd w:id="16"/>
    <w:p>
      <w:pPr>
        <w:jc w:val="both"/>
        <w:ind w:left="845" w:hanging="278"/>
        <w:spacing w:after="0" w:line="242" w:lineRule="auto"/>
        <w:tabs>
          <w:tab w:leader="none" w:pos="86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Services, maintenance and rentals revenue </w:t>
      </w:r>
      <w:r>
        <w:rPr>
          <w:rFonts w:ascii="Arial" w:cs="Arial" w:eastAsia="Arial" w:hAnsi="Arial"/>
          <w:sz w:val="16"/>
          <w:szCs w:val="16"/>
          <w:color w:val="auto"/>
        </w:rPr>
        <w:t>includes rental and maintenance revenue (including bundled supplies) as well as the post sale</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 of the document services revenue from our Xerox Services offerings. These revenues decreased 20.5% as compared to third quarter 2019, including a 0.8-percentage point favorable impact from currency. The decline at constant currency</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reflected a lower population of devices (which is partially associated with continued lower Enterprise signings and lower installs in prior and current periods), an ongoing competitive price environment, and lower page volumes (including a higher mix of lower average-page-volume products) that are worse than pre-COVID-19 decline trends due to the impact of business closures during the quarter. While these revenues are contractual in nature, on average, our bundled services contracts include a minimum fixed charge and a significant variable component based on print volumes. The rate of decline of these revenues moderated during the quarter compared to the prior quarter as businesses reopened in certain geographical areas in the U.S. and EMEA.</w:t>
      </w:r>
    </w:p>
    <w:p>
      <w:pPr>
        <w:spacing w:after="0" w:line="1" w:lineRule="exact"/>
        <w:rPr>
          <w:rFonts w:ascii="Arial" w:cs="Arial" w:eastAsia="Arial" w:hAnsi="Arial"/>
          <w:sz w:val="16"/>
          <w:szCs w:val="16"/>
          <w:b w:val="1"/>
          <w:bCs w:val="1"/>
          <w:color w:val="auto"/>
        </w:rPr>
      </w:pPr>
    </w:p>
    <w:p>
      <w:pPr>
        <w:jc w:val="both"/>
        <w:ind w:left="845" w:hanging="278"/>
        <w:spacing w:after="0" w:line="246" w:lineRule="auto"/>
        <w:tabs>
          <w:tab w:leader="none" w:pos="854"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Supplies, paper and other sales </w:t>
      </w:r>
      <w:r>
        <w:rPr>
          <w:rFonts w:ascii="Arial" w:cs="Arial" w:eastAsia="Arial" w:hAnsi="Arial"/>
          <w:sz w:val="16"/>
          <w:szCs w:val="16"/>
          <w:color w:val="auto"/>
        </w:rPr>
        <w:t>includes unbundled supplies and other sales. These revenues decreased 20.0% as compared to third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2019, including a 0.2-percentage point favorable impact from currency and reflected lower supplies revenues associated with lower page volume trends slightly offset by higher IT revenues from our XBS channel and from recently acquired IT dealers outside of the U.S. The decrease in supplies was significantly impacted by lower sales through indirect channels, as resellers, in response to the lower demand caused by the pandemic, reduced their inventory purchases to manage liquidity. We expect that such resellers will maintain low purchase levels and lower inventories until there is a stable recovery in sales activity.</w:t>
      </w:r>
    </w:p>
    <w:p>
      <w:pPr>
        <w:spacing w:after="0" w:line="2" w:lineRule="exact"/>
        <w:rPr>
          <w:rFonts w:ascii="Arial" w:cs="Arial" w:eastAsia="Arial" w:hAnsi="Arial"/>
          <w:sz w:val="16"/>
          <w:szCs w:val="16"/>
          <w:b w:val="1"/>
          <w:bCs w:val="1"/>
          <w:color w:val="auto"/>
        </w:rPr>
      </w:pPr>
    </w:p>
    <w:p>
      <w:pPr>
        <w:ind w:left="845" w:right="20" w:hanging="278"/>
        <w:spacing w:after="0" w:line="253" w:lineRule="auto"/>
        <w:tabs>
          <w:tab w:leader="none" w:pos="84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Financing revenue </w:t>
      </w:r>
      <w:r>
        <w:rPr>
          <w:rFonts w:ascii="Arial" w:cs="Arial" w:eastAsia="Arial" w:hAnsi="Arial"/>
          <w:sz w:val="16"/>
          <w:szCs w:val="16"/>
          <w:color w:val="auto"/>
        </w:rPr>
        <w:t>is generated from financed equipment sale transactions. The 8.3% decline in these revenues reflected a continued decline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receivables balance due to lower equipment sales in prior periods and included a 0.5-percentage point favorable impact from currency.</w:t>
      </w:r>
    </w:p>
    <w:p>
      <w:pPr>
        <w:spacing w:after="0" w:line="33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4"/>
          </w:tcPr>
          <w:p>
            <w:pPr>
              <w:jc w:val="right"/>
              <w:ind w:right="137"/>
              <w:spacing w:after="0"/>
              <w:rPr>
                <w:sz w:val="20"/>
                <w:szCs w:val="20"/>
                <w:color w:val="auto"/>
              </w:rPr>
            </w:pPr>
            <w:r>
              <w:rPr>
                <w:rFonts w:ascii="Arial" w:cs="Arial" w:eastAsia="Arial" w:hAnsi="Arial"/>
                <w:sz w:val="13"/>
                <w:szCs w:val="13"/>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3"/>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color w:val="auto"/>
                <w:w w:val="96"/>
              </w:rPr>
              <w:t>September 30,</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color w:val="auto"/>
              </w:rPr>
              <w:t>% of Equipment Sales</w:t>
            </w:r>
          </w:p>
        </w:tc>
      </w:tr>
      <w:tr>
        <w:trPr>
          <w:trHeight w:val="158"/>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jc w:val="center"/>
              <w:ind w:lef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7"/>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E5E5E5"/>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E5E5E5"/>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E5E5E5"/>
            </w:tcBorders>
          </w:tcPr>
          <w:p>
            <w:pPr>
              <w:spacing w:after="0"/>
              <w:rPr>
                <w:sz w:val="13"/>
                <w:szCs w:val="13"/>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Change</w:t>
            </w:r>
          </w:p>
        </w:tc>
        <w:tc>
          <w:tcPr>
            <w:tcW w:w="100" w:type="dxa"/>
            <w:vAlign w:val="bottom"/>
            <w:tcBorders>
              <w:bottom w:val="single" w:sz="8" w:color="E5E5E5"/>
            </w:tcBorders>
          </w:tcPr>
          <w:p>
            <w:pPr>
              <w:spacing w:after="0"/>
              <w:rPr>
                <w:sz w:val="13"/>
                <w:szCs w:val="13"/>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CC % Change</w:t>
            </w:r>
          </w:p>
        </w:tc>
        <w:tc>
          <w:tcPr>
            <w:tcW w:w="100" w:type="dxa"/>
            <w:vAlign w:val="bottom"/>
            <w:tcBorders>
              <w:bottom w:val="single" w:sz="8" w:color="E5E5E5"/>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2020</w:t>
            </w:r>
          </w:p>
        </w:tc>
        <w:tc>
          <w:tcPr>
            <w:tcW w:w="100" w:type="dxa"/>
            <w:vAlign w:val="bottom"/>
            <w:tcBorders>
              <w:bottom w:val="single" w:sz="8" w:color="E5E5E5"/>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r>
      <w:tr>
        <w:trPr>
          <w:trHeight w:val="185"/>
        </w:trPr>
        <w:tc>
          <w:tcPr>
            <w:tcW w:w="44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Entry</w:t>
            </w:r>
          </w:p>
        </w:tc>
        <w:tc>
          <w:tcPr>
            <w:tcW w:w="680" w:type="dxa"/>
            <w:vAlign w:val="bottom"/>
            <w:shd w:val="clear" w:color="auto" w:fill="E5E5E5"/>
          </w:tcPr>
          <w:p>
            <w:pPr>
              <w:jc w:val="right"/>
              <w:ind w:right="537"/>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55</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57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49</w:t>
            </w:r>
          </w:p>
        </w:tc>
        <w:tc>
          <w:tcPr>
            <w:tcW w:w="1140" w:type="dxa"/>
            <w:vAlign w:val="bottom"/>
            <w:gridSpan w:val="2"/>
            <w:shd w:val="clear" w:color="auto" w:fill="E5E5E5"/>
          </w:tcPr>
          <w:p>
            <w:pPr>
              <w:jc w:val="center"/>
              <w:ind w:left="37"/>
              <w:spacing w:after="0"/>
              <w:rPr>
                <w:sz w:val="20"/>
                <w:szCs w:val="20"/>
                <w:color w:val="auto"/>
              </w:rPr>
            </w:pPr>
            <w:r>
              <w:rPr>
                <w:rFonts w:ascii="Arial" w:cs="Arial" w:eastAsia="Arial" w:hAnsi="Arial"/>
                <w:sz w:val="13"/>
                <w:szCs w:val="13"/>
                <w:color w:val="auto"/>
                <w:w w:val="97"/>
              </w:rPr>
              <w:t>12.2%</w:t>
            </w: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277"/>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9"/>
              </w:rPr>
              <w:t>13%</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9"/>
              </w:rPr>
              <w:t>10%</w:t>
            </w:r>
          </w:p>
        </w:tc>
      </w:tr>
      <w:tr>
        <w:trPr>
          <w:trHeight w:val="184"/>
        </w:trPr>
        <w:tc>
          <w:tcPr>
            <w:tcW w:w="4400" w:type="dxa"/>
            <w:vAlign w:val="bottom"/>
            <w:gridSpan w:val="2"/>
          </w:tcPr>
          <w:p>
            <w:pPr>
              <w:ind w:left="20"/>
              <w:spacing w:after="0"/>
              <w:rPr>
                <w:sz w:val="20"/>
                <w:szCs w:val="20"/>
                <w:color w:val="auto"/>
              </w:rPr>
            </w:pPr>
            <w:r>
              <w:rPr>
                <w:rFonts w:ascii="Arial" w:cs="Arial" w:eastAsia="Arial" w:hAnsi="Arial"/>
                <w:sz w:val="13"/>
                <w:szCs w:val="13"/>
                <w:color w:val="auto"/>
              </w:rPr>
              <w:t>Mid-range</w:t>
            </w:r>
          </w:p>
        </w:tc>
        <w:tc>
          <w:tcPr>
            <w:tcW w:w="680" w:type="dxa"/>
            <w:vAlign w:val="bottom"/>
          </w:tcPr>
          <w:p>
            <w:pPr>
              <w:spacing w:after="0"/>
              <w:rPr>
                <w:sz w:val="16"/>
                <w:szCs w:val="16"/>
                <w:color w:val="auto"/>
              </w:rPr>
            </w:pPr>
          </w:p>
        </w:tc>
        <w:tc>
          <w:tcPr>
            <w:tcW w:w="380" w:type="dxa"/>
            <w:vAlign w:val="bottom"/>
          </w:tcPr>
          <w:p>
            <w:pPr>
              <w:jc w:val="right"/>
              <w:ind w:right="17"/>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344</w:t>
            </w:r>
          </w:p>
        </w:tc>
        <w:tc>
          <w:tcPr>
            <w:tcW w:w="114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(15.4)%</w:t>
            </w:r>
          </w:p>
        </w:tc>
        <w:tc>
          <w:tcPr>
            <w:tcW w:w="100" w:type="dxa"/>
            <w:vAlign w:val="bottom"/>
          </w:tcPr>
          <w:p>
            <w:pPr>
              <w:spacing w:after="0"/>
              <w:rPr>
                <w:sz w:val="16"/>
                <w:szCs w:val="16"/>
                <w:color w:val="auto"/>
              </w:rPr>
            </w:pPr>
          </w:p>
        </w:tc>
        <w:tc>
          <w:tcPr>
            <w:tcW w:w="1040" w:type="dxa"/>
            <w:vAlign w:val="bottom"/>
          </w:tcPr>
          <w:p>
            <w:pPr>
              <w:jc w:val="right"/>
              <w:ind w:right="23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9"/>
              </w:rPr>
              <w:t>70%</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9"/>
              </w:rPr>
              <w:t>70%</w:t>
            </w:r>
          </w:p>
        </w:tc>
      </w:tr>
      <w:tr>
        <w:trPr>
          <w:trHeight w:val="194"/>
        </w:trPr>
        <w:tc>
          <w:tcPr>
            <w:tcW w:w="44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High-end</w:t>
            </w:r>
          </w:p>
        </w:tc>
        <w:tc>
          <w:tcPr>
            <w:tcW w:w="680" w:type="dxa"/>
            <w:vAlign w:val="bottom"/>
            <w:shd w:val="clear" w:color="auto" w:fill="E5E5E5"/>
          </w:tcPr>
          <w:p>
            <w:pPr>
              <w:spacing w:after="0"/>
              <w:rPr>
                <w:sz w:val="16"/>
                <w:szCs w:val="16"/>
                <w:color w:val="auto"/>
              </w:rPr>
            </w:pPr>
          </w:p>
        </w:tc>
        <w:tc>
          <w:tcPr>
            <w:tcW w:w="3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96</w:t>
            </w:r>
          </w:p>
        </w:tc>
        <w:tc>
          <w:tcPr>
            <w:tcW w:w="1140" w:type="dxa"/>
            <w:vAlign w:val="bottom"/>
            <w:gridSpan w:val="2"/>
            <w:shd w:val="clear" w:color="auto" w:fill="E5E5E5"/>
          </w:tcPr>
          <w:p>
            <w:pPr>
              <w:jc w:val="center"/>
              <w:ind w:left="37"/>
              <w:spacing w:after="0"/>
              <w:rPr>
                <w:sz w:val="20"/>
                <w:szCs w:val="20"/>
                <w:color w:val="auto"/>
              </w:rPr>
            </w:pPr>
            <w:r>
              <w:rPr>
                <w:rFonts w:ascii="Arial" w:cs="Arial" w:eastAsia="Arial" w:hAnsi="Arial"/>
                <w:sz w:val="13"/>
                <w:szCs w:val="13"/>
                <w:color w:val="auto"/>
                <w:w w:val="96"/>
              </w:rPr>
              <w:t>(28.1)%</w:t>
            </w: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237"/>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9"/>
              </w:rPr>
              <w:t>16%</w:t>
            </w: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3"/>
                <w:szCs w:val="13"/>
                <w:color w:val="auto"/>
                <w:w w:val="99"/>
              </w:rPr>
              <w:t>19%</w:t>
            </w:r>
          </w:p>
        </w:tc>
      </w:tr>
      <w:tr>
        <w:trPr>
          <w:trHeight w:val="184"/>
        </w:trPr>
        <w:tc>
          <w:tcPr>
            <w:tcW w:w="440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Other</w:t>
            </w: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140" w:type="dxa"/>
            <w:vAlign w:val="bottom"/>
            <w:tcBorders>
              <w:bottom w:val="single" w:sz="8" w:color="E5E5E5"/>
            </w:tcBorders>
            <w:gridSpan w:val="2"/>
          </w:tcPr>
          <w:p>
            <w:pPr>
              <w:jc w:val="center"/>
              <w:ind w:left="37"/>
              <w:spacing w:after="0"/>
              <w:rPr>
                <w:sz w:val="20"/>
                <w:szCs w:val="20"/>
                <w:color w:val="auto"/>
              </w:rPr>
            </w:pPr>
            <w:r>
              <w:rPr>
                <w:rFonts w:ascii="Arial" w:cs="Arial" w:eastAsia="Arial" w:hAnsi="Arial"/>
                <w:sz w:val="13"/>
                <w:szCs w:val="13"/>
                <w:color w:val="auto"/>
                <w:w w:val="96"/>
              </w:rPr>
              <w:t>(20.0)%</w:t>
            </w:r>
          </w:p>
        </w:tc>
        <w:tc>
          <w:tcPr>
            <w:tcW w:w="100" w:type="dxa"/>
            <w:vAlign w:val="bottom"/>
            <w:tcBorders>
              <w:bottom w:val="single" w:sz="8" w:color="E5E5E5"/>
            </w:tcBorders>
          </w:tcPr>
          <w:p>
            <w:pPr>
              <w:spacing w:after="0"/>
              <w:rPr>
                <w:sz w:val="16"/>
                <w:szCs w:val="16"/>
                <w:color w:val="auto"/>
              </w:rPr>
            </w:pPr>
          </w:p>
        </w:tc>
        <w:tc>
          <w:tcPr>
            <w:tcW w:w="1040" w:type="dxa"/>
            <w:vAlign w:val="bottom"/>
            <w:tcBorders>
              <w:bottom w:val="single" w:sz="8" w:color="E5E5E5"/>
            </w:tcBorders>
          </w:tcPr>
          <w:p>
            <w:pPr>
              <w:jc w:val="right"/>
              <w:ind w:right="237"/>
              <w:spacing w:after="0"/>
              <w:rPr>
                <w:sz w:val="20"/>
                <w:szCs w:val="20"/>
                <w:color w:val="auto"/>
              </w:rPr>
            </w:pPr>
            <w:r>
              <w:rPr>
                <w:rFonts w:ascii="Arial" w:cs="Arial" w:eastAsia="Arial" w:hAnsi="Arial"/>
                <w:sz w:val="13"/>
                <w:szCs w:val="13"/>
                <w:color w:val="auto"/>
              </w:rPr>
              <w:t>(20.0)%</w:t>
            </w:r>
          </w:p>
        </w:tc>
        <w:tc>
          <w:tcPr>
            <w:tcW w:w="100" w:type="dxa"/>
            <w:vAlign w:val="bottom"/>
            <w:tcBorders>
              <w:bottom w:val="single" w:sz="8" w:color="E5E5E5"/>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1%</w:t>
            </w:r>
          </w:p>
        </w:tc>
        <w:tc>
          <w:tcPr>
            <w:tcW w:w="100" w:type="dxa"/>
            <w:vAlign w:val="bottom"/>
            <w:tcBorders>
              <w:bottom w:val="single" w:sz="8" w:color="E5E5E5"/>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1%</w:t>
            </w:r>
          </w:p>
        </w:tc>
      </w:tr>
      <w:tr>
        <w:trPr>
          <w:trHeight w:val="210"/>
        </w:trPr>
        <w:tc>
          <w:tcPr>
            <w:tcW w:w="44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Equipment Sales</w:t>
            </w:r>
          </w:p>
        </w:tc>
        <w:tc>
          <w:tcPr>
            <w:tcW w:w="68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419</w:t>
            </w:r>
          </w:p>
        </w:tc>
        <w:tc>
          <w:tcPr>
            <w:tcW w:w="100" w:type="dxa"/>
            <w:vAlign w:val="bottom"/>
            <w:tcBorders>
              <w:bottom w:val="single" w:sz="8" w:color="E5E5E5"/>
            </w:tcBorders>
            <w:shd w:val="clear" w:color="auto" w:fill="E5E5E5"/>
          </w:tcPr>
          <w:p>
            <w:pPr>
              <w:spacing w:after="0"/>
              <w:rPr>
                <w:sz w:val="17"/>
                <w:szCs w:val="17"/>
                <w:color w:val="auto"/>
              </w:rPr>
            </w:pPr>
          </w:p>
        </w:tc>
        <w:tc>
          <w:tcPr>
            <w:tcW w:w="720" w:type="dxa"/>
            <w:vAlign w:val="bottom"/>
            <w:tcBorders>
              <w:bottom w:val="single" w:sz="8" w:color="auto"/>
            </w:tcBorders>
            <w:shd w:val="clear" w:color="auto" w:fill="E5E5E5"/>
          </w:tcPr>
          <w:p>
            <w:pPr>
              <w:jc w:val="right"/>
              <w:ind w:right="57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494</w:t>
            </w:r>
          </w:p>
        </w:tc>
        <w:tc>
          <w:tcPr>
            <w:tcW w:w="1140" w:type="dxa"/>
            <w:vAlign w:val="bottom"/>
            <w:tcBorders>
              <w:bottom w:val="single" w:sz="8" w:color="E5E5E5"/>
            </w:tcBorders>
            <w:gridSpan w:val="2"/>
            <w:shd w:val="clear" w:color="auto" w:fill="E5E5E5"/>
          </w:tcPr>
          <w:p>
            <w:pPr>
              <w:jc w:val="center"/>
              <w:ind w:left="37"/>
              <w:spacing w:after="0"/>
              <w:rPr>
                <w:sz w:val="20"/>
                <w:szCs w:val="20"/>
                <w:color w:val="auto"/>
              </w:rPr>
            </w:pPr>
            <w:r>
              <w:rPr>
                <w:rFonts w:ascii="Arial" w:cs="Arial" w:eastAsia="Arial" w:hAnsi="Arial"/>
                <w:sz w:val="13"/>
                <w:szCs w:val="13"/>
                <w:color w:val="auto"/>
                <w:w w:val="96"/>
              </w:rPr>
              <w:t>(15.2)%</w:t>
            </w:r>
          </w:p>
        </w:tc>
        <w:tc>
          <w:tcPr>
            <w:tcW w:w="100" w:type="dxa"/>
            <w:vAlign w:val="bottom"/>
            <w:tcBorders>
              <w:bottom w:val="single" w:sz="8" w:color="E5E5E5"/>
            </w:tcBorders>
            <w:shd w:val="clear" w:color="auto" w:fill="E5E5E5"/>
          </w:tcPr>
          <w:p>
            <w:pPr>
              <w:spacing w:after="0"/>
              <w:rPr>
                <w:sz w:val="17"/>
                <w:szCs w:val="17"/>
                <w:color w:val="auto"/>
              </w:rPr>
            </w:pPr>
          </w:p>
        </w:tc>
        <w:tc>
          <w:tcPr>
            <w:tcW w:w="1040" w:type="dxa"/>
            <w:vAlign w:val="bottom"/>
            <w:tcBorders>
              <w:bottom w:val="single" w:sz="8" w:color="E5E5E5"/>
            </w:tcBorders>
            <w:shd w:val="clear" w:color="auto" w:fill="E5E5E5"/>
          </w:tcPr>
          <w:p>
            <w:pPr>
              <w:jc w:val="right"/>
              <w:ind w:right="237"/>
              <w:spacing w:after="0"/>
              <w:rPr>
                <w:sz w:val="20"/>
                <w:szCs w:val="20"/>
                <w:color w:val="auto"/>
              </w:rPr>
            </w:pPr>
            <w:r>
              <w:rPr>
                <w:rFonts w:ascii="Arial" w:cs="Arial" w:eastAsia="Arial" w:hAnsi="Arial"/>
                <w:sz w:val="13"/>
                <w:szCs w:val="13"/>
                <w:color w:val="auto"/>
              </w:rPr>
              <w:t>(16.1)%</w:t>
            </w:r>
          </w:p>
        </w:tc>
        <w:tc>
          <w:tcPr>
            <w:tcW w:w="10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100%</w:t>
            </w:r>
          </w:p>
        </w:tc>
        <w:tc>
          <w:tcPr>
            <w:tcW w:w="10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100%</w:t>
            </w:r>
          </w:p>
        </w:tc>
      </w:tr>
      <w:tr>
        <w:trPr>
          <w:trHeight w:val="20"/>
        </w:trPr>
        <w:tc>
          <w:tcPr>
            <w:tcW w:w="43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20" w:type="dxa"/>
            <w:vAlign w:val="bottom"/>
            <w:tcBorders>
              <w:top w:val="single" w:sz="8" w:color="E5E5E5"/>
              <w:bottom w:val="single" w:sz="8" w:color="auto"/>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45"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CC - Constant Currency (see "Non-GAAP Financial Measures" section).</w:t>
      </w:r>
    </w:p>
    <w:p>
      <w:pPr>
        <w:spacing w:after="0" w:line="192" w:lineRule="exact"/>
        <w:rPr>
          <w:sz w:val="20"/>
          <w:szCs w:val="20"/>
          <w:color w:val="auto"/>
        </w:rPr>
      </w:pPr>
    </w:p>
    <w:p>
      <w:pPr>
        <w:jc w:val="both"/>
        <w:ind w:left="285" w:hanging="285"/>
        <w:spacing w:after="0" w:line="239" w:lineRule="auto"/>
        <w:tabs>
          <w:tab w:leader="none" w:pos="281"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Equipment sales revenue </w:t>
      </w:r>
      <w:r>
        <w:rPr>
          <w:rFonts w:ascii="Arial" w:cs="Arial" w:eastAsia="Arial" w:hAnsi="Arial"/>
          <w:sz w:val="16"/>
          <w:szCs w:val="16"/>
          <w:color w:val="auto"/>
        </w:rPr>
        <w:t>decreased 15.2% as compared to third quarter 2019, including a 0.9-percentage point favorable impact from currency as well as</w:t>
      </w:r>
      <w:r>
        <w:rPr>
          <w:rFonts w:ascii="Arial" w:cs="Arial" w:eastAsia="Arial" w:hAnsi="Arial"/>
          <w:sz w:val="16"/>
          <w:szCs w:val="16"/>
          <w:b w:val="1"/>
          <w:bCs w:val="1"/>
          <w:color w:val="auto"/>
        </w:rPr>
        <w:t xml:space="preserve"> </w:t>
      </w:r>
      <w:r>
        <w:rPr>
          <w:rFonts w:ascii="Arial" w:cs="Arial" w:eastAsia="Arial" w:hAnsi="Arial"/>
          <w:sz w:val="16"/>
          <w:szCs w:val="16"/>
          <w:color w:val="auto"/>
        </w:rPr>
        <w:t>the impact of price declines of approximately 5%. The COVID-19 pandemic significantly impacted our equipment sales revenue during the third quarter 2020 as a result of business closures and office building capacity restrictions that impacted our customers' purchasing decisions. However, as businesses reopened in certain geographical areas in the U.S. and EMEA, the impact of the pandemic on our equipment sales lessened compared to its impact in the prior quarter, resulting in a sequential improvement in the rate of decline. The decline at constant currency</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reflected the following:</w:t>
      </w:r>
    </w:p>
    <w:p>
      <w:pPr>
        <w:spacing w:after="0" w:line="3" w:lineRule="exact"/>
        <w:rPr>
          <w:rFonts w:ascii="Arial" w:cs="Arial" w:eastAsia="Arial" w:hAnsi="Arial"/>
          <w:sz w:val="16"/>
          <w:szCs w:val="16"/>
          <w:b w:val="1"/>
          <w:bCs w:val="1"/>
          <w:color w:val="auto"/>
        </w:rPr>
      </w:pPr>
    </w:p>
    <w:p>
      <w:pPr>
        <w:ind w:left="845" w:right="20" w:hanging="278"/>
        <w:spacing w:after="0" w:line="246" w:lineRule="auto"/>
        <w:tabs>
          <w:tab w:leader="none" w:pos="854" w:val="left"/>
        </w:tabs>
        <w:numPr>
          <w:ilvl w:val="1"/>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Entry - </w:t>
      </w:r>
      <w:r>
        <w:rPr>
          <w:rFonts w:ascii="Arial" w:cs="Arial" w:eastAsia="Arial" w:hAnsi="Arial"/>
          <w:sz w:val="16"/>
          <w:szCs w:val="16"/>
          <w:color w:val="auto"/>
        </w:rPr>
        <w:t>The increase was due to higher installs of lower-end printers and MFPs (primarily of black-and-white devices) in EMEA and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 channels in the U.S., in part associated with hybrid-workplace promotions.</w:t>
      </w:r>
    </w:p>
    <w:p>
      <w:pPr>
        <w:jc w:val="both"/>
        <w:ind w:left="845" w:hanging="278"/>
        <w:spacing w:after="0" w:line="246" w:lineRule="auto"/>
        <w:tabs>
          <w:tab w:leader="none" w:pos="866" w:val="left"/>
        </w:tabs>
        <w:numPr>
          <w:ilvl w:val="1"/>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Mid-range - </w:t>
      </w:r>
      <w:r>
        <w:rPr>
          <w:rFonts w:ascii="Arial" w:cs="Arial" w:eastAsia="Arial" w:hAnsi="Arial"/>
          <w:sz w:val="16"/>
          <w:szCs w:val="16"/>
          <w:color w:val="auto"/>
        </w:rPr>
        <w:t>The decrease was driven primarily by the COVID-19 pandemic and related office closures, which impacted sales of this group of</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more due to their prevalence in office-team settings. Higher sales to our government and education sector customers in North America, as well as strong demand for our recently launched PrimeLink devices and our new-generation of ConnectKey devices, provided a partial offset.</w:t>
      </w:r>
    </w:p>
    <w:p>
      <w:pPr>
        <w:spacing w:after="0" w:line="1" w:lineRule="exact"/>
        <w:rPr>
          <w:rFonts w:ascii="Arial" w:cs="Arial" w:eastAsia="Arial" w:hAnsi="Arial"/>
          <w:sz w:val="16"/>
          <w:szCs w:val="16"/>
          <w:color w:val="auto"/>
        </w:rPr>
      </w:pPr>
    </w:p>
    <w:p>
      <w:pPr>
        <w:jc w:val="both"/>
        <w:ind w:left="845" w:hanging="278"/>
        <w:spacing w:after="0" w:line="248" w:lineRule="auto"/>
        <w:tabs>
          <w:tab w:leader="none" w:pos="842" w:val="left"/>
        </w:tabs>
        <w:numPr>
          <w:ilvl w:val="1"/>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High-end - </w:t>
      </w:r>
      <w:r>
        <w:rPr>
          <w:rFonts w:ascii="Arial" w:cs="Arial" w:eastAsia="Arial" w:hAnsi="Arial"/>
          <w:sz w:val="16"/>
          <w:szCs w:val="16"/>
          <w:color w:val="auto"/>
        </w:rPr>
        <w:t>The decrease reflected primarily lower installs of our Versant entry-production color, Iridesse and iGen production presses, partially offset</w:t>
      </w:r>
      <w:r>
        <w:rPr>
          <w:rFonts w:ascii="Arial" w:cs="Arial" w:eastAsia="Arial" w:hAnsi="Arial"/>
          <w:sz w:val="16"/>
          <w:szCs w:val="16"/>
          <w:b w:val="1"/>
          <w:bCs w:val="1"/>
          <w:color w:val="auto"/>
        </w:rPr>
        <w:t xml:space="preserve"> </w:t>
      </w:r>
      <w:r>
        <w:rPr>
          <w:rFonts w:ascii="Arial" w:cs="Arial" w:eastAsia="Arial" w:hAnsi="Arial"/>
          <w:sz w:val="16"/>
          <w:szCs w:val="16"/>
          <w:color w:val="auto"/>
        </w:rPr>
        <w:t>by higher installs of our cut-sheet inkjet systems. The decrease in our equipment sales revenue from production color systems was partially impacted by the COVID-19 pandemic, particularly affecting installs of our Iridesse and Versant systems due to their higher mix to the SMB segment where production printing applications depend on business reopening activity.</w:t>
      </w:r>
    </w:p>
    <w:p>
      <w:pPr>
        <w:spacing w:after="0" w:line="200" w:lineRule="exact"/>
        <w:rPr>
          <w:sz w:val="20"/>
          <w:szCs w:val="20"/>
          <w:color w:val="auto"/>
        </w:rPr>
      </w:pPr>
    </w:p>
    <w:p>
      <w:pPr>
        <w:spacing w:after="0" w:line="38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5"/>
          </w:cols>
          <w:pgMar w:left="315" w:top="898" w:right="319" w:bottom="1440" w:gutter="0" w:footer="0" w:header="0"/>
        </w:sectPr>
      </w:pPr>
    </w:p>
    <w:bookmarkStart w:id="17" w:name="page18"/>
    <w:bookmarkEnd w:id="17"/>
    <w:p>
      <w:pPr>
        <w:ind w:left="5"/>
        <w:spacing w:after="0"/>
        <w:rPr>
          <w:sz w:val="20"/>
          <w:szCs w:val="20"/>
          <w:color w:val="auto"/>
        </w:rPr>
      </w:pPr>
      <w:r>
        <w:rPr>
          <w:rFonts w:ascii="Arial" w:cs="Arial" w:eastAsia="Arial" w:hAnsi="Arial"/>
          <w:sz w:val="16"/>
          <w:szCs w:val="16"/>
          <w:i w:val="1"/>
          <w:iCs w:val="1"/>
          <w:u w:val="single" w:color="auto"/>
          <w:color w:val="auto"/>
        </w:rPr>
        <w:t>Total Installs</w:t>
      </w:r>
    </w:p>
    <w:p>
      <w:pPr>
        <w:spacing w:after="0" w:line="21" w:lineRule="exact"/>
        <w:rPr>
          <w:sz w:val="20"/>
          <w:szCs w:val="20"/>
          <w:color w:val="auto"/>
        </w:rPr>
      </w:pPr>
    </w:p>
    <w:p>
      <w:pPr>
        <w:jc w:val="both"/>
        <w:ind w:left="5" w:right="20"/>
        <w:spacing w:after="0" w:line="248" w:lineRule="auto"/>
        <w:rPr>
          <w:sz w:val="20"/>
          <w:szCs w:val="20"/>
          <w:color w:val="auto"/>
        </w:rPr>
      </w:pPr>
      <w:r>
        <w:rPr>
          <w:rFonts w:ascii="Arial" w:cs="Arial" w:eastAsia="Arial" w:hAnsi="Arial"/>
          <w:sz w:val="16"/>
          <w:szCs w:val="16"/>
          <w:color w:val="auto"/>
        </w:rPr>
        <w:t>Installs reflect new placement of devices only (i.e., measure does not take into account removal of devices which may occur as a result of contract renewals or cancellations). Revenue associated with equipment installations may be reflected up-front in Equipment sales or over time either through rental income or as part of our Xerox Services revenues (which are both reported within our post sale revenues), depending on the terms and conditions of our agreements with customers. Installs include activity from Xerox Services and Xerox-branded products shipped to our XBS sales unit. Detail by product group (see Appendix II) is shown below:</w:t>
      </w:r>
    </w:p>
    <w:p>
      <w:pPr>
        <w:spacing w:after="0" w:line="191"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Entry</w:t>
      </w:r>
    </w:p>
    <w:p>
      <w:pPr>
        <w:spacing w:after="0" w:line="21" w:lineRule="exact"/>
        <w:rPr>
          <w:sz w:val="20"/>
          <w:szCs w:val="20"/>
          <w:color w:val="auto"/>
        </w:rPr>
      </w:pPr>
    </w:p>
    <w:p>
      <w:pPr>
        <w:ind w:left="285" w:hanging="285"/>
        <w:spacing w:after="0"/>
        <w:tabs>
          <w:tab w:leader="none" w:pos="2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9% decrease in color multifunction devices reflecting lower installs of ConnectKey devices through our indirect channels in the U.S. and in EMEA.</w:t>
      </w:r>
    </w:p>
    <w:p>
      <w:pPr>
        <w:spacing w:after="0" w:line="5" w:lineRule="exact"/>
        <w:rPr>
          <w:rFonts w:ascii="Arial" w:cs="Arial" w:eastAsia="Arial" w:hAnsi="Arial"/>
          <w:sz w:val="16"/>
          <w:szCs w:val="16"/>
          <w:color w:val="auto"/>
        </w:rPr>
      </w:pPr>
    </w:p>
    <w:p>
      <w:pPr>
        <w:ind w:left="285" w:right="20" w:hanging="285"/>
        <w:spacing w:after="0" w:line="285" w:lineRule="auto"/>
        <w:tabs>
          <w:tab w:leader="none" w:pos="281" w:val="left"/>
        </w:tabs>
        <w:numPr>
          <w:ilvl w:val="0"/>
          <w:numId w:val="13"/>
        </w:numPr>
        <w:rPr>
          <w:rFonts w:ascii="Arial" w:cs="Arial" w:eastAsia="Arial" w:hAnsi="Arial"/>
          <w:sz w:val="15"/>
          <w:szCs w:val="15"/>
          <w:color w:val="auto"/>
        </w:rPr>
      </w:pPr>
      <w:r>
        <w:rPr>
          <w:rFonts w:ascii="Arial" w:cs="Arial" w:eastAsia="Arial" w:hAnsi="Arial"/>
          <w:sz w:val="15"/>
          <w:szCs w:val="15"/>
          <w:color w:val="auto"/>
        </w:rPr>
        <w:t>52% increase in black-and-white multifunction devices reflecting higher activity primarily from indirect channels in the U.S and from developing regions in EMEA. The increase is primarily driven by higher sales of low-end devices associated with large order deals from Eurasia and work-from-home promotions.</w:t>
      </w:r>
    </w:p>
    <w:p>
      <w:pPr>
        <w:spacing w:after="0" w:line="69"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Mid-Range</w:t>
      </w:r>
      <w:r>
        <w:rPr>
          <w:rFonts w:ascii="Arial" w:cs="Arial" w:eastAsia="Arial" w:hAnsi="Arial"/>
          <w:sz w:val="20"/>
          <w:szCs w:val="20"/>
          <w:i w:val="1"/>
          <w:iCs w:val="1"/>
          <w:color w:val="auto"/>
          <w:vertAlign w:val="superscript"/>
        </w:rPr>
        <w:t>2</w:t>
      </w:r>
    </w:p>
    <w:p>
      <w:pPr>
        <w:ind w:left="285" w:right="20" w:hanging="285"/>
        <w:spacing w:after="0" w:line="246" w:lineRule="auto"/>
        <w:tabs>
          <w:tab w:leader="none" w:pos="2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21% decrease in mid-range color installs primarily reflecting lower installs of multifunction color devices partially offset by strong demand for our recently launched PrimeLink entry-production color devices and our new-generation of ConnectKey multi-function devices.</w:t>
      </w:r>
    </w:p>
    <w:p>
      <w:pPr>
        <w:ind w:left="285" w:right="20" w:hanging="285"/>
        <w:spacing w:after="0" w:line="252" w:lineRule="auto"/>
        <w:tabs>
          <w:tab w:leader="none" w:pos="2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19% decrease in mid-range black-and-white installs reflecting in part global market trends partially offset by strong demand for our recently launched PrimeLink light-production devices and our new-generation of ConnectKey multi-function devices.</w:t>
      </w:r>
    </w:p>
    <w:p>
      <w:pPr>
        <w:spacing w:after="0" w:line="93"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High-End</w:t>
      </w:r>
      <w:r>
        <w:rPr>
          <w:rFonts w:ascii="Arial" w:cs="Arial" w:eastAsia="Arial" w:hAnsi="Arial"/>
          <w:sz w:val="20"/>
          <w:szCs w:val="20"/>
          <w:i w:val="1"/>
          <w:iCs w:val="1"/>
          <w:color w:val="auto"/>
          <w:vertAlign w:val="superscript"/>
        </w:rPr>
        <w:t>2</w:t>
      </w:r>
    </w:p>
    <w:p>
      <w:pPr>
        <w:ind w:left="285" w:hanging="285"/>
        <w:spacing w:after="0" w:line="246" w:lineRule="auto"/>
        <w:tabs>
          <w:tab w:leader="none" w:pos="2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38% decrease in high-end color installs reflecting primarily lower installs of our lower-end Versant devices and of our Iridesse and iGen productions systems, partially offset by higher installs of our Baltoro cut-sheet inkjet systems.</w:t>
      </w:r>
    </w:p>
    <w:p>
      <w:pPr>
        <w:ind w:left="285" w:hanging="285"/>
        <w:spacing w:after="0"/>
        <w:tabs>
          <w:tab w:leader="none" w:pos="2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13% decrease in high-end black-and-white systems reflecting lower installs of our Nuvera devices along with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w:t>
      </w:r>
    </w:p>
    <w:p>
      <w:pPr>
        <w:spacing w:after="0" w:line="15" w:lineRule="exact"/>
        <w:rPr>
          <w:sz w:val="20"/>
          <w:szCs w:val="20"/>
          <w:color w:val="auto"/>
        </w:rPr>
      </w:pPr>
    </w:p>
    <w:p>
      <w:pPr>
        <w:ind w:left="285" w:hanging="285"/>
        <w:spacing w:after="0"/>
        <w:tabs>
          <w:tab w:leader="none" w:pos="285"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“Non-GAAP Financial Measures” section for an explanation of the non-GAAP financial measure.</w:t>
      </w:r>
    </w:p>
    <w:p>
      <w:pPr>
        <w:ind w:left="285" w:right="20" w:hanging="285"/>
        <w:spacing w:after="0" w:line="211" w:lineRule="auto"/>
        <w:tabs>
          <w:tab w:leader="none" w:pos="279"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Mid-range and High-end color installations exclude Fuji Xerox digital front-end sales; including Fuji Xerox digital front-end sales, Mid-range color devices decreased 21%, and High-end color systems decreased 39%.</w:t>
      </w:r>
    </w:p>
    <w:p>
      <w:pPr>
        <w:sectPr>
          <w:pgSz w:w="11900" w:h="16838" w:orient="portrait"/>
          <w:cols w:equalWidth="0" w:num="1">
            <w:col w:w="11265"/>
          </w:cols>
          <w:pgMar w:left="315" w:top="1139" w:right="319" w:bottom="876"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5"/>
          </w:cols>
          <w:pgMar w:left="315" w:top="1139" w:right="319" w:bottom="876" w:gutter="0" w:footer="0" w:header="0"/>
          <w:type w:val="continuous"/>
        </w:sectPr>
      </w:pPr>
    </w:p>
    <w:bookmarkStart w:id="18" w:name="page19"/>
    <w:bookmarkEnd w:id="18"/>
    <w:p>
      <w:pPr>
        <w:ind w:left="5"/>
        <w:spacing w:after="0"/>
        <w:rPr>
          <w:sz w:val="20"/>
          <w:szCs w:val="20"/>
          <w:color w:val="auto"/>
        </w:rPr>
      </w:pPr>
      <w:r>
        <w:rPr>
          <w:rFonts w:ascii="Arial" w:cs="Arial" w:eastAsia="Arial" w:hAnsi="Arial"/>
          <w:sz w:val="22"/>
          <w:szCs w:val="22"/>
          <w:b w:val="1"/>
          <w:bCs w:val="1"/>
          <w:color w:val="DA2031"/>
        </w:rPr>
        <w:t>Costs, Expenses and Other Income</w:t>
      </w:r>
    </w:p>
    <w:p>
      <w:pPr>
        <w:spacing w:after="0" w:line="150"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DA2031"/>
        </w:rPr>
        <w:t>Summary of Key Financial Ratios</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is a summary of key financial ratios used to assess our performance:</w:t>
      </w:r>
    </w:p>
    <w:p>
      <w:pPr>
        <w:spacing w:after="0" w:line="132"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3"/>
                <w:szCs w:val="13"/>
                <w:color w:val="auto"/>
                <w:w w:val="98"/>
              </w:rPr>
              <w:t>Three Months Ended</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7"/>
        </w:trPr>
        <w:tc>
          <w:tcPr>
            <w:tcW w:w="5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3"/>
                <w:szCs w:val="13"/>
                <w:color w:val="auto"/>
              </w:rPr>
              <w:t>September 30,</w:t>
            </w:r>
          </w:p>
        </w:tc>
        <w:tc>
          <w:tcPr>
            <w:tcW w:w="10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r>
      <w:tr>
        <w:trPr>
          <w:trHeight w:val="18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2020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2019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B/(W)</w:t>
            </w:r>
          </w:p>
        </w:tc>
        <w:tc>
          <w:tcPr>
            <w:tcW w:w="340" w:type="dxa"/>
            <w:vAlign w:val="bottom"/>
            <w:tcBorders>
              <w:bottom w:val="single" w:sz="8" w:color="auto"/>
            </w:tcBorders>
          </w:tcPr>
          <w:p>
            <w:pPr>
              <w:spacing w:after="0"/>
              <w:rPr>
                <w:sz w:val="15"/>
                <w:szCs w:val="15"/>
                <w:color w:val="auto"/>
              </w:rPr>
            </w:pPr>
          </w:p>
        </w:tc>
      </w:tr>
      <w:tr>
        <w:trPr>
          <w:trHeight w:val="185"/>
        </w:trPr>
        <w:tc>
          <w:tcPr>
            <w:tcW w:w="61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Gross Profit</w:t>
            </w:r>
          </w:p>
        </w:tc>
        <w:tc>
          <w:tcPr>
            <w:tcW w:w="280" w:type="dxa"/>
            <w:vAlign w:val="bottom"/>
            <w:shd w:val="clear" w:color="auto" w:fill="E5E5E5"/>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651</w:t>
            </w:r>
          </w:p>
        </w:tc>
        <w:tc>
          <w:tcPr>
            <w:tcW w:w="400" w:type="dxa"/>
            <w:vAlign w:val="bottom"/>
            <w:gridSpan w:val="3"/>
            <w:shd w:val="clear" w:color="auto" w:fill="E5E5E5"/>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872</w:t>
            </w:r>
          </w:p>
        </w:tc>
        <w:tc>
          <w:tcPr>
            <w:tcW w:w="480" w:type="dxa"/>
            <w:vAlign w:val="bottom"/>
            <w:gridSpan w:val="3"/>
            <w:shd w:val="clear" w:color="auto" w:fill="E5E5E5"/>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(221)</w:t>
            </w:r>
          </w:p>
        </w:tc>
        <w:tc>
          <w:tcPr>
            <w:tcW w:w="340" w:type="dxa"/>
            <w:vAlign w:val="bottom"/>
            <w:shd w:val="clear" w:color="auto" w:fill="E5E5E5"/>
          </w:tcPr>
          <w:p>
            <w:pPr>
              <w:spacing w:after="0"/>
              <w:rPr>
                <w:sz w:val="16"/>
                <w:szCs w:val="16"/>
                <w:color w:val="auto"/>
              </w:rPr>
            </w:pPr>
          </w:p>
        </w:tc>
      </w:tr>
      <w:tr>
        <w:trPr>
          <w:trHeight w:val="184"/>
        </w:trPr>
        <w:tc>
          <w:tcPr>
            <w:tcW w:w="6100" w:type="dxa"/>
            <w:vAlign w:val="bottom"/>
            <w:gridSpan w:val="2"/>
          </w:tcPr>
          <w:p>
            <w:pPr>
              <w:ind w:left="20"/>
              <w:spacing w:after="0"/>
              <w:rPr>
                <w:sz w:val="20"/>
                <w:szCs w:val="20"/>
                <w:color w:val="auto"/>
              </w:rPr>
            </w:pPr>
            <w:r>
              <w:rPr>
                <w:rFonts w:ascii="Arial" w:cs="Arial" w:eastAsia="Arial" w:hAnsi="Arial"/>
                <w:sz w:val="13"/>
                <w:szCs w:val="13"/>
                <w:color w:val="auto"/>
              </w:rPr>
              <w:t>RD&amp;E</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24</w:t>
            </w:r>
          </w:p>
        </w:tc>
        <w:tc>
          <w:tcPr>
            <w:tcW w:w="340" w:type="dxa"/>
            <w:vAlign w:val="bottom"/>
          </w:tcPr>
          <w:p>
            <w:pPr>
              <w:spacing w:after="0"/>
              <w:rPr>
                <w:sz w:val="16"/>
                <w:szCs w:val="16"/>
                <w:color w:val="auto"/>
              </w:rPr>
            </w:pPr>
          </w:p>
        </w:tc>
      </w:tr>
      <w:tr>
        <w:trPr>
          <w:trHeight w:val="194"/>
        </w:trPr>
        <w:tc>
          <w:tcPr>
            <w:tcW w:w="61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SAG</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444</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510</w:t>
            </w: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77"/>
              <w:spacing w:after="0"/>
              <w:rPr>
                <w:sz w:val="20"/>
                <w:szCs w:val="20"/>
                <w:color w:val="auto"/>
              </w:rPr>
            </w:pPr>
            <w:r>
              <w:rPr>
                <w:rFonts w:ascii="Arial" w:cs="Arial" w:eastAsia="Arial" w:hAnsi="Arial"/>
                <w:sz w:val="13"/>
                <w:szCs w:val="13"/>
                <w:color w:val="auto"/>
              </w:rPr>
              <w:t>66</w:t>
            </w:r>
          </w:p>
        </w:tc>
        <w:tc>
          <w:tcPr>
            <w:tcW w:w="340" w:type="dxa"/>
            <w:vAlign w:val="bottom"/>
            <w:shd w:val="clear" w:color="auto" w:fill="E5E5E5"/>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61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Equipment Gross Margin</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25.5</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34.5</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(9.0)</w:t>
            </w:r>
          </w:p>
        </w:tc>
        <w:tc>
          <w:tcPr>
            <w:tcW w:w="340" w:type="dxa"/>
            <w:vAlign w:val="bottom"/>
            <w:shd w:val="clear" w:color="auto" w:fill="E5E5E5"/>
          </w:tcPr>
          <w:p>
            <w:pPr>
              <w:ind w:left="120"/>
              <w:spacing w:after="0"/>
              <w:rPr>
                <w:sz w:val="20"/>
                <w:szCs w:val="20"/>
                <w:color w:val="auto"/>
              </w:rPr>
            </w:pPr>
            <w:r>
              <w:rPr>
                <w:rFonts w:ascii="Arial" w:cs="Arial" w:eastAsia="Arial" w:hAnsi="Arial"/>
                <w:sz w:val="13"/>
                <w:szCs w:val="13"/>
                <w:color w:val="auto"/>
                <w:w w:val="95"/>
              </w:rPr>
              <w:t>pts.</w:t>
            </w:r>
          </w:p>
        </w:tc>
      </w:tr>
      <w:tr>
        <w:trPr>
          <w:trHeight w:val="184"/>
        </w:trPr>
        <w:tc>
          <w:tcPr>
            <w:tcW w:w="6100" w:type="dxa"/>
            <w:vAlign w:val="bottom"/>
            <w:gridSpan w:val="2"/>
          </w:tcPr>
          <w:p>
            <w:pPr>
              <w:ind w:left="20"/>
              <w:spacing w:after="0"/>
              <w:rPr>
                <w:sz w:val="20"/>
                <w:szCs w:val="20"/>
                <w:color w:val="auto"/>
              </w:rPr>
            </w:pPr>
            <w:r>
              <w:rPr>
                <w:rFonts w:ascii="Arial" w:cs="Arial" w:eastAsia="Arial" w:hAnsi="Arial"/>
                <w:sz w:val="13"/>
                <w:szCs w:val="13"/>
                <w:color w:val="auto"/>
              </w:rPr>
              <w:t>Post sale Gross Margin</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340" w:type="dxa"/>
            <w:vAlign w:val="bottom"/>
          </w:tcPr>
          <w:p>
            <w:pPr>
              <w:ind w:left="120"/>
              <w:spacing w:after="0"/>
              <w:rPr>
                <w:sz w:val="20"/>
                <w:szCs w:val="20"/>
                <w:color w:val="auto"/>
              </w:rPr>
            </w:pPr>
            <w:r>
              <w:rPr>
                <w:rFonts w:ascii="Arial" w:cs="Arial" w:eastAsia="Arial" w:hAnsi="Arial"/>
                <w:sz w:val="13"/>
                <w:szCs w:val="13"/>
                <w:color w:val="auto"/>
                <w:w w:val="95"/>
              </w:rPr>
              <w:t>pts.</w:t>
            </w:r>
          </w:p>
        </w:tc>
      </w:tr>
      <w:tr>
        <w:trPr>
          <w:trHeight w:val="194"/>
        </w:trPr>
        <w:tc>
          <w:tcPr>
            <w:tcW w:w="61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Total Gross Margin</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36.8</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40.0</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(3.2)</w:t>
            </w:r>
          </w:p>
        </w:tc>
        <w:tc>
          <w:tcPr>
            <w:tcW w:w="340" w:type="dxa"/>
            <w:vAlign w:val="bottom"/>
            <w:shd w:val="clear" w:color="auto" w:fill="E5E5E5"/>
          </w:tcPr>
          <w:p>
            <w:pPr>
              <w:ind w:left="120"/>
              <w:spacing w:after="0"/>
              <w:rPr>
                <w:sz w:val="20"/>
                <w:szCs w:val="20"/>
                <w:color w:val="auto"/>
              </w:rPr>
            </w:pPr>
            <w:r>
              <w:rPr>
                <w:rFonts w:ascii="Arial" w:cs="Arial" w:eastAsia="Arial" w:hAnsi="Arial"/>
                <w:sz w:val="13"/>
                <w:szCs w:val="13"/>
                <w:color w:val="auto"/>
                <w:w w:val="95"/>
              </w:rPr>
              <w:t>pts.</w:t>
            </w:r>
          </w:p>
        </w:tc>
      </w:tr>
      <w:tr>
        <w:trPr>
          <w:trHeight w:val="184"/>
        </w:trPr>
        <w:tc>
          <w:tcPr>
            <w:tcW w:w="6100" w:type="dxa"/>
            <w:vAlign w:val="bottom"/>
            <w:gridSpan w:val="2"/>
          </w:tcPr>
          <w:p>
            <w:pPr>
              <w:ind w:left="20"/>
              <w:spacing w:after="0"/>
              <w:rPr>
                <w:sz w:val="20"/>
                <w:szCs w:val="20"/>
                <w:color w:val="auto"/>
              </w:rPr>
            </w:pPr>
            <w:r>
              <w:rPr>
                <w:rFonts w:ascii="Arial" w:cs="Arial" w:eastAsia="Arial" w:hAnsi="Arial"/>
                <w:sz w:val="13"/>
                <w:szCs w:val="13"/>
                <w:color w:val="auto"/>
              </w:rPr>
              <w:t>RD&amp;E as a % of Revenue</w:t>
            </w:r>
          </w:p>
        </w:tc>
        <w:tc>
          <w:tcPr>
            <w:tcW w:w="2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4.3 %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4.6 %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0.3</w:t>
            </w:r>
          </w:p>
        </w:tc>
        <w:tc>
          <w:tcPr>
            <w:tcW w:w="340" w:type="dxa"/>
            <w:vAlign w:val="bottom"/>
          </w:tcPr>
          <w:p>
            <w:pPr>
              <w:ind w:left="120"/>
              <w:spacing w:after="0"/>
              <w:rPr>
                <w:sz w:val="20"/>
                <w:szCs w:val="20"/>
                <w:color w:val="auto"/>
              </w:rPr>
            </w:pPr>
            <w:r>
              <w:rPr>
                <w:rFonts w:ascii="Arial" w:cs="Arial" w:eastAsia="Arial" w:hAnsi="Arial"/>
                <w:sz w:val="13"/>
                <w:szCs w:val="13"/>
                <w:color w:val="auto"/>
                <w:w w:val="95"/>
              </w:rPr>
              <w:t>pts.</w:t>
            </w:r>
          </w:p>
        </w:tc>
      </w:tr>
      <w:tr>
        <w:trPr>
          <w:trHeight w:val="194"/>
        </w:trPr>
        <w:tc>
          <w:tcPr>
            <w:tcW w:w="61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SAG as a % of Revenue</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rPr>
              <w:t>25.1 %</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rPr>
              <w:t>23.4 %</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(1.7)</w:t>
            </w:r>
          </w:p>
        </w:tc>
        <w:tc>
          <w:tcPr>
            <w:tcW w:w="340" w:type="dxa"/>
            <w:vAlign w:val="bottom"/>
            <w:shd w:val="clear" w:color="auto" w:fill="E5E5E5"/>
          </w:tcPr>
          <w:p>
            <w:pPr>
              <w:ind w:left="120"/>
              <w:spacing w:after="0"/>
              <w:rPr>
                <w:sz w:val="20"/>
                <w:szCs w:val="20"/>
                <w:color w:val="auto"/>
              </w:rPr>
            </w:pPr>
            <w:r>
              <w:rPr>
                <w:rFonts w:ascii="Arial" w:cs="Arial" w:eastAsia="Arial" w:hAnsi="Arial"/>
                <w:sz w:val="13"/>
                <w:szCs w:val="13"/>
                <w:color w:val="auto"/>
                <w:w w:val="95"/>
              </w:rPr>
              <w:t>pts.</w:t>
            </w:r>
          </w:p>
        </w:tc>
      </w:tr>
      <w:tr>
        <w:trPr>
          <w:trHeight w:val="189"/>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61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Pre-tax Income</w:t>
            </w:r>
          </w:p>
        </w:tc>
        <w:tc>
          <w:tcPr>
            <w:tcW w:w="280" w:type="dxa"/>
            <w:vAlign w:val="bottom"/>
            <w:shd w:val="clear" w:color="auto" w:fill="E5E5E5"/>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119</w:t>
            </w:r>
          </w:p>
        </w:tc>
        <w:tc>
          <w:tcPr>
            <w:tcW w:w="400" w:type="dxa"/>
            <w:vAlign w:val="bottom"/>
            <w:gridSpan w:val="3"/>
            <w:shd w:val="clear" w:color="auto" w:fill="E5E5E5"/>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223</w:t>
            </w:r>
          </w:p>
        </w:tc>
        <w:tc>
          <w:tcPr>
            <w:tcW w:w="480" w:type="dxa"/>
            <w:vAlign w:val="bottom"/>
            <w:gridSpan w:val="3"/>
            <w:shd w:val="clear" w:color="auto" w:fill="E5E5E5"/>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(104)</w:t>
            </w:r>
          </w:p>
        </w:tc>
        <w:tc>
          <w:tcPr>
            <w:tcW w:w="340" w:type="dxa"/>
            <w:vAlign w:val="bottom"/>
            <w:shd w:val="clear" w:color="auto" w:fill="E5E5E5"/>
          </w:tcPr>
          <w:p>
            <w:pPr>
              <w:spacing w:after="0"/>
              <w:rPr>
                <w:sz w:val="16"/>
                <w:szCs w:val="16"/>
                <w:color w:val="auto"/>
              </w:rPr>
            </w:pPr>
          </w:p>
        </w:tc>
      </w:tr>
      <w:tr>
        <w:trPr>
          <w:trHeight w:val="184"/>
        </w:trPr>
        <w:tc>
          <w:tcPr>
            <w:tcW w:w="6100" w:type="dxa"/>
            <w:vAlign w:val="bottom"/>
            <w:gridSpan w:val="2"/>
          </w:tcPr>
          <w:p>
            <w:pPr>
              <w:ind w:left="20"/>
              <w:spacing w:after="0"/>
              <w:rPr>
                <w:sz w:val="20"/>
                <w:szCs w:val="20"/>
                <w:color w:val="auto"/>
              </w:rPr>
            </w:pPr>
            <w:r>
              <w:rPr>
                <w:rFonts w:ascii="Arial" w:cs="Arial" w:eastAsia="Arial" w:hAnsi="Arial"/>
                <w:sz w:val="13"/>
                <w:szCs w:val="13"/>
                <w:color w:val="auto"/>
              </w:rPr>
              <w:t>Pre-tax Income Margin</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340" w:type="dxa"/>
            <w:vAlign w:val="bottom"/>
          </w:tcPr>
          <w:p>
            <w:pPr>
              <w:ind w:left="120"/>
              <w:spacing w:after="0"/>
              <w:rPr>
                <w:sz w:val="20"/>
                <w:szCs w:val="20"/>
                <w:color w:val="auto"/>
              </w:rPr>
            </w:pPr>
            <w:r>
              <w:rPr>
                <w:rFonts w:ascii="Arial" w:cs="Arial" w:eastAsia="Arial" w:hAnsi="Arial"/>
                <w:sz w:val="13"/>
                <w:szCs w:val="13"/>
                <w:color w:val="auto"/>
                <w:w w:val="95"/>
              </w:rPr>
              <w:t>pts.</w:t>
            </w:r>
          </w:p>
        </w:tc>
      </w:tr>
      <w:tr>
        <w:trPr>
          <w:trHeight w:val="194"/>
        </w:trPr>
        <w:tc>
          <w:tcPr>
            <w:tcW w:w="59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r>
      <w:tr>
        <w:trPr>
          <w:trHeight w:val="189"/>
        </w:trPr>
        <w:tc>
          <w:tcPr>
            <w:tcW w:w="6100" w:type="dxa"/>
            <w:vAlign w:val="bottom"/>
            <w:gridSpan w:val="2"/>
          </w:tcPr>
          <w:p>
            <w:pPr>
              <w:ind w:left="20"/>
              <w:spacing w:after="0"/>
              <w:rPr>
                <w:sz w:val="20"/>
                <w:szCs w:val="20"/>
                <w:color w:val="auto"/>
              </w:rPr>
            </w:pPr>
            <w:r>
              <w:rPr>
                <w:rFonts w:ascii="Arial" w:cs="Arial" w:eastAsia="Arial" w:hAnsi="Arial"/>
                <w:sz w:val="13"/>
                <w:szCs w:val="13"/>
                <w:color w:val="auto"/>
              </w:rPr>
              <w:t>Adjusted</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Operating Profit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131</w:t>
            </w:r>
          </w:p>
        </w:tc>
        <w:tc>
          <w:tcPr>
            <w:tcW w:w="4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262</w:t>
            </w:r>
          </w:p>
        </w:tc>
        <w:tc>
          <w:tcPr>
            <w:tcW w:w="4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(131)</w:t>
            </w:r>
          </w:p>
        </w:tc>
        <w:tc>
          <w:tcPr>
            <w:tcW w:w="340" w:type="dxa"/>
            <w:vAlign w:val="bottom"/>
          </w:tcPr>
          <w:p>
            <w:pPr>
              <w:spacing w:after="0"/>
              <w:rPr>
                <w:sz w:val="16"/>
                <w:szCs w:val="16"/>
                <w:color w:val="auto"/>
              </w:rPr>
            </w:pPr>
          </w:p>
        </w:tc>
      </w:tr>
      <w:tr>
        <w:trPr>
          <w:trHeight w:val="189"/>
        </w:trPr>
        <w:tc>
          <w:tcPr>
            <w:tcW w:w="61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Adjusted</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Operating Margin</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7.4</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12.0</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(4.6)</w:t>
            </w:r>
          </w:p>
        </w:tc>
        <w:tc>
          <w:tcPr>
            <w:tcW w:w="340" w:type="dxa"/>
            <w:vAlign w:val="bottom"/>
            <w:shd w:val="clear" w:color="auto" w:fill="E5E5E5"/>
          </w:tcPr>
          <w:p>
            <w:pPr>
              <w:ind w:left="120"/>
              <w:spacing w:after="0"/>
              <w:rPr>
                <w:sz w:val="20"/>
                <w:szCs w:val="20"/>
                <w:color w:val="auto"/>
              </w:rPr>
            </w:pPr>
            <w:r>
              <w:rPr>
                <w:rFonts w:ascii="Arial" w:cs="Arial" w:eastAsia="Arial" w:hAnsi="Arial"/>
                <w:sz w:val="13"/>
                <w:szCs w:val="13"/>
                <w:color w:val="auto"/>
                <w:w w:val="95"/>
              </w:rPr>
              <w:t>pts.</w:t>
            </w:r>
          </w:p>
        </w:tc>
      </w:tr>
    </w:tbl>
    <w:p>
      <w:pPr>
        <w:spacing w:after="0" w:line="68"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37" w:lineRule="exact"/>
        <w:rPr>
          <w:sz w:val="20"/>
          <w:szCs w:val="20"/>
          <w:color w:val="auto"/>
        </w:rPr>
      </w:pPr>
    </w:p>
    <w:p>
      <w:pPr>
        <w:ind w:left="125" w:hanging="125"/>
        <w:spacing w:after="0"/>
        <w:tabs>
          <w:tab w:leader="none" w:pos="125" w:val="left"/>
        </w:tabs>
        <w:numPr>
          <w:ilvl w:val="0"/>
          <w:numId w:val="1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See the “Non-GAAP Financial Measures” section for an explanation of the non-GAAP financial measure.</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Pre-tax Income Margin</w:t>
      </w:r>
    </w:p>
    <w:p>
      <w:pPr>
        <w:spacing w:after="0" w:line="21" w:lineRule="exact"/>
        <w:rPr>
          <w:sz w:val="20"/>
          <w:szCs w:val="20"/>
          <w:color w:val="auto"/>
        </w:rPr>
      </w:pPr>
    </w:p>
    <w:p>
      <w:pPr>
        <w:jc w:val="both"/>
        <w:ind w:left="5"/>
        <w:spacing w:after="0" w:line="227" w:lineRule="auto"/>
        <w:rPr>
          <w:sz w:val="20"/>
          <w:szCs w:val="20"/>
          <w:color w:val="auto"/>
        </w:rPr>
      </w:pPr>
      <w:r>
        <w:rPr>
          <w:rFonts w:ascii="Arial" w:cs="Arial" w:eastAsia="Arial" w:hAnsi="Arial"/>
          <w:sz w:val="16"/>
          <w:szCs w:val="16"/>
          <w:color w:val="auto"/>
        </w:rPr>
        <w:t>Third quarter 2020 pre-tax income margin of 6.7% decreased by 3.5-percentage points as compared to third quarter 2019. The decrease primarily reflected the impact of lower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operating margin (see below) of 4.6-percentage points partially offset by lower Other expenses, net, Transaction and related costs, net and Restructuring and related costs.</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Adjusted</w:t>
      </w:r>
      <w:r>
        <w:rPr>
          <w:rFonts w:ascii="Arial" w:cs="Arial" w:eastAsia="Arial" w:hAnsi="Arial"/>
          <w:sz w:val="20"/>
          <w:szCs w:val="20"/>
          <w:i w:val="1"/>
          <w:iCs w:val="1"/>
          <w:color w:val="auto"/>
          <w:vertAlign w:val="superscript"/>
        </w:rPr>
        <w:t>1</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Operating Margin</w:t>
      </w:r>
    </w:p>
    <w:p>
      <w:pPr>
        <w:ind w:left="5" w:right="40"/>
        <w:spacing w:after="0" w:line="225" w:lineRule="auto"/>
        <w:rPr>
          <w:sz w:val="20"/>
          <w:szCs w:val="20"/>
          <w:color w:val="auto"/>
        </w:rPr>
      </w:pPr>
      <w:r>
        <w:rPr>
          <w:rFonts w:ascii="Arial" w:cs="Arial" w:eastAsia="Arial" w:hAnsi="Arial"/>
          <w:sz w:val="16"/>
          <w:szCs w:val="16"/>
          <w:color w:val="auto"/>
        </w:rPr>
        <w:t>Third quarter 2020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operating margin of 7.4% decreased by 4.6-percentage points as compared to third quarter 2019 reflecting the impact of lower revenues, primarily as a result of the significant effect of the COVID-19 pandemic on our business, partially offset by cost and expense reductions associated with our Project Own It transformation actions as well as additional savings from various cost reduction actions to mitigate the impact of the pandemic, including approximately $35 million from temporary government assistance measures and furlough programs (see the “Government Assistance and Furlough Programs” section for further details) and other reductions in discretionary spend such as near term targeted marketing programs, the use of contract employees and the temporary suspension of 401(k) matching contributions for the year 2020, as well as lower compensation incentives consistent with lower sales and operating results. The suspension of the 401(k) matching contribution in the third quarter resulted in a 0.7-percentage point benefit from the reversal in the third quarter of the accrual through the second quarter. The decrease was also affected by an approximate 1.0-percentage point unfavorable combined impact from higher tariffs and transaction currency.</w:t>
      </w:r>
    </w:p>
    <w:p>
      <w:pPr>
        <w:spacing w:after="0" w:line="6"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37" w:lineRule="exact"/>
        <w:rPr>
          <w:sz w:val="20"/>
          <w:szCs w:val="20"/>
          <w:color w:val="auto"/>
        </w:rPr>
      </w:pPr>
    </w:p>
    <w:p>
      <w:pPr>
        <w:ind w:left="125" w:hanging="125"/>
        <w:spacing w:after="0"/>
        <w:tabs>
          <w:tab w:leader="none" w:pos="125" w:val="left"/>
        </w:tabs>
        <w:numPr>
          <w:ilvl w:val="0"/>
          <w:numId w:val="1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Refer to the Operating Income / Margin reconciliation table in the “Non-GAAP Financial Measures” section.</w:t>
      </w:r>
    </w:p>
    <w:p>
      <w:pPr>
        <w:spacing w:after="0" w:line="111"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Gross Margin</w:t>
      </w:r>
    </w:p>
    <w:p>
      <w:pPr>
        <w:spacing w:after="0" w:line="21" w:lineRule="exact"/>
        <w:rPr>
          <w:sz w:val="20"/>
          <w:szCs w:val="20"/>
          <w:color w:val="auto"/>
        </w:rPr>
      </w:pPr>
    </w:p>
    <w:p>
      <w:pPr>
        <w:jc w:val="both"/>
        <w:ind w:left="5"/>
        <w:spacing w:after="0" w:line="247" w:lineRule="auto"/>
        <w:rPr>
          <w:sz w:val="20"/>
          <w:szCs w:val="20"/>
          <w:color w:val="auto"/>
        </w:rPr>
      </w:pPr>
      <w:r>
        <w:rPr>
          <w:rFonts w:ascii="Arial" w:cs="Arial" w:eastAsia="Arial" w:hAnsi="Arial"/>
          <w:sz w:val="16"/>
          <w:szCs w:val="16"/>
          <w:color w:val="auto"/>
        </w:rPr>
        <w:t>Third quarter 2020 gross margin of 36.8% decreased by 3.2-percentage points as compared to third quarter 2019, reflecting the impact of lower revenues, (including from our higher margin post sale stream) primarily as a result of the significant effect of the COVID-19 pandemic due to business closures, as well as price promotions, and an approximate 1.0-percentage point adverse combined impact from transaction currency and higher tariffs. These headwinds were partially offset by the cost savings from our Project Own It transformation actions as well as the additional cost reduction actions to mitigate the impact of the pandemic, including savings of approximately $26 million from temporary government assistance measures and furlough programs and other reductions in discretionary spend such as the use of contract employees and the temporary suspension of 401(k) matching contributions.</w:t>
      </w:r>
    </w:p>
    <w:p>
      <w:pPr>
        <w:spacing w:after="0" w:line="200" w:lineRule="exact"/>
        <w:rPr>
          <w:sz w:val="20"/>
          <w:szCs w:val="20"/>
          <w:color w:val="auto"/>
        </w:rPr>
      </w:pPr>
    </w:p>
    <w:p>
      <w:pPr>
        <w:spacing w:after="0" w:line="38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5"/>
          </w:cols>
          <w:pgMar w:left="315" w:top="893" w:right="319" w:bottom="1440" w:gutter="0" w:footer="0" w:header="0"/>
        </w:sectPr>
      </w:pPr>
    </w:p>
    <w:bookmarkStart w:id="19" w:name="page20"/>
    <w:bookmarkEnd w:id="19"/>
    <w:p>
      <w:pPr>
        <w:jc w:val="both"/>
        <w:ind w:right="20"/>
        <w:spacing w:after="0" w:line="252" w:lineRule="auto"/>
        <w:rPr>
          <w:sz w:val="20"/>
          <w:szCs w:val="20"/>
          <w:color w:val="auto"/>
        </w:rPr>
      </w:pPr>
      <w:r>
        <w:rPr>
          <w:rFonts w:ascii="Arial" w:cs="Arial" w:eastAsia="Arial" w:hAnsi="Arial"/>
          <w:sz w:val="16"/>
          <w:szCs w:val="16"/>
          <w:color w:val="auto"/>
        </w:rPr>
        <w:t>Gross margins are expected to continue to be negatively impacted in future periods as a result of an increase in the cost of our imported products due to higher import tariffs. We currently estimate an approximate $30 million cost impact from these higher tariffs for the full year 2020.</w:t>
      </w:r>
    </w:p>
    <w:p>
      <w:pPr>
        <w:spacing w:after="0" w:line="8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Third quarter 2020 equipment gross margin of 25.5% decreased by 9.0-percentage points as compared to third quarter 2019, reflecting the pressure from lower revenues (primarily as a result of COVID-19 related business closures) and an unfavorable mix of growth in low-end devices as well as the adverse impact of price incentives, transaction currency and incremental tariff costs partially offset by the benefit of cost reductions from Project Own It.</w:t>
      </w:r>
    </w:p>
    <w:p>
      <w:pPr>
        <w:spacing w:after="0" w:line="8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Third quarter 2020 post sale gross margin of 40.3% decreased by 1.3-percentage points as compared to third quarter 2019, reflecting the impact of lower revenues (primarily as a result of COVID-19 related business closures impacting page volumes) and price erosion on contract renewals, partially offset by productivity and cost savings and restructuring savings associated with Project Own It transformation actions, as well as savings from our additional cost reduction actions to mitigate the impact of the pandemic, including approximately $25 million of savings from temporary government assistance measures and furlough programs and other reductions in discretionary spend such as the use of contract employees and the temporary suspension of 401(k) matching contributions.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Research, Development and Engineering Expenses (RD&amp;E)</w:t>
      </w:r>
    </w:p>
    <w:p>
      <w:pPr>
        <w:spacing w:after="0" w:line="2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Third quarter 2020 RD&amp;E as a percentage of revenue of 4.3% decreased by 0.3-percentage points as compared to third quarter 2019, due to the benefit of cost reductions that outpaced the impact of revenue declines.</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RD&amp;E of $76 million decreased $24 million as compared to third quarter 2019 reflecting savings from Project Own It that enhanced simplification and rationalization in our core technology spend, and other temporary cost actions, as well as a favorable impact from the timing of investments, partially offset by higher spend in our innovation areas.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Selling, Administrative and General Expenses (SAG)</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SAG as a percentage of revenue of 25.1% increased by 1.7-percentage points as compared to third quarter 2019, primarily due the impact of lower revenues, partially offset by the benefits from cost savings and restructuring associated with our Project Own It transformation actions, and savings from additional cost reduction actions to mitigate the impact of the pandemic, including approximately $9 million from temporary government assistance measures and furlough programs, and other reductions in discretionary spend such as near term targeted marketing programs, the use of contract employees and the temporary suspension of 401(k) matching contributions, as well as lower compensation incentives consistent with lower sales and operating results.</w:t>
      </w:r>
    </w:p>
    <w:p>
      <w:pPr>
        <w:spacing w:after="0" w:line="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SAG of $444 million decreased by $66 million as compared to third quarter 2019, reflecting cost savings and restructuring savings associated with our Project Own It transformation actions and from additional cost reduction actions to mitigate the impact of the pandemic, as described above, partially offset by expenses from recent acquisitions.</w:t>
      </w:r>
    </w:p>
    <w:p>
      <w:pPr>
        <w:spacing w:after="0" w:line="8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During first quarter 2020 our bad debt provision was $61 million higher than the prior year period, primarily reflecting the expected impact on our customer base and related outstanding receivables portfolio as a result of the economic disruption caused by the COVID-19 pandemic. Bad debt expense increased by $3 million in third quarter 2020 as compared to third quarter 2019, and write-offs and the current bad debt reserves for our trade and finance receivables portfolios were in line with our models and consistent with future expectations regarding the impacts from the COVID-19 pandemic. We continue to monitor developments regarding the pandemic, including business closures and mitigating government support actions, and as a result, our reserve estimates may need to be updated in future periods. Bad debt expense of approximately 2.7 percent of total gross receivables on a trailing-twelve-month basis reflects the significant increase in first quarter 2020 which remained higher than the 2019 trend of less than one percent.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Restructuring and Related Costs</w:t>
      </w:r>
    </w:p>
    <w:p>
      <w:pPr>
        <w:spacing w:after="0" w:line="21"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212121"/>
        </w:rPr>
        <w:t xml:space="preserve">We incurred restructuring and related costs of $20 million for the </w:t>
      </w:r>
      <w:r>
        <w:rPr>
          <w:rFonts w:ascii="Arial" w:cs="Arial" w:eastAsia="Arial" w:hAnsi="Arial"/>
          <w:sz w:val="15"/>
          <w:szCs w:val="15"/>
          <w:color w:val="000000"/>
        </w:rPr>
        <w:t>third</w:t>
      </w:r>
      <w:r>
        <w:rPr>
          <w:rFonts w:ascii="Arial" w:cs="Arial" w:eastAsia="Arial" w:hAnsi="Arial"/>
          <w:sz w:val="15"/>
          <w:szCs w:val="15"/>
          <w:color w:val="212121"/>
        </w:rPr>
        <w:t xml:space="preserve"> quarter </w:t>
      </w:r>
      <w:r>
        <w:rPr>
          <w:rFonts w:ascii="Arial" w:cs="Arial" w:eastAsia="Arial" w:hAnsi="Arial"/>
          <w:sz w:val="15"/>
          <w:szCs w:val="15"/>
          <w:color w:val="000000"/>
        </w:rPr>
        <w:t>2020</w:t>
      </w:r>
      <w:r>
        <w:rPr>
          <w:rFonts w:ascii="Arial" w:cs="Arial" w:eastAsia="Arial" w:hAnsi="Arial"/>
          <w:sz w:val="15"/>
          <w:szCs w:val="15"/>
          <w:color w:val="212121"/>
        </w:rPr>
        <w:t xml:space="preserve"> as compared to $27 million for </w:t>
      </w:r>
      <w:r>
        <w:rPr>
          <w:rFonts w:ascii="Arial" w:cs="Arial" w:eastAsia="Arial" w:hAnsi="Arial"/>
          <w:sz w:val="15"/>
          <w:szCs w:val="15"/>
          <w:color w:val="000000"/>
        </w:rPr>
        <w:t>third</w:t>
      </w:r>
      <w:r>
        <w:rPr>
          <w:rFonts w:ascii="Arial" w:cs="Arial" w:eastAsia="Arial" w:hAnsi="Arial"/>
          <w:sz w:val="15"/>
          <w:szCs w:val="15"/>
          <w:color w:val="212121"/>
        </w:rPr>
        <w:t xml:space="preserve"> quarter 2019. These costs were primarily related to the implementation of initiatives under our business transformation projects including Project Own It. The following is a breakdown of those costs: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0"/>
          </w:cols>
          <w:pgMar w:left="320" w:top="1013" w:right="319" w:bottom="1440" w:gutter="0" w:footer="0" w:header="0"/>
        </w:sectPr>
      </w:pPr>
    </w:p>
    <w:bookmarkStart w:id="20" w:name="page21"/>
    <w:bookmarkEnd w:id="20"/>
    <w:p>
      <w:pPr>
        <w:spacing w:after="0" w:line="365" w:lineRule="exact"/>
        <w:rPr>
          <w:sz w:val="20"/>
          <w:szCs w:val="20"/>
          <w:color w:val="auto"/>
        </w:rPr>
      </w:pPr>
    </w:p>
    <w:p>
      <w:pPr>
        <w:ind w:left="25"/>
        <w:spacing w:after="0"/>
        <w:rPr>
          <w:sz w:val="20"/>
          <w:szCs w:val="20"/>
          <w:color w:val="auto"/>
        </w:rPr>
      </w:pPr>
      <w:r>
        <w:rPr>
          <w:rFonts w:ascii="Arial" w:cs="Arial" w:eastAsia="Arial" w:hAnsi="Arial"/>
          <w:sz w:val="11"/>
          <w:szCs w:val="1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46513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51375" cy="7620"/>
                    </a:xfrm>
                    <a:prstGeom prst="rect">
                      <a:avLst/>
                    </a:prstGeom>
                    <a:noFill/>
                  </pic:spPr>
                </pic:pic>
              </a:graphicData>
            </a:graphic>
          </wp:anchor>
        </w:drawing>
      </w:r>
    </w:p>
    <w:p>
      <w:pPr>
        <w:spacing w:after="0" w:line="45" w:lineRule="exact"/>
        <w:rPr>
          <w:sz w:val="20"/>
          <w:szCs w:val="20"/>
          <w:color w:val="auto"/>
        </w:rPr>
      </w:pPr>
    </w:p>
    <w:p>
      <w:pPr>
        <w:ind w:left="25"/>
        <w:spacing w:after="0"/>
        <w:rPr>
          <w:sz w:val="20"/>
          <w:szCs w:val="20"/>
          <w:color w:val="auto"/>
        </w:rPr>
      </w:pPr>
      <w:r>
        <w:rPr>
          <w:rFonts w:ascii="Arial" w:cs="Arial" w:eastAsia="Arial" w:hAnsi="Arial"/>
          <w:sz w:val="13"/>
          <w:szCs w:val="13"/>
          <w:color w:val="auto"/>
        </w:rPr>
        <w:t xml:space="preserve">Restructuring Severance </w:t>
      </w:r>
      <w:r>
        <w:rPr>
          <w:rFonts w:ascii="Arial" w:cs="Arial" w:eastAsia="Arial" w:hAnsi="Arial"/>
          <w:sz w:val="16"/>
          <w:szCs w:val="16"/>
          <w:color w:val="auto"/>
          <w:vertAlign w:val="superscript"/>
        </w:rPr>
        <w:t>(1)</w:t>
      </w:r>
    </w:p>
    <w:p>
      <w:pPr>
        <w:spacing w:after="0" w:line="5" w:lineRule="exact"/>
        <w:rPr>
          <w:sz w:val="20"/>
          <w:szCs w:val="20"/>
          <w:color w:val="auto"/>
        </w:rPr>
      </w:pPr>
    </w:p>
    <w:p>
      <w:pPr>
        <w:ind w:left="25"/>
        <w:spacing w:after="0"/>
        <w:rPr>
          <w:sz w:val="20"/>
          <w:szCs w:val="20"/>
          <w:color w:val="auto"/>
        </w:rPr>
      </w:pPr>
      <w:r>
        <w:rPr>
          <w:rFonts w:ascii="Arial" w:cs="Arial" w:eastAsia="Arial" w:hAnsi="Arial"/>
          <w:sz w:val="13"/>
          <w:szCs w:val="13"/>
          <w:color w:val="auto"/>
        </w:rPr>
        <w:t xml:space="preserve">Asset Impairments </w:t>
      </w:r>
      <w:r>
        <w:rPr>
          <w:rFonts w:ascii="Arial" w:cs="Arial" w:eastAsia="Arial" w:hAnsi="Arial"/>
          <w:sz w:val="16"/>
          <w:szCs w:val="16"/>
          <w:color w:val="auto"/>
          <w:vertAlign w:val="superscript"/>
        </w:rPr>
        <w:t>(2)</w:t>
      </w:r>
    </w:p>
    <w:p>
      <w:pPr>
        <w:spacing w:after="0" w:line="5" w:lineRule="exact"/>
        <w:rPr>
          <w:sz w:val="20"/>
          <w:szCs w:val="20"/>
          <w:color w:val="auto"/>
        </w:rPr>
      </w:pPr>
    </w:p>
    <w:p>
      <w:pPr>
        <w:ind w:left="25"/>
        <w:spacing w:after="0"/>
        <w:rPr>
          <w:sz w:val="20"/>
          <w:szCs w:val="20"/>
          <w:color w:val="auto"/>
        </w:rPr>
      </w:pPr>
      <w:r>
        <w:rPr>
          <w:rFonts w:ascii="Arial" w:cs="Arial" w:eastAsia="Arial" w:hAnsi="Arial"/>
          <w:sz w:val="13"/>
          <w:szCs w:val="13"/>
          <w:color w:val="auto"/>
        </w:rPr>
        <w:t xml:space="preserve">Other contractual termination costs </w:t>
      </w:r>
      <w:r>
        <w:rPr>
          <w:rFonts w:ascii="Arial" w:cs="Arial" w:eastAsia="Arial" w:hAnsi="Arial"/>
          <w:sz w:val="16"/>
          <w:szCs w:val="16"/>
          <w:color w:val="auto"/>
          <w:vertAlign w:val="superscript"/>
        </w:rPr>
        <w:t>(3)</w:t>
      </w:r>
    </w:p>
    <w:p>
      <w:pPr>
        <w:spacing w:after="0" w:line="5" w:lineRule="exact"/>
        <w:rPr>
          <w:sz w:val="20"/>
          <w:szCs w:val="20"/>
          <w:color w:val="auto"/>
        </w:rPr>
      </w:pPr>
    </w:p>
    <w:p>
      <w:pPr>
        <w:ind w:left="25"/>
        <w:spacing w:after="0"/>
        <w:rPr>
          <w:sz w:val="20"/>
          <w:szCs w:val="20"/>
          <w:color w:val="auto"/>
        </w:rPr>
      </w:pPr>
      <w:r>
        <w:rPr>
          <w:rFonts w:ascii="Arial" w:cs="Arial" w:eastAsia="Arial" w:hAnsi="Arial"/>
          <w:sz w:val="13"/>
          <w:szCs w:val="13"/>
          <w:color w:val="auto"/>
        </w:rPr>
        <w:t xml:space="preserve">Net reversals </w:t>
      </w:r>
      <w:r>
        <w:rPr>
          <w:rFonts w:ascii="Arial" w:cs="Arial" w:eastAsia="Arial" w:hAnsi="Arial"/>
          <w:sz w:val="16"/>
          <w:szCs w:val="16"/>
          <w:color w:val="auto"/>
          <w:vertAlign w:val="superscript"/>
        </w:rPr>
        <w:t>(4)</w:t>
      </w:r>
    </w:p>
    <w:p>
      <w:pPr>
        <w:spacing w:after="0" w:line="12" w:lineRule="exact"/>
        <w:rPr>
          <w:sz w:val="20"/>
          <w:szCs w:val="20"/>
          <w:color w:val="auto"/>
        </w:rPr>
      </w:pPr>
    </w:p>
    <w:p>
      <w:pPr>
        <w:ind w:left="25"/>
        <w:spacing w:after="0"/>
        <w:rPr>
          <w:sz w:val="20"/>
          <w:szCs w:val="20"/>
          <w:color w:val="auto"/>
        </w:rPr>
      </w:pPr>
      <w:r>
        <w:rPr>
          <w:rFonts w:ascii="Arial" w:cs="Arial" w:eastAsia="Arial" w:hAnsi="Arial"/>
          <w:sz w:val="12"/>
          <w:szCs w:val="12"/>
          <w:color w:val="auto"/>
        </w:rPr>
        <w:t>Restructuring and asset impairment costs</w:t>
      </w:r>
    </w:p>
    <w:p>
      <w:pPr>
        <w:spacing w:after="0" w:line="55" w:lineRule="exact"/>
        <w:rPr>
          <w:sz w:val="20"/>
          <w:szCs w:val="20"/>
          <w:color w:val="auto"/>
        </w:rPr>
      </w:pPr>
    </w:p>
    <w:p>
      <w:pPr>
        <w:ind w:left="25"/>
        <w:spacing w:after="0"/>
        <w:rPr>
          <w:sz w:val="20"/>
          <w:szCs w:val="20"/>
          <w:color w:val="auto"/>
        </w:rPr>
      </w:pPr>
      <w:r>
        <w:rPr>
          <w:rFonts w:ascii="Arial" w:cs="Arial" w:eastAsia="Arial" w:hAnsi="Arial"/>
          <w:sz w:val="12"/>
          <w:szCs w:val="12"/>
          <w:color w:val="auto"/>
        </w:rPr>
        <w:t xml:space="preserve">Retention related severance/bonuses </w:t>
      </w:r>
      <w:r>
        <w:rPr>
          <w:rFonts w:ascii="Arial" w:cs="Arial" w:eastAsia="Arial" w:hAnsi="Arial"/>
          <w:sz w:val="15"/>
          <w:szCs w:val="15"/>
          <w:color w:val="auto"/>
          <w:vertAlign w:val="superscript"/>
        </w:rPr>
        <w:t>(5)</w:t>
      </w:r>
    </w:p>
    <w:p>
      <w:pPr>
        <w:spacing w:after="0" w:line="17" w:lineRule="exact"/>
        <w:rPr>
          <w:sz w:val="20"/>
          <w:szCs w:val="20"/>
          <w:color w:val="auto"/>
        </w:rPr>
      </w:pPr>
    </w:p>
    <w:p>
      <w:pPr>
        <w:ind w:left="25"/>
        <w:spacing w:after="0"/>
        <w:rPr>
          <w:sz w:val="20"/>
          <w:szCs w:val="20"/>
          <w:color w:val="auto"/>
        </w:rPr>
      </w:pPr>
      <w:r>
        <w:rPr>
          <w:rFonts w:ascii="Arial" w:cs="Arial" w:eastAsia="Arial" w:hAnsi="Arial"/>
          <w:sz w:val="13"/>
          <w:szCs w:val="13"/>
          <w:color w:val="auto"/>
        </w:rPr>
        <w:t xml:space="preserve">Contractual severance costs </w:t>
      </w:r>
      <w:r>
        <w:rPr>
          <w:rFonts w:ascii="Arial" w:cs="Arial" w:eastAsia="Arial" w:hAnsi="Arial"/>
          <w:sz w:val="16"/>
          <w:szCs w:val="16"/>
          <w:color w:val="auto"/>
          <w:vertAlign w:val="superscript"/>
        </w:rPr>
        <w:t>(6)</w:t>
      </w:r>
    </w:p>
    <w:p>
      <w:pPr>
        <w:spacing w:after="0" w:line="5" w:lineRule="exact"/>
        <w:rPr>
          <w:sz w:val="20"/>
          <w:szCs w:val="20"/>
          <w:color w:val="auto"/>
        </w:rPr>
      </w:pPr>
    </w:p>
    <w:p>
      <w:pPr>
        <w:ind w:left="25"/>
        <w:spacing w:after="0"/>
        <w:rPr>
          <w:sz w:val="20"/>
          <w:szCs w:val="20"/>
          <w:color w:val="auto"/>
        </w:rPr>
      </w:pPr>
      <w:r>
        <w:rPr>
          <w:rFonts w:ascii="Arial" w:cs="Arial" w:eastAsia="Arial" w:hAnsi="Arial"/>
          <w:sz w:val="13"/>
          <w:szCs w:val="13"/>
          <w:color w:val="auto"/>
        </w:rPr>
        <w:t xml:space="preserve">Consulting and other costs </w:t>
      </w:r>
      <w:r>
        <w:rPr>
          <w:rFonts w:ascii="Arial" w:cs="Arial" w:eastAsia="Arial" w:hAnsi="Arial"/>
          <w:sz w:val="16"/>
          <w:szCs w:val="16"/>
          <w:color w:val="auto"/>
          <w:vertAlign w:val="superscript"/>
        </w:rPr>
        <w:t>(7)</w:t>
      </w:r>
    </w:p>
    <w:p>
      <w:pPr>
        <w:spacing w:after="0" w:line="25" w:lineRule="exact"/>
        <w:rPr>
          <w:sz w:val="20"/>
          <w:szCs w:val="20"/>
          <w:color w:val="auto"/>
        </w:rPr>
      </w:pPr>
    </w:p>
    <w:p>
      <w:pPr>
        <w:ind w:left="25"/>
        <w:spacing w:after="0"/>
        <w:rPr>
          <w:sz w:val="20"/>
          <w:szCs w:val="20"/>
          <w:color w:val="auto"/>
        </w:rPr>
      </w:pPr>
      <w:r>
        <w:rPr>
          <w:rFonts w:ascii="Arial" w:cs="Arial" w:eastAsia="Arial" w:hAnsi="Arial"/>
          <w:sz w:val="13"/>
          <w:szCs w:val="13"/>
          <w:b w:val="1"/>
          <w:bCs w:val="1"/>
          <w:color w:val="auto"/>
        </w:rPr>
        <w:t>Total</w:t>
      </w:r>
    </w:p>
    <w:p>
      <w:pPr>
        <w:spacing w:after="0" w:line="327"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Arial" w:cs="Arial" w:eastAsia="Arial" w:hAnsi="Arial"/>
          <w:sz w:val="13"/>
          <w:szCs w:val="13"/>
          <w:color w:val="auto"/>
        </w:rPr>
        <w:t>Three Months Ended</w:t>
      </w:r>
    </w:p>
    <w:p>
      <w:pPr>
        <w:ind w:left="1480"/>
        <w:spacing w:after="0"/>
        <w:rPr>
          <w:sz w:val="20"/>
          <w:szCs w:val="20"/>
          <w:color w:val="auto"/>
        </w:rPr>
      </w:pPr>
      <w:r>
        <w:rPr>
          <w:rFonts w:ascii="Arial" w:cs="Arial" w:eastAsia="Arial" w:hAnsi="Arial"/>
          <w:sz w:val="13"/>
          <w:szCs w:val="13"/>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4155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5540" cy="762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2019</w:t>
            </w:r>
          </w:p>
        </w:tc>
      </w:tr>
      <w:tr>
        <w:trPr>
          <w:trHeight w:val="176"/>
        </w:trPr>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89"/>
        </w:trPr>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9"/>
        </w:trPr>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4"/>
        </w:trPr>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76"/>
        </w:trPr>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89"/>
        </w:trPr>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89"/>
        </w:trPr>
        <w:tc>
          <w:tcPr>
            <w:tcW w:w="44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94"/>
        </w:trPr>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81"/>
        </w:trPr>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-1004570</wp:posOffset>
            </wp:positionV>
            <wp:extent cx="713422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-764540</wp:posOffset>
            </wp:positionV>
            <wp:extent cx="713422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-516890</wp:posOffset>
            </wp:positionV>
            <wp:extent cx="713422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-276860</wp:posOffset>
            </wp:positionV>
            <wp:extent cx="713422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2001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6725" w:space="720"/>
            <w:col w:w="3820"/>
          </w:cols>
          <w:pgMar w:left="315" w:top="1046" w:right="319" w:bottom="1440" w:gutter="0" w:footer="0" w:header="0"/>
        </w:sectPr>
      </w:pPr>
    </w:p>
    <w:p>
      <w:pPr>
        <w:ind w:left="285" w:hanging="285"/>
        <w:spacing w:after="0"/>
        <w:tabs>
          <w:tab w:leader="none" w:pos="285"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Reflects headcount reductions of approximately 650 and 150 employees worldwide in third quarter of 2020 and 2019, respectively.</w:t>
      </w:r>
    </w:p>
    <w:p>
      <w:pPr>
        <w:ind w:left="285" w:right="20" w:hanging="285"/>
        <w:spacing w:after="0" w:line="204" w:lineRule="auto"/>
        <w:tabs>
          <w:tab w:leader="none" w:pos="279"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Primarily related to the exit and abandonment of leased and owned facilities. The charge includes the accelerated write-off of $2 million for third quarter 2020 and 2019, respectively, for leased right-of-use assets and $2 million for owned assets upon exit from the facilities, net of any potential sublease income and other recoveries for third quarter 2020.</w:t>
      </w:r>
    </w:p>
    <w:p>
      <w:pPr>
        <w:ind w:left="285" w:hanging="285"/>
        <w:spacing w:after="0" w:line="184" w:lineRule="auto"/>
        <w:tabs>
          <w:tab w:leader="none" w:pos="285"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Primarily includes additional costs incurred upon the exit from our facilities including decommissioning costs and associated contractual termination costs.</w:t>
      </w:r>
    </w:p>
    <w:p>
      <w:pPr>
        <w:ind w:left="285" w:hanging="285"/>
        <w:spacing w:after="0" w:line="184" w:lineRule="auto"/>
        <w:tabs>
          <w:tab w:leader="none" w:pos="285"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Reflects net reversals for changes in estimated reserves from prior period initiatives.</w:t>
      </w:r>
    </w:p>
    <w:p>
      <w:pPr>
        <w:ind w:left="285" w:hanging="285"/>
        <w:spacing w:after="0" w:line="184" w:lineRule="auto"/>
        <w:tabs>
          <w:tab w:leader="none" w:pos="285"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retention related severance and bonuses for employees expected to continue working beyond their minimum notification period before termination.</w:t>
      </w:r>
    </w:p>
    <w:p>
      <w:pPr>
        <w:ind w:left="285" w:right="20" w:hanging="285"/>
        <w:spacing w:after="0" w:line="204" w:lineRule="auto"/>
        <w:tabs>
          <w:tab w:leader="none" w:pos="279"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Amounts reflect estimated severance and other related costs we were contractually required to pay in connection with employees transferred as part of the shared service arrangement entered into with HCL Technologies in the first quarter 2019.</w:t>
      </w:r>
    </w:p>
    <w:p>
      <w:pPr>
        <w:ind w:left="285" w:hanging="285"/>
        <w:spacing w:after="0" w:line="198" w:lineRule="auto"/>
        <w:tabs>
          <w:tab w:leader="none" w:pos="285"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Represents professional support services associated with our restructuring initiatives.</w:t>
      </w:r>
    </w:p>
    <w:p>
      <w:pPr>
        <w:spacing w:after="0" w:line="198" w:lineRule="exact"/>
        <w:rPr>
          <w:sz w:val="20"/>
          <w:szCs w:val="20"/>
          <w:color w:val="auto"/>
        </w:rPr>
      </w:pPr>
    </w:p>
    <w:p>
      <w:pPr>
        <w:ind w:left="5"/>
        <w:spacing w:after="0" w:line="252" w:lineRule="auto"/>
        <w:rPr>
          <w:sz w:val="20"/>
          <w:szCs w:val="20"/>
          <w:color w:val="auto"/>
        </w:rPr>
      </w:pPr>
      <w:r>
        <w:rPr>
          <w:rFonts w:ascii="Arial" w:cs="Arial" w:eastAsia="Arial" w:hAnsi="Arial"/>
          <w:sz w:val="16"/>
          <w:szCs w:val="16"/>
          <w:color w:val="auto"/>
        </w:rPr>
        <w:t>Third quarter 2020 actions impacted several functional areas, with approximately 30% focused on gross margin improvements, approximately 65% focused on SAG reductions and the remainder focused on RD&amp;E optimization.</w:t>
      </w:r>
    </w:p>
    <w:p>
      <w:pPr>
        <w:spacing w:after="0" w:line="86" w:lineRule="exact"/>
        <w:rPr>
          <w:sz w:val="20"/>
          <w:szCs w:val="20"/>
          <w:color w:val="auto"/>
        </w:rPr>
      </w:pPr>
    </w:p>
    <w:p>
      <w:pPr>
        <w:ind w:left="5"/>
        <w:spacing w:after="0" w:line="252" w:lineRule="auto"/>
        <w:rPr>
          <w:sz w:val="20"/>
          <w:szCs w:val="20"/>
          <w:color w:val="auto"/>
        </w:rPr>
      </w:pPr>
      <w:r>
        <w:rPr>
          <w:rFonts w:ascii="Arial" w:cs="Arial" w:eastAsia="Arial" w:hAnsi="Arial"/>
          <w:sz w:val="16"/>
          <w:szCs w:val="16"/>
          <w:color w:val="auto"/>
        </w:rPr>
        <w:t>Third quarter 2019 actions impacted several functional areas, with approximately 50% focused on gross margin improvements, approximately 45% focused on SAG reductions and the remainder focused on RD&amp;E optimization.</w:t>
      </w:r>
    </w:p>
    <w:p>
      <w:pPr>
        <w:spacing w:after="0" w:line="86" w:lineRule="exact"/>
        <w:rPr>
          <w:sz w:val="20"/>
          <w:szCs w:val="20"/>
          <w:color w:val="auto"/>
        </w:rPr>
      </w:pPr>
    </w:p>
    <w:p>
      <w:pPr>
        <w:ind w:left="5"/>
        <w:spacing w:after="0" w:line="252" w:lineRule="auto"/>
        <w:rPr>
          <w:sz w:val="20"/>
          <w:szCs w:val="20"/>
          <w:color w:val="auto"/>
        </w:rPr>
      </w:pPr>
      <w:r>
        <w:rPr>
          <w:rFonts w:ascii="Arial" w:cs="Arial" w:eastAsia="Arial" w:hAnsi="Arial"/>
          <w:sz w:val="16"/>
          <w:szCs w:val="16"/>
          <w:color w:val="auto"/>
        </w:rPr>
        <w:t>The restructuring and related costs reserve balance as of September 30, 2020 for all programs was $87 million, which is expected to be paid over the next twelve months.</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Transaction and Related Costs, Net</w:t>
      </w:r>
    </w:p>
    <w:p>
      <w:pPr>
        <w:spacing w:after="0" w:line="21" w:lineRule="exact"/>
        <w:rPr>
          <w:sz w:val="20"/>
          <w:szCs w:val="20"/>
          <w:color w:val="auto"/>
        </w:rPr>
      </w:pPr>
    </w:p>
    <w:p>
      <w:pPr>
        <w:ind w:left="5" w:right="20"/>
        <w:spacing w:after="0" w:line="252" w:lineRule="auto"/>
        <w:rPr>
          <w:sz w:val="20"/>
          <w:szCs w:val="20"/>
          <w:color w:val="auto"/>
        </w:rPr>
      </w:pPr>
      <w:r>
        <w:rPr>
          <w:rFonts w:ascii="Arial" w:cs="Arial" w:eastAsia="Arial" w:hAnsi="Arial"/>
          <w:sz w:val="16"/>
          <w:szCs w:val="16"/>
          <w:color w:val="auto"/>
        </w:rPr>
        <w:t>We recognized a credit for Transaction and related costs, net of $(6) million during third quarter 2020 primarily related to adjustments to costs from third party providers of professional services associated with certain strategic M&amp;A projects.</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Amortization of Intangible Assets</w:t>
      </w:r>
    </w:p>
    <w:p>
      <w:pPr>
        <w:spacing w:after="0" w:line="21" w:lineRule="exact"/>
        <w:rPr>
          <w:sz w:val="20"/>
          <w:szCs w:val="20"/>
          <w:color w:val="auto"/>
        </w:rPr>
      </w:pPr>
    </w:p>
    <w:p>
      <w:pPr>
        <w:ind w:left="5" w:right="200"/>
        <w:spacing w:after="0" w:line="238" w:lineRule="auto"/>
        <w:rPr>
          <w:sz w:val="20"/>
          <w:szCs w:val="20"/>
          <w:color w:val="auto"/>
        </w:rPr>
      </w:pPr>
      <w:r>
        <w:rPr>
          <w:rFonts w:ascii="Arial" w:cs="Arial" w:eastAsia="Arial" w:hAnsi="Arial"/>
          <w:sz w:val="16"/>
          <w:szCs w:val="16"/>
          <w:color w:val="auto"/>
        </w:rPr>
        <w:t>Third quarter 2020 Amortization of intangible assets of $13 million increased by $4 million compared to third quarter 2019 primarily due to the impact from 2020 partner dealer acquisitions.</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Worldwide Employment</w:t>
      </w:r>
    </w:p>
    <w:p>
      <w:pPr>
        <w:spacing w:after="0" w:line="21" w:lineRule="exact"/>
        <w:rPr>
          <w:sz w:val="20"/>
          <w:szCs w:val="20"/>
          <w:color w:val="auto"/>
        </w:rPr>
      </w:pPr>
    </w:p>
    <w:p>
      <w:pPr>
        <w:ind w:left="5" w:right="20"/>
        <w:spacing w:after="0" w:line="252" w:lineRule="auto"/>
        <w:rPr>
          <w:sz w:val="20"/>
          <w:szCs w:val="20"/>
          <w:color w:val="auto"/>
        </w:rPr>
      </w:pPr>
      <w:r>
        <w:rPr>
          <w:rFonts w:ascii="Arial" w:cs="Arial" w:eastAsia="Arial" w:hAnsi="Arial"/>
          <w:sz w:val="16"/>
          <w:szCs w:val="16"/>
          <w:color w:val="auto"/>
        </w:rPr>
        <w:t>Worldwide employment was approximately 25,500 as of September 30, 2020 and decreased by approximately 1,500 from December 31, 2019. The reduction resulted from net attrition (attrition net of gross hires), of which a large portion is not expected to be back filled, as well as the impact of organizational changes.</w:t>
      </w:r>
    </w:p>
    <w:p>
      <w:pPr>
        <w:spacing w:after="0" w:line="200" w:lineRule="exact"/>
        <w:rPr>
          <w:sz w:val="20"/>
          <w:szCs w:val="20"/>
          <w:color w:val="auto"/>
        </w:rPr>
      </w:pPr>
    </w:p>
    <w:p>
      <w:pPr>
        <w:spacing w:after="0" w:line="38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5"/>
          </w:cols>
          <w:pgMar w:left="315" w:top="1046" w:right="319" w:bottom="1440" w:gutter="0" w:footer="0" w:header="0"/>
          <w:type w:val="continuous"/>
        </w:sectPr>
      </w:pPr>
    </w:p>
    <w:bookmarkStart w:id="21" w:name="page22"/>
    <w:bookmarkEnd w:id="21"/>
    <w:p>
      <w:pPr>
        <w:ind w:left="5"/>
        <w:spacing w:after="0"/>
        <w:rPr>
          <w:sz w:val="20"/>
          <w:szCs w:val="20"/>
          <w:color w:val="auto"/>
        </w:rPr>
      </w:pPr>
      <w:r>
        <w:rPr>
          <w:rFonts w:ascii="Arial" w:cs="Arial" w:eastAsia="Arial" w:hAnsi="Arial"/>
          <w:sz w:val="17"/>
          <w:szCs w:val="17"/>
          <w:b w:val="1"/>
          <w:bCs w:val="1"/>
          <w:color w:val="DA2031"/>
        </w:rPr>
        <w:t>Other Expenses, Net</w:t>
      </w:r>
    </w:p>
    <w:p>
      <w:pPr>
        <w:spacing w:after="0" w:line="157" w:lineRule="exact"/>
        <w:rPr>
          <w:sz w:val="20"/>
          <w:szCs w:val="20"/>
          <w:color w:val="auto"/>
        </w:rPr>
      </w:pPr>
    </w:p>
    <w:p>
      <w:pPr>
        <w:ind w:left="7705"/>
        <w:spacing w:after="0"/>
        <w:rPr>
          <w:sz w:val="20"/>
          <w:szCs w:val="20"/>
          <w:color w:val="auto"/>
        </w:rPr>
      </w:pPr>
      <w:r>
        <w:rPr>
          <w:rFonts w:ascii="Arial" w:cs="Arial" w:eastAsia="Arial" w:hAnsi="Arial"/>
          <w:sz w:val="13"/>
          <w:szCs w:val="13"/>
          <w:color w:val="auto"/>
        </w:rPr>
        <w:t>Three Months Ended</w:t>
      </w:r>
    </w:p>
    <w:tbl>
      <w:tblPr>
        <w:tblLayout w:type="fixed"/>
        <w:tblInd w:w="5" w:type="dxa"/>
        <w:tblCellMar>
          <w:top w:w="0" w:type="dxa"/>
          <w:left w:w="0" w:type="dxa"/>
          <w:bottom w:w="0" w:type="dxa"/>
          <w:right w:w="0" w:type="dxa"/>
        </w:tblCellMar>
      </w:tblPr>
      <w:tr>
        <w:trPr>
          <w:trHeight w:val="157"/>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color w:val="auto"/>
              </w:rPr>
              <w:t>September 30,</w:t>
            </w:r>
          </w:p>
        </w:tc>
        <w:tc>
          <w:tcPr>
            <w:tcW w:w="980" w:type="dxa"/>
            <w:vAlign w:val="bottom"/>
            <w:tcBorders>
              <w:bottom w:val="single" w:sz="8" w:color="auto"/>
            </w:tcBorders>
          </w:tcPr>
          <w:p>
            <w:pPr>
              <w:spacing w:after="0"/>
              <w:rPr>
                <w:sz w:val="13"/>
                <w:szCs w:val="13"/>
                <w:color w:val="auto"/>
              </w:rPr>
            </w:pPr>
          </w:p>
        </w:tc>
      </w:tr>
      <w:tr>
        <w:trPr>
          <w:trHeight w:val="181"/>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2019</w:t>
            </w:r>
          </w:p>
        </w:tc>
      </w:tr>
      <w:tr>
        <w:trPr>
          <w:trHeight w:val="181"/>
        </w:trPr>
        <w:tc>
          <w:tcPr>
            <w:tcW w:w="6820" w:type="dxa"/>
            <w:vAlign w:val="bottom"/>
            <w:gridSpan w:val="2"/>
          </w:tcPr>
          <w:p>
            <w:pPr>
              <w:ind w:left="20"/>
              <w:spacing w:after="0"/>
              <w:rPr>
                <w:sz w:val="20"/>
                <w:szCs w:val="20"/>
                <w:color w:val="auto"/>
              </w:rPr>
            </w:pPr>
            <w:r>
              <w:rPr>
                <w:rFonts w:ascii="Arial" w:cs="Arial" w:eastAsia="Arial" w:hAnsi="Arial"/>
                <w:sz w:val="13"/>
                <w:szCs w:val="13"/>
                <w:color w:val="auto"/>
              </w:rPr>
              <w:t>Non-financing interest expense</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480" w:type="dxa"/>
            <w:vAlign w:val="bottom"/>
          </w:tcPr>
          <w:p>
            <w:pPr>
              <w:jc w:val="right"/>
              <w:ind w:right="33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27</w:t>
            </w:r>
          </w:p>
        </w:tc>
      </w:tr>
      <w:tr>
        <w:trPr>
          <w:trHeight w:val="194"/>
        </w:trPr>
        <w:tc>
          <w:tcPr>
            <w:tcW w:w="68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Non-service retirement-related costs</w:t>
            </w:r>
          </w:p>
        </w:tc>
        <w:tc>
          <w:tcPr>
            <w:tcW w:w="32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6820" w:type="dxa"/>
            <w:vAlign w:val="bottom"/>
            <w:gridSpan w:val="2"/>
          </w:tcPr>
          <w:p>
            <w:pPr>
              <w:ind w:left="20"/>
              <w:spacing w:after="0"/>
              <w:rPr>
                <w:sz w:val="20"/>
                <w:szCs w:val="20"/>
                <w:color w:val="auto"/>
              </w:rPr>
            </w:pPr>
            <w:r>
              <w:rPr>
                <w:rFonts w:ascii="Arial" w:cs="Arial" w:eastAsia="Arial" w:hAnsi="Arial"/>
                <w:sz w:val="13"/>
                <w:szCs w:val="13"/>
                <w:color w:val="auto"/>
              </w:rPr>
              <w:t>Interest income</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94"/>
        </w:trPr>
        <w:tc>
          <w:tcPr>
            <w:tcW w:w="68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Gains on sales of businesses and assets</w:t>
            </w:r>
          </w:p>
        </w:tc>
        <w:tc>
          <w:tcPr>
            <w:tcW w:w="32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(19)</w:t>
            </w:r>
          </w:p>
        </w:tc>
      </w:tr>
      <w:tr>
        <w:trPr>
          <w:trHeight w:val="184"/>
        </w:trPr>
        <w:tc>
          <w:tcPr>
            <w:tcW w:w="6820" w:type="dxa"/>
            <w:vAlign w:val="bottom"/>
            <w:gridSpan w:val="2"/>
          </w:tcPr>
          <w:p>
            <w:pPr>
              <w:ind w:left="20"/>
              <w:spacing w:after="0"/>
              <w:rPr>
                <w:sz w:val="20"/>
                <w:szCs w:val="20"/>
                <w:color w:val="auto"/>
              </w:rPr>
            </w:pPr>
            <w:r>
              <w:rPr>
                <w:rFonts w:ascii="Arial" w:cs="Arial" w:eastAsia="Arial" w:hAnsi="Arial"/>
                <w:sz w:val="13"/>
                <w:szCs w:val="13"/>
                <w:color w:val="auto"/>
              </w:rPr>
              <w:t>Litigation matters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94"/>
        </w:trPr>
        <w:tc>
          <w:tcPr>
            <w:tcW w:w="68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Currency losses, net</w:t>
            </w:r>
          </w:p>
        </w:tc>
        <w:tc>
          <w:tcPr>
            <w:tcW w:w="3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w:t>
            </w:r>
          </w:p>
        </w:tc>
      </w:tr>
      <w:tr>
        <w:trPr>
          <w:trHeight w:val="184"/>
        </w:trPr>
        <w:tc>
          <w:tcPr>
            <w:tcW w:w="6820" w:type="dxa"/>
            <w:vAlign w:val="bottom"/>
            <w:gridSpan w:val="2"/>
          </w:tcPr>
          <w:p>
            <w:pPr>
              <w:ind w:left="20"/>
              <w:spacing w:after="0"/>
              <w:rPr>
                <w:sz w:val="20"/>
                <w:szCs w:val="20"/>
                <w:color w:val="auto"/>
              </w:rPr>
            </w:pPr>
            <w:r>
              <w:rPr>
                <w:rFonts w:ascii="Arial" w:cs="Arial" w:eastAsia="Arial" w:hAnsi="Arial"/>
                <w:sz w:val="13"/>
                <w:szCs w:val="13"/>
                <w:color w:val="auto"/>
              </w:rPr>
              <w:t>Contract termination costs - IT services</w:t>
            </w:r>
          </w:p>
        </w:tc>
        <w:tc>
          <w:tcPr>
            <w:tcW w:w="3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89"/>
        </w:trPr>
        <w:tc>
          <w:tcPr>
            <w:tcW w:w="68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All other expenses, net</w:t>
            </w:r>
          </w:p>
        </w:tc>
        <w:tc>
          <w:tcPr>
            <w:tcW w:w="320" w:type="dxa"/>
            <w:vAlign w:val="bottom"/>
            <w:tcBorders>
              <w:bottom w:val="single" w:sz="8" w:color="auto"/>
            </w:tcBorders>
            <w:shd w:val="clear" w:color="auto" w:fill="E5E5E5"/>
          </w:tcPr>
          <w:p>
            <w:pPr>
              <w:spacing w:after="0"/>
              <w:rPr>
                <w:sz w:val="16"/>
                <w:szCs w:val="16"/>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spacing w:after="0"/>
              <w:rPr>
                <w:sz w:val="16"/>
                <w:szCs w:val="16"/>
                <w:color w:val="auto"/>
              </w:rPr>
            </w:pPr>
          </w:p>
        </w:tc>
        <w:tc>
          <w:tcPr>
            <w:tcW w:w="9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7</w:t>
            </w:r>
          </w:p>
        </w:tc>
      </w:tr>
      <w:tr>
        <w:trPr>
          <w:trHeight w:val="185"/>
        </w:trPr>
        <w:tc>
          <w:tcPr>
            <w:tcW w:w="682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expenses, net</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Non-financing interest expense</w:t>
      </w:r>
    </w:p>
    <w:p>
      <w:pPr>
        <w:spacing w:after="0" w:line="21" w:lineRule="exact"/>
        <w:rPr>
          <w:sz w:val="20"/>
          <w:szCs w:val="20"/>
          <w:color w:val="auto"/>
        </w:rPr>
      </w:pPr>
    </w:p>
    <w:p>
      <w:pPr>
        <w:jc w:val="both"/>
        <w:ind w:left="5" w:right="20"/>
        <w:spacing w:after="0" w:line="248" w:lineRule="auto"/>
        <w:rPr>
          <w:sz w:val="20"/>
          <w:szCs w:val="20"/>
          <w:color w:val="auto"/>
        </w:rPr>
      </w:pPr>
      <w:r>
        <w:rPr>
          <w:rFonts w:ascii="Arial" w:cs="Arial" w:eastAsia="Arial" w:hAnsi="Arial"/>
          <w:sz w:val="16"/>
          <w:szCs w:val="16"/>
          <w:color w:val="auto"/>
        </w:rPr>
        <w:t>Third quarter 2020 non-financing interest expense of $30 million was $3 million higher than third quarter 2019. When combined with financing interest expense (Cost of financing), total interest expense decreased by $1 million from third quarter 2019 primarily reflecting a lower average debt balance in the third quarter as the impact from the incremental $770 million of net new senior unsecured debt was only partially reflected in the quarter. In October 2020, the company completed the early redemption of $750 million of the Senior Notes due May 2021 (see "Debt Activity" section for additional information).</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Non-service retirement-related costs</w:t>
      </w:r>
    </w:p>
    <w:p>
      <w:pPr>
        <w:spacing w:after="0" w:line="21" w:lineRule="exact"/>
        <w:rPr>
          <w:sz w:val="20"/>
          <w:szCs w:val="20"/>
          <w:color w:val="auto"/>
        </w:rPr>
      </w:pPr>
    </w:p>
    <w:p>
      <w:pPr>
        <w:jc w:val="both"/>
        <w:ind w:left="5" w:right="20"/>
        <w:spacing w:after="0" w:line="252" w:lineRule="auto"/>
        <w:rPr>
          <w:sz w:val="20"/>
          <w:szCs w:val="20"/>
          <w:color w:val="auto"/>
        </w:rPr>
      </w:pPr>
      <w:r>
        <w:rPr>
          <w:rFonts w:ascii="Arial" w:cs="Arial" w:eastAsia="Arial" w:hAnsi="Arial"/>
          <w:sz w:val="16"/>
          <w:szCs w:val="16"/>
          <w:color w:val="auto"/>
        </w:rPr>
        <w:t>Third quarter 2020 non-service retirement-related costs were $11 million lower than third quarter 2019, primarily driven by lower losses from pension settlements in the U.S. and lower discount rates.</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Gains on sales of businesses and assets</w:t>
      </w:r>
    </w:p>
    <w:p>
      <w:pPr>
        <w:spacing w:after="0" w:line="21" w:lineRule="exact"/>
        <w:rPr>
          <w:sz w:val="20"/>
          <w:szCs w:val="20"/>
          <w:color w:val="auto"/>
        </w:rPr>
      </w:pPr>
    </w:p>
    <w:p>
      <w:pPr>
        <w:ind w:left="5" w:right="3860"/>
        <w:spacing w:after="0" w:line="252" w:lineRule="auto"/>
        <w:rPr>
          <w:sz w:val="20"/>
          <w:szCs w:val="20"/>
          <w:color w:val="auto"/>
        </w:rPr>
      </w:pPr>
      <w:r>
        <w:rPr>
          <w:rFonts w:ascii="Arial" w:cs="Arial" w:eastAsia="Arial" w:hAnsi="Arial"/>
          <w:sz w:val="16"/>
          <w:szCs w:val="16"/>
          <w:color w:val="auto"/>
        </w:rPr>
        <w:t>Third quarter 2020 gains on sales of businesses and assets were $9 million higher than third quarter 2019, reflecting higher proceeds from the sale of non-core business assets.</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Litigation matters</w:t>
      </w:r>
    </w:p>
    <w:p>
      <w:pPr>
        <w:spacing w:after="0" w:line="21"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Third quarter 2020 litigation matters were $7 million higher than third quarter 2019, reflecting the favorable resolution of certain litigation matters in third quarter 2019.</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Contract termination costs - IT services</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 termination costs - IT services was an $8 million credit in third quarter 2019 reflecting an adjustment to a</w:t>
      </w:r>
    </w:p>
    <w:p>
      <w:pPr>
        <w:spacing w:after="0" w:line="5" w:lineRule="exact"/>
        <w:rPr>
          <w:sz w:val="20"/>
          <w:szCs w:val="20"/>
          <w:color w:val="auto"/>
        </w:rPr>
      </w:pPr>
    </w:p>
    <w:p>
      <w:pPr>
        <w:jc w:val="both"/>
        <w:ind w:left="5" w:right="20"/>
        <w:spacing w:after="0" w:line="252" w:lineRule="auto"/>
        <w:rPr>
          <w:sz w:val="20"/>
          <w:szCs w:val="20"/>
          <w:color w:val="auto"/>
        </w:rPr>
      </w:pPr>
      <w:r>
        <w:rPr>
          <w:rFonts w:ascii="Arial" w:cs="Arial" w:eastAsia="Arial" w:hAnsi="Arial"/>
          <w:sz w:val="16"/>
          <w:szCs w:val="16"/>
          <w:color w:val="auto"/>
        </w:rPr>
        <w:t>$43 million penalty recorded in fourth quarter 2018, associated with the termination of an IT services arrangement. There were no contract termination charges during third quarter 2020.</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DA2031"/>
        </w:rPr>
        <w:t>Income Taxes</w:t>
      </w:r>
    </w:p>
    <w:p>
      <w:pPr>
        <w:spacing w:after="0" w:line="77" w:lineRule="exact"/>
        <w:rPr>
          <w:sz w:val="20"/>
          <w:szCs w:val="20"/>
          <w:color w:val="auto"/>
        </w:rPr>
      </w:pPr>
    </w:p>
    <w:p>
      <w:pPr>
        <w:jc w:val="both"/>
        <w:ind w:left="5"/>
        <w:spacing w:after="0" w:line="224" w:lineRule="auto"/>
        <w:rPr>
          <w:sz w:val="20"/>
          <w:szCs w:val="20"/>
          <w:color w:val="auto"/>
        </w:rPr>
      </w:pPr>
      <w:r>
        <w:rPr>
          <w:rFonts w:ascii="Arial" w:cs="Arial" w:eastAsia="Arial" w:hAnsi="Arial"/>
          <w:sz w:val="16"/>
          <w:szCs w:val="16"/>
          <w:color w:val="auto"/>
        </w:rPr>
        <w:t>Third quarter 2020 effective tax rate was 24.4%. On an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basis, third quarter 2020 effective tax rate was 21.1%. This rate was higher than the U.S. federal statutory tax rate of 21% primarily due to state taxes, the geographical mix of profits which includes non-deductible items on lower pre-tax income and an increase in deferred tax asset valuation allowances partially offset by the impact from various tax law changes. The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effective tax rate excludes the tax impacts associated with the following charges: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95" w:lineRule="exact"/>
        <w:rPr>
          <w:sz w:val="20"/>
          <w:szCs w:val="20"/>
          <w:color w:val="auto"/>
        </w:rPr>
      </w:pPr>
    </w:p>
    <w:p>
      <w:pPr>
        <w:jc w:val="both"/>
        <w:ind w:left="5" w:right="20"/>
        <w:spacing w:after="0" w:line="219" w:lineRule="auto"/>
        <w:rPr>
          <w:sz w:val="20"/>
          <w:szCs w:val="20"/>
          <w:color w:val="auto"/>
        </w:rPr>
      </w:pPr>
      <w:r>
        <w:rPr>
          <w:rFonts w:ascii="Arial" w:cs="Arial" w:eastAsia="Arial" w:hAnsi="Arial"/>
          <w:sz w:val="16"/>
          <w:szCs w:val="16"/>
          <w:color w:val="auto"/>
        </w:rPr>
        <w:t>Third quarter 2019 effective tax rate was 29.6%. On an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basis, third quarter 2019 effective tax rate was 27.3%. These rates were higher than the U.S. federal statutory tax rate of 21% primarily due to state taxes and the geographical mix of profits. The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effective tax rate excludes the tax impacts associated with the following charges: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95" w:lineRule="exact"/>
        <w:rPr>
          <w:sz w:val="20"/>
          <w:szCs w:val="20"/>
          <w:color w:val="auto"/>
        </w:rPr>
      </w:pPr>
    </w:p>
    <w:p>
      <w:pPr>
        <w:jc w:val="both"/>
        <w:ind w:left="5" w:right="20"/>
        <w:spacing w:after="0" w:line="252" w:lineRule="auto"/>
        <w:rPr>
          <w:sz w:val="20"/>
          <w:szCs w:val="20"/>
          <w:color w:val="auto"/>
        </w:rPr>
      </w:pPr>
      <w:r>
        <w:rPr>
          <w:rFonts w:ascii="Arial" w:cs="Arial" w:eastAsia="Arial" w:hAnsi="Arial"/>
          <w:sz w:val="16"/>
          <w:szCs w:val="16"/>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37"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w:t>
      </w:r>
    </w:p>
    <w:p>
      <w:pPr>
        <w:ind w:left="285" w:hanging="285"/>
        <w:spacing w:after="0" w:line="211" w:lineRule="auto"/>
        <w:tabs>
          <w:tab w:leader="none" w:pos="285" w:val="left"/>
        </w:tabs>
        <w:numPr>
          <w:ilvl w:val="0"/>
          <w:numId w:val="2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 to the Effective Tax Rate reconciliation table in the "Non-GAAP Financial Measures" section.</w:t>
      </w:r>
    </w:p>
    <w:p>
      <w:pPr>
        <w:spacing w:after="0" w:line="200" w:lineRule="exact"/>
        <w:rPr>
          <w:sz w:val="20"/>
          <w:szCs w:val="20"/>
          <w:color w:val="auto"/>
        </w:rPr>
      </w:pPr>
    </w:p>
    <w:p>
      <w:pPr>
        <w:spacing w:after="0" w:line="37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5"/>
          </w:cols>
          <w:pgMar w:left="315" w:top="1130" w:right="319" w:bottom="1440" w:gutter="0" w:footer="0" w:header="0"/>
        </w:sectPr>
      </w:pPr>
    </w:p>
    <w:bookmarkStart w:id="22" w:name="page23"/>
    <w:bookmarkEnd w:id="22"/>
    <w:p>
      <w:pPr>
        <w:ind w:left="5"/>
        <w:spacing w:after="0"/>
        <w:rPr>
          <w:sz w:val="20"/>
          <w:szCs w:val="20"/>
          <w:color w:val="auto"/>
        </w:rPr>
      </w:pPr>
      <w:r>
        <w:rPr>
          <w:rFonts w:ascii="Arial" w:cs="Arial" w:eastAsia="Arial" w:hAnsi="Arial"/>
          <w:sz w:val="22"/>
          <w:szCs w:val="22"/>
          <w:b w:val="1"/>
          <w:bCs w:val="1"/>
          <w:color w:val="DA2031"/>
        </w:rPr>
        <w:t>Net Income from Continuing Operations</w:t>
      </w:r>
    </w:p>
    <w:p>
      <w:pPr>
        <w:spacing w:after="0" w:line="175" w:lineRule="exact"/>
        <w:rPr>
          <w:sz w:val="20"/>
          <w:szCs w:val="20"/>
          <w:color w:val="auto"/>
        </w:rPr>
      </w:pPr>
    </w:p>
    <w:p>
      <w:pPr>
        <w:jc w:val="both"/>
        <w:ind w:left="5" w:right="20"/>
        <w:spacing w:after="0" w:line="231" w:lineRule="auto"/>
        <w:rPr>
          <w:sz w:val="20"/>
          <w:szCs w:val="20"/>
          <w:color w:val="auto"/>
        </w:rPr>
      </w:pPr>
      <w:r>
        <w:rPr>
          <w:rFonts w:ascii="Arial" w:cs="Arial" w:eastAsia="Arial" w:hAnsi="Arial"/>
          <w:sz w:val="16"/>
          <w:szCs w:val="16"/>
          <w:color w:val="auto"/>
        </w:rPr>
        <w:t>Third quarter 2020 net income from continuing operations attributable to Xerox Holdings was $90 million, or $0.41 per diluted share. On an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basis, net income from continuing operations attributable to Xerox Holdings was $105 million, or $0.48 per diluted share. Third quarter 2020 adjustments to net income from continuing operations included Restructuring and related costs, Amortization of intangible assets, Transaction and related costs, net and Non-service retirement-related costs as well as Other discrete, unusual or infrequent items (see Non-GAAP Financial Measures).</w:t>
      </w:r>
    </w:p>
    <w:p>
      <w:pPr>
        <w:spacing w:after="0" w:line="98" w:lineRule="exact"/>
        <w:rPr>
          <w:sz w:val="20"/>
          <w:szCs w:val="20"/>
          <w:color w:val="auto"/>
        </w:rPr>
      </w:pPr>
    </w:p>
    <w:p>
      <w:pPr>
        <w:jc w:val="both"/>
        <w:ind w:left="5"/>
        <w:spacing w:after="0" w:line="231" w:lineRule="auto"/>
        <w:rPr>
          <w:sz w:val="20"/>
          <w:szCs w:val="20"/>
          <w:color w:val="auto"/>
        </w:rPr>
      </w:pPr>
      <w:r>
        <w:rPr>
          <w:rFonts w:ascii="Arial" w:cs="Arial" w:eastAsia="Arial" w:hAnsi="Arial"/>
          <w:sz w:val="16"/>
          <w:szCs w:val="16"/>
          <w:color w:val="auto"/>
        </w:rPr>
        <w:t>Third quarter 2019 net income from continuing operations attributable to Xerox Holdings was $157 million, or $0.68 per diluted share. On an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basis, net income from continuing operations attributable to Xerox Holdings was $184 million, or $0.80 per diluted share. Third quarter 2019 adjustments to net income from continuing operations included Restructuring and related costs, Amortization of intangible assets, Transaction and related costs, net and Non-service retirement-related costs as well as Other discrete, unusual or infrequent items (see Non-GAAP Financial Measures).</w:t>
      </w:r>
    </w:p>
    <w:p>
      <w:pPr>
        <w:spacing w:after="0" w:line="98"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w:t>
      </w:r>
    </w:p>
    <w:p>
      <w:pPr>
        <w:spacing w:after="0" w:line="13" w:lineRule="exact"/>
        <w:rPr>
          <w:sz w:val="20"/>
          <w:szCs w:val="20"/>
          <w:color w:val="auto"/>
        </w:rPr>
      </w:pPr>
    </w:p>
    <w:p>
      <w:pPr>
        <w:ind w:left="305" w:hanging="305"/>
        <w:spacing w:after="0"/>
        <w:tabs>
          <w:tab w:leader="none" w:pos="305"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 to the "Non-GAAP Financial Measures" section for the calculation of adjusted EPS. The calculations of basic and diluted earnings per share are included in Appendix I.</w:t>
      </w:r>
    </w:p>
    <w:p>
      <w:pPr>
        <w:spacing w:after="0" w:line="290"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DA2031"/>
        </w:rPr>
        <w:t>Discontinued Operations</w:t>
      </w:r>
    </w:p>
    <w:p>
      <w:pPr>
        <w:spacing w:after="0" w:line="163" w:lineRule="exact"/>
        <w:rPr>
          <w:sz w:val="20"/>
          <w:szCs w:val="20"/>
          <w:color w:val="auto"/>
        </w:rPr>
      </w:pPr>
    </w:p>
    <w:p>
      <w:pPr>
        <w:jc w:val="both"/>
        <w:ind w:left="5" w:right="20"/>
        <w:spacing w:after="0" w:line="248" w:lineRule="auto"/>
        <w:rPr>
          <w:sz w:val="20"/>
          <w:szCs w:val="20"/>
          <w:color w:val="auto"/>
        </w:rPr>
      </w:pPr>
      <w:r>
        <w:rPr>
          <w:rFonts w:ascii="Arial" w:cs="Arial" w:eastAsia="Arial" w:hAnsi="Arial"/>
          <w:sz w:val="16"/>
          <w:szCs w:val="16"/>
          <w:color w:val="auto"/>
        </w:rPr>
        <w:t>In November 2019, Xerox Holdings completed a series of transactions to restructure its relationship with FUJIFILM Holdings Corporation (“FH”), including the sale of its indirect 25% equity interest in Fuji Xerox Co., Ltd. ("FX") for approximately $2.2 billion as well as the sale of its indirect 51% partnership interest in Xerox International Partners ("XIP") for approximately $23 million (collectively the “Sales”). As a result of the Sales and the related strategic shift in our business, the historical financial results of our equity method investment in FX and our XIP business (which was consolidated) for the periods prior to the Sales are reflected as a discontinued operation and as such, their impact is excluded from continuing operations for all periods presented.</w:t>
      </w:r>
    </w:p>
    <w:p>
      <w:pPr>
        <w:spacing w:after="0" w:line="125" w:lineRule="exact"/>
        <w:rPr>
          <w:sz w:val="20"/>
          <w:szCs w:val="20"/>
          <w:color w:val="auto"/>
        </w:rPr>
      </w:pPr>
    </w:p>
    <w:p>
      <w:pPr>
        <w:ind w:left="5"/>
        <w:spacing w:after="0"/>
        <w:rPr>
          <w:sz w:val="20"/>
          <w:szCs w:val="20"/>
          <w:color w:val="auto"/>
        </w:rPr>
      </w:pPr>
      <w:r>
        <w:rPr>
          <w:rFonts w:ascii="Arial" w:cs="Arial" w:eastAsia="Arial" w:hAnsi="Arial"/>
          <w:sz w:val="16"/>
          <w:szCs w:val="16"/>
          <w:color w:val="auto"/>
        </w:rPr>
        <w:t>Summarized financial information for our Discontinued operations is as follows:</w:t>
      </w:r>
    </w:p>
    <w:p>
      <w:pPr>
        <w:spacing w:after="0" w:line="168"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7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0" w:type="dxa"/>
            <w:vAlign w:val="bottom"/>
            <w:gridSpan w:val="3"/>
          </w:tcPr>
          <w:p>
            <w:pPr>
              <w:ind w:left="880"/>
              <w:spacing w:after="0"/>
              <w:rPr>
                <w:sz w:val="20"/>
                <w:szCs w:val="20"/>
                <w:color w:val="auto"/>
              </w:rPr>
            </w:pPr>
            <w:r>
              <w:rPr>
                <w:rFonts w:ascii="Arial" w:cs="Arial" w:eastAsia="Arial" w:hAnsi="Arial"/>
                <w:sz w:val="13"/>
                <w:szCs w:val="13"/>
                <w:color w:val="auto"/>
              </w:rPr>
              <w:t>Three Months Ended</w:t>
            </w:r>
          </w:p>
        </w:tc>
        <w:tc>
          <w:tcPr>
            <w:tcW w:w="1200" w:type="dxa"/>
            <w:vAlign w:val="bottom"/>
          </w:tcPr>
          <w:p>
            <w:pPr>
              <w:spacing w:after="0"/>
              <w:rPr>
                <w:sz w:val="13"/>
                <w:szCs w:val="13"/>
                <w:color w:val="auto"/>
              </w:rPr>
            </w:pPr>
          </w:p>
        </w:tc>
      </w:tr>
      <w:tr>
        <w:trPr>
          <w:trHeight w:val="157"/>
        </w:trPr>
        <w:tc>
          <w:tcPr>
            <w:tcW w:w="7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color w:val="auto"/>
              </w:rPr>
              <w:t>September 30,</w:t>
            </w:r>
          </w:p>
        </w:tc>
        <w:tc>
          <w:tcPr>
            <w:tcW w:w="1200" w:type="dxa"/>
            <w:vAlign w:val="bottom"/>
            <w:tcBorders>
              <w:bottom w:val="single" w:sz="8" w:color="auto"/>
            </w:tcBorders>
          </w:tcPr>
          <w:p>
            <w:pPr>
              <w:spacing w:after="0"/>
              <w:rPr>
                <w:sz w:val="13"/>
                <w:szCs w:val="13"/>
                <w:color w:val="auto"/>
              </w:rPr>
            </w:pPr>
          </w:p>
        </w:tc>
      </w:tr>
      <w:tr>
        <w:trPr>
          <w:trHeight w:val="181"/>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E5E5E5"/>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2019</w:t>
            </w:r>
          </w:p>
        </w:tc>
      </w:tr>
      <w:tr>
        <w:trPr>
          <w:trHeight w:val="205"/>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Revenue</w:t>
            </w:r>
          </w:p>
        </w:tc>
        <w:tc>
          <w:tcPr>
            <w:tcW w:w="440" w:type="dxa"/>
            <w:vAlign w:val="bottom"/>
            <w:shd w:val="clear" w:color="auto" w:fill="E5E5E5"/>
          </w:tcPr>
          <w:p>
            <w:pPr>
              <w:jc w:val="right"/>
              <w:ind w:right="297"/>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E5E5E5"/>
          </w:tcPr>
          <w:p>
            <w:pPr>
              <w:ind w:left="1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517"/>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21</w:t>
            </w:r>
          </w:p>
        </w:tc>
      </w:tr>
      <w:tr>
        <w:trPr>
          <w:trHeight w:val="20"/>
        </w:trPr>
        <w:tc>
          <w:tcPr>
            <w:tcW w:w="73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7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89"/>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Income from operations</w:t>
            </w:r>
            <w:r>
              <w:rPr>
                <w:rFonts w:ascii="Arial" w:cs="Arial" w:eastAsia="Arial" w:hAnsi="Arial"/>
                <w:sz w:val="16"/>
                <w:szCs w:val="16"/>
                <w:color w:val="auto"/>
                <w:vertAlign w:val="superscript"/>
              </w:rPr>
              <w:t>(1)</w:t>
            </w:r>
          </w:p>
        </w:tc>
        <w:tc>
          <w:tcPr>
            <w:tcW w:w="44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E5E5E5"/>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5E5E5"/>
          </w:tcPr>
          <w:p>
            <w:pPr>
              <w:spacing w:after="0"/>
              <w:rPr>
                <w:sz w:val="16"/>
                <w:szCs w:val="16"/>
                <w:color w:val="auto"/>
              </w:rPr>
            </w:pPr>
          </w:p>
        </w:tc>
        <w:tc>
          <w:tcPr>
            <w:tcW w:w="660" w:type="dxa"/>
            <w:vAlign w:val="bottom"/>
            <w:tcBorders>
              <w:bottom w:val="single" w:sz="8" w:color="auto"/>
            </w:tcBorders>
            <w:shd w:val="clear" w:color="auto" w:fill="E5E5E5"/>
          </w:tcPr>
          <w:p>
            <w:pPr>
              <w:jc w:val="right"/>
              <w:ind w:right="51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64</w:t>
            </w:r>
          </w:p>
        </w:tc>
      </w:tr>
      <w:tr>
        <w:trPr>
          <w:trHeight w:val="176"/>
        </w:trPr>
        <w:tc>
          <w:tcPr>
            <w:tcW w:w="74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44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94"/>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Income tax expense</w:t>
            </w:r>
          </w:p>
        </w:tc>
        <w:tc>
          <w:tcPr>
            <w:tcW w:w="440" w:type="dxa"/>
            <w:vAlign w:val="bottom"/>
            <w:tcBorders>
              <w:bottom w:val="single" w:sz="8" w:color="auto"/>
            </w:tcBorders>
            <w:shd w:val="clear" w:color="auto" w:fill="E5E5E5"/>
          </w:tcPr>
          <w:p>
            <w:pPr>
              <w:spacing w:after="0"/>
              <w:rPr>
                <w:sz w:val="16"/>
                <w:szCs w:val="16"/>
                <w:color w:val="auto"/>
              </w:rPr>
            </w:pPr>
          </w:p>
        </w:tc>
        <w:tc>
          <w:tcPr>
            <w:tcW w:w="1420" w:type="dxa"/>
            <w:vAlign w:val="bottom"/>
            <w:tcBorders>
              <w:bottom w:val="single" w:sz="8" w:color="auto"/>
            </w:tcBorders>
            <w:shd w:val="clear" w:color="auto" w:fill="E5E5E5"/>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5E5E5"/>
          </w:tcPr>
          <w:p>
            <w:pPr>
              <w:spacing w:after="0"/>
              <w:rPr>
                <w:sz w:val="16"/>
                <w:szCs w:val="16"/>
                <w:color w:val="auto"/>
              </w:rPr>
            </w:pPr>
          </w:p>
        </w:tc>
        <w:tc>
          <w:tcPr>
            <w:tcW w:w="660" w:type="dxa"/>
            <w:vAlign w:val="bottom"/>
            <w:tcBorders>
              <w:bottom w:val="single" w:sz="8" w:color="auto"/>
            </w:tcBorders>
            <w:shd w:val="clear" w:color="auto" w:fill="E5E5E5"/>
          </w:tcPr>
          <w:p>
            <w:pPr>
              <w:spacing w:after="0"/>
              <w:rPr>
                <w:sz w:val="16"/>
                <w:szCs w:val="16"/>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74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from discontinued operations, net of tax</w:t>
            </w:r>
          </w:p>
        </w:tc>
        <w:tc>
          <w:tcPr>
            <w:tcW w:w="44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89"/>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Income from discontinued operations attributable to noncontrolling interests, net of tax</w:t>
            </w:r>
          </w:p>
        </w:tc>
        <w:tc>
          <w:tcPr>
            <w:tcW w:w="440" w:type="dxa"/>
            <w:vAlign w:val="bottom"/>
            <w:tcBorders>
              <w:bottom w:val="single" w:sz="8" w:color="auto"/>
            </w:tcBorders>
            <w:shd w:val="clear" w:color="auto" w:fill="E5E5E5"/>
          </w:tcPr>
          <w:p>
            <w:pPr>
              <w:spacing w:after="0"/>
              <w:rPr>
                <w:sz w:val="16"/>
                <w:szCs w:val="16"/>
                <w:color w:val="auto"/>
              </w:rPr>
            </w:pPr>
          </w:p>
        </w:tc>
        <w:tc>
          <w:tcPr>
            <w:tcW w:w="1420" w:type="dxa"/>
            <w:vAlign w:val="bottom"/>
            <w:tcBorders>
              <w:bottom w:val="single" w:sz="8" w:color="auto"/>
            </w:tcBorders>
            <w:shd w:val="clear" w:color="auto" w:fill="E5E5E5"/>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5E5E5"/>
          </w:tcPr>
          <w:p>
            <w:pPr>
              <w:spacing w:after="0"/>
              <w:rPr>
                <w:sz w:val="16"/>
                <w:szCs w:val="16"/>
                <w:color w:val="auto"/>
              </w:rPr>
            </w:pPr>
          </w:p>
        </w:tc>
        <w:tc>
          <w:tcPr>
            <w:tcW w:w="660" w:type="dxa"/>
            <w:vAlign w:val="bottom"/>
            <w:tcBorders>
              <w:bottom w:val="single" w:sz="8" w:color="auto"/>
            </w:tcBorders>
            <w:shd w:val="clear" w:color="auto" w:fill="E5E5E5"/>
          </w:tcPr>
          <w:p>
            <w:pPr>
              <w:spacing w:after="0"/>
              <w:rPr>
                <w:sz w:val="16"/>
                <w:szCs w:val="16"/>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74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from discontinued operations, attributable to Xerox Holdings, net of tax</w:t>
            </w: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20"/>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37" w:lineRule="exact"/>
        <w:rPr>
          <w:sz w:val="20"/>
          <w:szCs w:val="20"/>
          <w:color w:val="auto"/>
        </w:rPr>
      </w:pPr>
    </w:p>
    <w:p>
      <w:pPr>
        <w:ind w:left="125" w:hanging="125"/>
        <w:spacing w:after="0"/>
        <w:tabs>
          <w:tab w:leader="none" w:pos="125" w:val="left"/>
        </w:tabs>
        <w:numPr>
          <w:ilvl w:val="0"/>
          <w:numId w:val="22"/>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Includes equity income from FX of $57 million for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5"/>
          </w:cols>
          <w:pgMar w:left="315" w:top="1176" w:right="319" w:bottom="1440" w:gutter="0" w:footer="0" w:header="0"/>
        </w:sectPr>
      </w:pPr>
    </w:p>
    <w:bookmarkStart w:id="23" w:name="page24"/>
    <w:bookmarkEnd w:id="23"/>
    <w:p>
      <w:pPr>
        <w:ind w:left="5"/>
        <w:spacing w:after="0"/>
        <w:rPr>
          <w:sz w:val="20"/>
          <w:szCs w:val="20"/>
          <w:color w:val="auto"/>
        </w:rPr>
      </w:pPr>
      <w:r>
        <w:rPr>
          <w:rFonts w:ascii="Arial" w:cs="Arial" w:eastAsia="Arial" w:hAnsi="Arial"/>
          <w:sz w:val="22"/>
          <w:szCs w:val="22"/>
          <w:b w:val="1"/>
          <w:bCs w:val="1"/>
          <w:color w:val="DA2031"/>
        </w:rPr>
        <w:t>Capital Resources and Liquidity</w:t>
      </w:r>
    </w:p>
    <w:p>
      <w:pPr>
        <w:spacing w:after="0" w:line="175" w:lineRule="exact"/>
        <w:rPr>
          <w:sz w:val="20"/>
          <w:szCs w:val="20"/>
          <w:color w:val="auto"/>
        </w:rPr>
      </w:pPr>
    </w:p>
    <w:p>
      <w:pPr>
        <w:jc w:val="both"/>
        <w:ind w:left="5"/>
        <w:spacing w:after="0" w:line="249" w:lineRule="auto"/>
        <w:rPr>
          <w:sz w:val="20"/>
          <w:szCs w:val="20"/>
          <w:color w:val="auto"/>
        </w:rPr>
      </w:pPr>
      <w:r>
        <w:rPr>
          <w:rFonts w:ascii="Arial" w:cs="Arial" w:eastAsia="Arial" w:hAnsi="Arial"/>
          <w:sz w:val="16"/>
          <w:szCs w:val="16"/>
          <w:color w:val="auto"/>
        </w:rPr>
        <w:t>Our third quarter financial results were significantly impacted by COVID-19 related business closures and office building capacity restrictions that impacted our customers' purchasing decisions and caused lower printing volumes on our devices. However, we believe we have sufficient liquidity to manage the business through the economic disruption caused by this pandemic:</w:t>
      </w:r>
    </w:p>
    <w:p>
      <w:pPr>
        <w:spacing w:after="0" w:line="89" w:lineRule="exact"/>
        <w:rPr>
          <w:sz w:val="20"/>
          <w:szCs w:val="20"/>
          <w:color w:val="auto"/>
        </w:rPr>
      </w:pPr>
    </w:p>
    <w:p>
      <w:pPr>
        <w:ind w:left="285" w:right="20" w:hanging="285"/>
        <w:spacing w:after="0" w:line="252" w:lineRule="auto"/>
        <w:tabs>
          <w:tab w:leader="none" w:pos="2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majority of our business is contractually based and our bundled services contracts, on average, include not only a variable component linked to print volumes, but also a fixed minimum, which provides us with a continuing stream of operating cash flow.</w:t>
      </w:r>
    </w:p>
    <w:p>
      <w:pPr>
        <w:spacing w:after="0" w:line="86" w:lineRule="exact"/>
        <w:rPr>
          <w:rFonts w:ascii="Arial" w:cs="Arial" w:eastAsia="Arial" w:hAnsi="Arial"/>
          <w:sz w:val="16"/>
          <w:szCs w:val="16"/>
          <w:color w:val="auto"/>
        </w:rPr>
      </w:pPr>
    </w:p>
    <w:p>
      <w:pPr>
        <w:jc w:val="both"/>
        <w:ind w:left="285" w:right="20" w:hanging="285"/>
        <w:spacing w:after="0" w:line="249" w:lineRule="auto"/>
        <w:tabs>
          <w:tab w:leader="none" w:pos="2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September 30, 2020, total cash, cash equivalents and restricted cash were $3,297 million and, apart from restricted cash of $55 million, was readily accessible for use. In October 2020, we completed the early redemption of $750 million of the approximately $1.1 billion Senior Notes due May 2021 from cash on hand (see "Debt Activity" section for additional information).</w:t>
      </w:r>
    </w:p>
    <w:p>
      <w:pPr>
        <w:spacing w:after="0" w:line="88" w:lineRule="exact"/>
        <w:rPr>
          <w:rFonts w:ascii="Arial" w:cs="Arial" w:eastAsia="Arial" w:hAnsi="Arial"/>
          <w:sz w:val="16"/>
          <w:szCs w:val="16"/>
          <w:color w:val="auto"/>
        </w:rPr>
      </w:pPr>
    </w:p>
    <w:p>
      <w:pPr>
        <w:jc w:val="both"/>
        <w:ind w:left="285" w:right="20" w:hanging="285"/>
        <w:spacing w:after="0" w:line="249" w:lineRule="auto"/>
        <w:tabs>
          <w:tab w:leader="none" w:pos="2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access to an undrawn $1.8 billion Credit Facility that matures in August 2022. In connection with the issuance of our $1.5 billion of new Senior Notes, we amended the Credit Facility debt covenants to consider our level of cash on hand as part of our principal debt balance (see "Debt Activity" section for additional information).</w:t>
      </w:r>
    </w:p>
    <w:p>
      <w:pPr>
        <w:spacing w:after="0" w:line="88" w:lineRule="exact"/>
        <w:rPr>
          <w:rFonts w:ascii="Arial" w:cs="Arial" w:eastAsia="Arial" w:hAnsi="Arial"/>
          <w:sz w:val="16"/>
          <w:szCs w:val="16"/>
          <w:color w:val="auto"/>
        </w:rPr>
      </w:pPr>
    </w:p>
    <w:p>
      <w:pPr>
        <w:ind w:left="285" w:hanging="285"/>
        <w:spacing w:after="0" w:line="252" w:lineRule="auto"/>
        <w:tabs>
          <w:tab w:leader="none" w:pos="2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utilized a combination of capital markets financing and securitization to refinance all 2020 debt maturities and a portion of our 2021 debt maturities, significantly reducing our near-term debt commitments and improving our liquidity (see “Debt Activity” section for additional information).</w:t>
      </w:r>
    </w:p>
    <w:p>
      <w:pPr>
        <w:spacing w:after="0" w:line="86" w:lineRule="exact"/>
        <w:rPr>
          <w:rFonts w:ascii="Arial" w:cs="Arial" w:eastAsia="Arial" w:hAnsi="Arial"/>
          <w:sz w:val="16"/>
          <w:szCs w:val="16"/>
          <w:color w:val="auto"/>
        </w:rPr>
      </w:pPr>
    </w:p>
    <w:p>
      <w:pPr>
        <w:jc w:val="both"/>
        <w:ind w:left="285" w:hanging="285"/>
        <w:spacing w:after="0" w:line="248" w:lineRule="auto"/>
        <w:tabs>
          <w:tab w:leader="none" w:pos="2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focused our efforts on incremental actions to prioritize and preserve cash as we manage through the pandemic. These actions include the use of available temporary government assistance measures and furlough programs and the reduction of discretionary spend such as near term targeted marketing programs, the use of contract employees, and the temporary suspension of 401(k) matching contributions, as well as lower compensation incentives consistent with lower sales and operating results.</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summarizes our cash, cash equivalents and restricted cash:</w:t>
      </w:r>
    </w:p>
    <w:p>
      <w:pPr>
        <w:spacing w:after="0" w:line="32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7"/>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color w:val="auto"/>
              </w:rPr>
              <w:t>September 30,</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1"/>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E5E5E5"/>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w w:val="96"/>
              </w:rPr>
              <w:t>2019</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rPr>
              <w:t>Change</w:t>
            </w:r>
          </w:p>
        </w:tc>
      </w:tr>
      <w:tr>
        <w:trPr>
          <w:trHeight w:val="185"/>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320" w:type="dxa"/>
            <w:vAlign w:val="bottom"/>
            <w:shd w:val="clear" w:color="auto" w:fill="E5E5E5"/>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jc w:val="right"/>
              <w:ind w:right="4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117"/>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(242)</w:t>
            </w:r>
          </w:p>
        </w:tc>
      </w:tr>
      <w:tr>
        <w:trPr>
          <w:trHeight w:val="184"/>
        </w:trPr>
        <w:tc>
          <w:tcPr>
            <w:tcW w:w="6620" w:type="dxa"/>
            <w:vAlign w:val="bottom"/>
            <w:gridSpan w:val="2"/>
          </w:tcPr>
          <w:p>
            <w:pPr>
              <w:ind w:left="20"/>
              <w:spacing w:after="0"/>
              <w:rPr>
                <w:sz w:val="20"/>
                <w:szCs w:val="20"/>
                <w:color w:val="auto"/>
              </w:rPr>
            </w:pPr>
            <w:r>
              <w:rPr>
                <w:rFonts w:ascii="Arial" w:cs="Arial" w:eastAsia="Arial" w:hAnsi="Arial"/>
                <w:sz w:val="13"/>
                <w:szCs w:val="13"/>
                <w:color w:val="auto"/>
              </w:rPr>
              <w:t>Net cash provided by operating activities of discontinued operations</w:t>
            </w:r>
          </w:p>
        </w:tc>
        <w:tc>
          <w:tcPr>
            <w:tcW w:w="3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81"/>
        </w:trPr>
        <w:tc>
          <w:tcPr>
            <w:tcW w:w="662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top w:val="single" w:sz="8" w:color="auto"/>
              <w:bottom w:val="single" w:sz="8" w:color="auto"/>
            </w:tcBorders>
            <w:shd w:val="clear" w:color="auto" w:fill="E5E5E5"/>
          </w:tcPr>
          <w:p>
            <w:pPr>
              <w:spacing w:after="0"/>
              <w:rPr>
                <w:sz w:val="15"/>
                <w:szCs w:val="15"/>
                <w:color w:val="auto"/>
              </w:rPr>
            </w:pPr>
          </w:p>
        </w:tc>
        <w:tc>
          <w:tcPr>
            <w:tcW w:w="114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106</w:t>
            </w:r>
          </w:p>
        </w:tc>
        <w:tc>
          <w:tcPr>
            <w:tcW w:w="100" w:type="dxa"/>
            <w:vAlign w:val="bottom"/>
            <w:tcBorders>
              <w:top w:val="single" w:sz="8" w:color="E5E5E5"/>
            </w:tcBorders>
            <w:shd w:val="clear" w:color="auto" w:fill="E5E5E5"/>
          </w:tcPr>
          <w:p>
            <w:pPr>
              <w:spacing w:after="0"/>
              <w:rPr>
                <w:sz w:val="15"/>
                <w:szCs w:val="15"/>
                <w:color w:val="auto"/>
              </w:rPr>
            </w:pPr>
          </w:p>
        </w:tc>
        <w:tc>
          <w:tcPr>
            <w:tcW w:w="560" w:type="dxa"/>
            <w:vAlign w:val="bottom"/>
            <w:tcBorders>
              <w:top w:val="single" w:sz="8" w:color="auto"/>
              <w:bottom w:val="single" w:sz="8" w:color="auto"/>
            </w:tcBorders>
            <w:shd w:val="clear" w:color="auto" w:fill="E5E5E5"/>
          </w:tcPr>
          <w:p>
            <w:pPr>
              <w:spacing w:after="0"/>
              <w:rPr>
                <w:sz w:val="15"/>
                <w:szCs w:val="15"/>
                <w:color w:val="auto"/>
              </w:rPr>
            </w:pPr>
          </w:p>
        </w:tc>
        <w:tc>
          <w:tcPr>
            <w:tcW w:w="90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356</w:t>
            </w:r>
          </w:p>
        </w:tc>
        <w:tc>
          <w:tcPr>
            <w:tcW w:w="10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bottom w:val="single" w:sz="8" w:color="auto"/>
            </w:tcBorders>
            <w:shd w:val="clear" w:color="auto" w:fill="E5E5E5"/>
          </w:tcPr>
          <w:p>
            <w:pPr>
              <w:spacing w:after="0"/>
              <w:rPr>
                <w:sz w:val="15"/>
                <w:szCs w:val="15"/>
                <w:color w:val="auto"/>
              </w:rPr>
            </w:pPr>
          </w:p>
        </w:tc>
        <w:tc>
          <w:tcPr>
            <w:tcW w:w="12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(250)</w:t>
            </w:r>
          </w:p>
        </w:tc>
      </w:tr>
      <w:tr>
        <w:trPr>
          <w:trHeight w:val="174"/>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Net cash provided by investing activities</w:t>
            </w:r>
          </w:p>
        </w:tc>
        <w:tc>
          <w:tcPr>
            <w:tcW w:w="32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2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w:t>
            </w:r>
          </w:p>
        </w:tc>
      </w:tr>
      <w:tr>
        <w:trPr>
          <w:trHeight w:val="189"/>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2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856</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2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993</w:t>
            </w:r>
          </w:p>
        </w:tc>
      </w:tr>
      <w:tr>
        <w:trPr>
          <w:trHeight w:val="189"/>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4"/>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320" w:type="dxa"/>
            <w:vAlign w:val="bottom"/>
            <w:tcBorders>
              <w:bottom w:val="single" w:sz="8" w:color="auto"/>
            </w:tcBorders>
            <w:shd w:val="clear" w:color="auto" w:fill="E5E5E5"/>
          </w:tcPr>
          <w:p>
            <w:pPr>
              <w:spacing w:after="0"/>
              <w:rPr>
                <w:sz w:val="16"/>
                <w:szCs w:val="16"/>
                <w:color w:val="auto"/>
              </w:rPr>
            </w:pPr>
          </w:p>
        </w:tc>
        <w:tc>
          <w:tcPr>
            <w:tcW w:w="11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E5E5E5"/>
          </w:tcPr>
          <w:p>
            <w:pPr>
              <w:spacing w:after="0"/>
              <w:rPr>
                <w:sz w:val="16"/>
                <w:szCs w:val="16"/>
                <w:color w:val="auto"/>
              </w:rPr>
            </w:pPr>
          </w:p>
        </w:tc>
        <w:tc>
          <w:tcPr>
            <w:tcW w:w="260" w:type="dxa"/>
            <w:vAlign w:val="bottom"/>
            <w:tcBorders>
              <w:bottom w:val="single" w:sz="8" w:color="auto"/>
            </w:tcBorders>
            <w:shd w:val="clear" w:color="auto" w:fill="E5E5E5"/>
          </w:tcPr>
          <w:p>
            <w:pPr>
              <w:spacing w:after="0"/>
              <w:rPr>
                <w:sz w:val="16"/>
                <w:szCs w:val="16"/>
                <w:color w:val="auto"/>
              </w:rPr>
            </w:pPr>
          </w:p>
        </w:tc>
        <w:tc>
          <w:tcPr>
            <w:tcW w:w="12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32</w:t>
            </w:r>
          </w:p>
        </w:tc>
      </w:tr>
      <w:tr>
        <w:trPr>
          <w:trHeight w:val="181"/>
        </w:trPr>
        <w:tc>
          <w:tcPr>
            <w:tcW w:w="6620" w:type="dxa"/>
            <w:vAlign w:val="bottom"/>
            <w:gridSpan w:val="2"/>
          </w:tcPr>
          <w:p>
            <w:pPr>
              <w:ind w:left="20"/>
              <w:spacing w:after="0"/>
              <w:rPr>
                <w:sz w:val="20"/>
                <w:szCs w:val="20"/>
                <w:color w:val="auto"/>
              </w:rPr>
            </w:pPr>
            <w:r>
              <w:rPr>
                <w:rFonts w:ascii="Arial" w:cs="Arial" w:eastAsia="Arial" w:hAnsi="Arial"/>
                <w:sz w:val="13"/>
                <w:szCs w:val="13"/>
                <w:color w:val="auto"/>
              </w:rPr>
              <w:t>Increase in cash, cash equivalents and restricted cash</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983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780</w:t>
            </w:r>
          </w:p>
        </w:tc>
      </w:tr>
      <w:tr>
        <w:trPr>
          <w:trHeight w:val="189"/>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320" w:type="dxa"/>
            <w:vAlign w:val="bottom"/>
            <w:tcBorders>
              <w:bottom w:val="single" w:sz="8" w:color="auto"/>
            </w:tcBorders>
            <w:shd w:val="clear" w:color="auto" w:fill="E5E5E5"/>
          </w:tcPr>
          <w:p>
            <w:pPr>
              <w:spacing w:after="0"/>
              <w:rPr>
                <w:sz w:val="16"/>
                <w:szCs w:val="16"/>
                <w:color w:val="auto"/>
              </w:rPr>
            </w:pPr>
          </w:p>
        </w:tc>
        <w:tc>
          <w:tcPr>
            <w:tcW w:w="11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2,314</w:t>
            </w:r>
          </w:p>
        </w:tc>
        <w:tc>
          <w:tcPr>
            <w:tcW w:w="100" w:type="dxa"/>
            <w:vAlign w:val="bottom"/>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776</w:t>
            </w:r>
          </w:p>
        </w:tc>
        <w:tc>
          <w:tcPr>
            <w:tcW w:w="100" w:type="dxa"/>
            <w:vAlign w:val="bottom"/>
            <w:shd w:val="clear" w:color="auto" w:fill="E5E5E5"/>
          </w:tcPr>
          <w:p>
            <w:pPr>
              <w:spacing w:after="0"/>
              <w:rPr>
                <w:sz w:val="16"/>
                <w:szCs w:val="16"/>
                <w:color w:val="auto"/>
              </w:rPr>
            </w:pPr>
          </w:p>
        </w:tc>
        <w:tc>
          <w:tcPr>
            <w:tcW w:w="260" w:type="dxa"/>
            <w:vAlign w:val="bottom"/>
            <w:tcBorders>
              <w:bottom w:val="single" w:sz="8" w:color="auto"/>
            </w:tcBorders>
            <w:shd w:val="clear" w:color="auto" w:fill="E5E5E5"/>
          </w:tcPr>
          <w:p>
            <w:pPr>
              <w:spacing w:after="0"/>
              <w:rPr>
                <w:sz w:val="16"/>
                <w:szCs w:val="16"/>
                <w:color w:val="auto"/>
              </w:rPr>
            </w:pPr>
          </w:p>
        </w:tc>
        <w:tc>
          <w:tcPr>
            <w:tcW w:w="12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1,538</w:t>
            </w:r>
          </w:p>
        </w:tc>
      </w:tr>
      <w:tr>
        <w:trPr>
          <w:trHeight w:val="185"/>
        </w:trPr>
        <w:tc>
          <w:tcPr>
            <w:tcW w:w="6620" w:type="dxa"/>
            <w:vAlign w:val="bottom"/>
            <w:gridSpan w:val="2"/>
          </w:tcPr>
          <w:p>
            <w:pPr>
              <w:ind w:left="20"/>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3,297</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2,318</w:t>
            </w: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Cash Flows from Operating Activities</w:t>
      </w:r>
    </w:p>
    <w:p>
      <w:pPr>
        <w:spacing w:after="0" w:line="21" w:lineRule="exact"/>
        <w:rPr>
          <w:sz w:val="20"/>
          <w:szCs w:val="20"/>
          <w:color w:val="auto"/>
        </w:rPr>
      </w:pPr>
    </w:p>
    <w:p>
      <w:pPr>
        <w:ind w:left="5" w:right="20"/>
        <w:spacing w:after="0" w:line="243" w:lineRule="auto"/>
        <w:rPr>
          <w:sz w:val="20"/>
          <w:szCs w:val="20"/>
          <w:color w:val="auto"/>
        </w:rPr>
      </w:pPr>
      <w:r>
        <w:rPr>
          <w:rFonts w:ascii="Arial" w:cs="Arial" w:eastAsia="Arial" w:hAnsi="Arial"/>
          <w:sz w:val="16"/>
          <w:szCs w:val="16"/>
          <w:color w:val="auto"/>
        </w:rPr>
        <w:t>Net cash provided by operating activities of continuing operations was $106 million in third quarter 2020. The $242 million decrease in operating cash from third quarter 2019 was primarily due to the following:</w:t>
      </w:r>
    </w:p>
    <w:p>
      <w:pPr>
        <w:spacing w:after="0" w:line="29" w:lineRule="exact"/>
        <w:rPr>
          <w:sz w:val="20"/>
          <w:szCs w:val="20"/>
          <w:color w:val="auto"/>
        </w:rPr>
      </w:pPr>
    </w:p>
    <w:p>
      <w:pPr>
        <w:ind w:left="565" w:right="20" w:hanging="282"/>
        <w:spacing w:after="0" w:line="225" w:lineRule="auto"/>
        <w:tabs>
          <w:tab w:leader="none" w:pos="561" w:val="left"/>
        </w:tabs>
        <w:numPr>
          <w:ilvl w:val="0"/>
          <w:numId w:val="24"/>
        </w:numPr>
        <w:rPr>
          <w:rFonts w:ascii="Arial" w:cs="Arial" w:eastAsia="Arial" w:hAnsi="Arial"/>
          <w:sz w:val="19"/>
          <w:szCs w:val="19"/>
          <w:color w:val="auto"/>
        </w:rPr>
      </w:pPr>
      <w:r>
        <w:rPr>
          <w:rFonts w:ascii="Arial" w:cs="Arial" w:eastAsia="Arial" w:hAnsi="Arial"/>
          <w:sz w:val="16"/>
          <w:szCs w:val="16"/>
          <w:color w:val="auto"/>
        </w:rPr>
        <w:t>$145 million decrease in pre-tax income before depreciation and amortization, gain on sales of businesses and assets, restructuring and related costs and defined benefit pension costs.</w:t>
      </w:r>
    </w:p>
    <w:p>
      <w:pPr>
        <w:spacing w:after="0" w:line="12" w:lineRule="exact"/>
        <w:rPr>
          <w:rFonts w:ascii="Arial" w:cs="Arial" w:eastAsia="Arial" w:hAnsi="Arial"/>
          <w:sz w:val="19"/>
          <w:szCs w:val="19"/>
          <w:color w:val="auto"/>
        </w:rPr>
      </w:pPr>
    </w:p>
    <w:p>
      <w:pPr>
        <w:ind w:left="565" w:right="20" w:hanging="282"/>
        <w:spacing w:after="0" w:line="225" w:lineRule="auto"/>
        <w:tabs>
          <w:tab w:leader="none" w:pos="561" w:val="left"/>
        </w:tabs>
        <w:numPr>
          <w:ilvl w:val="0"/>
          <w:numId w:val="24"/>
        </w:numPr>
        <w:rPr>
          <w:rFonts w:ascii="Arial" w:cs="Arial" w:eastAsia="Arial" w:hAnsi="Arial"/>
          <w:sz w:val="19"/>
          <w:szCs w:val="19"/>
          <w:color w:val="auto"/>
        </w:rPr>
      </w:pPr>
      <w:r>
        <w:rPr>
          <w:rFonts w:ascii="Arial" w:cs="Arial" w:eastAsia="Arial" w:hAnsi="Arial"/>
          <w:sz w:val="16"/>
          <w:szCs w:val="16"/>
          <w:color w:val="auto"/>
        </w:rPr>
        <w:t>$147 million decrease from accounts receivable primarily due to a higher sequential revenue increase as compared to the prior year partially offset by improved timing of collections.</w:t>
      </w:r>
    </w:p>
    <w:p>
      <w:pPr>
        <w:ind w:left="565" w:hanging="282"/>
        <w:spacing w:after="0" w:line="220" w:lineRule="auto"/>
        <w:tabs>
          <w:tab w:leader="none" w:pos="565" w:val="left"/>
        </w:tabs>
        <w:numPr>
          <w:ilvl w:val="0"/>
          <w:numId w:val="24"/>
        </w:numPr>
        <w:rPr>
          <w:rFonts w:ascii="Arial" w:cs="Arial" w:eastAsia="Arial" w:hAnsi="Arial"/>
          <w:sz w:val="19"/>
          <w:szCs w:val="19"/>
          <w:color w:val="auto"/>
        </w:rPr>
      </w:pPr>
      <w:r>
        <w:rPr>
          <w:rFonts w:ascii="Arial" w:cs="Arial" w:eastAsia="Arial" w:hAnsi="Arial"/>
          <w:sz w:val="16"/>
          <w:szCs w:val="16"/>
          <w:color w:val="auto"/>
        </w:rPr>
        <w:t>$64 million decrease from higher levels of inventory primarily due to lower sales volume.</w:t>
      </w:r>
    </w:p>
    <w:p>
      <w:pPr>
        <w:spacing w:after="0" w:line="200" w:lineRule="exact"/>
        <w:rPr>
          <w:sz w:val="20"/>
          <w:szCs w:val="20"/>
          <w:color w:val="auto"/>
        </w:rPr>
      </w:pPr>
    </w:p>
    <w:p>
      <w:pPr>
        <w:spacing w:after="0" w:line="39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5"/>
          </w:cols>
          <w:pgMar w:left="315" w:top="893" w:right="319" w:bottom="1440" w:gutter="0" w:footer="0" w:header="0"/>
        </w:sectPr>
      </w:pPr>
    </w:p>
    <w:bookmarkStart w:id="24" w:name="page25"/>
    <w:bookmarkEnd w:id="24"/>
    <w:p>
      <w:pPr>
        <w:ind w:left="560" w:hanging="282"/>
        <w:spacing w:after="0"/>
        <w:tabs>
          <w:tab w:leader="none" w:pos="560" w:val="left"/>
        </w:tabs>
        <w:numPr>
          <w:ilvl w:val="0"/>
          <w:numId w:val="25"/>
        </w:numPr>
        <w:rPr>
          <w:rFonts w:ascii="Arial" w:cs="Arial" w:eastAsia="Arial" w:hAnsi="Arial"/>
          <w:sz w:val="19"/>
          <w:szCs w:val="19"/>
          <w:color w:val="auto"/>
        </w:rPr>
      </w:pPr>
      <w:r>
        <w:rPr>
          <w:rFonts w:ascii="Arial" w:cs="Arial" w:eastAsia="Arial" w:hAnsi="Arial"/>
          <w:sz w:val="16"/>
          <w:szCs w:val="16"/>
          <w:color w:val="auto"/>
        </w:rPr>
        <w:t>$68 million increase from accounts payable primarily due to the year-over-year timing of supplier and vendor payments.</w:t>
      </w:r>
    </w:p>
    <w:p>
      <w:pPr>
        <w:spacing w:after="0" w:line="24" w:lineRule="exact"/>
        <w:rPr>
          <w:rFonts w:ascii="Arial" w:cs="Arial" w:eastAsia="Arial" w:hAnsi="Arial"/>
          <w:sz w:val="19"/>
          <w:szCs w:val="19"/>
          <w:color w:val="auto"/>
        </w:rPr>
      </w:pPr>
    </w:p>
    <w:p>
      <w:pPr>
        <w:ind w:left="560" w:right="20" w:hanging="282"/>
        <w:spacing w:after="0" w:line="225" w:lineRule="auto"/>
        <w:tabs>
          <w:tab w:leader="none" w:pos="555" w:val="left"/>
        </w:tabs>
        <w:numPr>
          <w:ilvl w:val="0"/>
          <w:numId w:val="25"/>
        </w:numPr>
        <w:rPr>
          <w:rFonts w:ascii="Arial" w:cs="Arial" w:eastAsia="Arial" w:hAnsi="Arial"/>
          <w:sz w:val="19"/>
          <w:szCs w:val="19"/>
          <w:color w:val="auto"/>
        </w:rPr>
      </w:pPr>
      <w:r>
        <w:rPr>
          <w:rFonts w:ascii="Arial" w:cs="Arial" w:eastAsia="Arial" w:hAnsi="Arial"/>
          <w:sz w:val="16"/>
          <w:szCs w:val="16"/>
          <w:color w:val="auto"/>
        </w:rPr>
        <w:t>$36 million increase primarily related to a higher level of run-off of finance receivables of $26 million and lower equipment on operating leases of $10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Cash Flows from Investing Activities</w:t>
      </w:r>
    </w:p>
    <w:p>
      <w:pPr>
        <w:spacing w:after="0" w:line="9"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Net cash provided by investing activities was $9 million in third quarter 2020. The $5 million increase in cash from third quarter 2019 was primarily due to proceeds from the sale of non-core business assets of $27 million in the current period compared to $19 million in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Cash Flows from Financing Activities</w:t>
      </w:r>
    </w:p>
    <w:p>
      <w:pPr>
        <w:spacing w:after="0" w:line="9"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Net cash provided by financing activities was $856 million in third quarter 2020. The $993 million increase in cash from third quarter 2019 was primarily due to the following:</w:t>
      </w:r>
    </w:p>
    <w:p>
      <w:pPr>
        <w:spacing w:after="0" w:line="29" w:lineRule="exact"/>
        <w:rPr>
          <w:sz w:val="20"/>
          <w:szCs w:val="20"/>
          <w:color w:val="auto"/>
        </w:rPr>
      </w:pPr>
    </w:p>
    <w:p>
      <w:pPr>
        <w:jc w:val="both"/>
        <w:ind w:left="560" w:hanging="282"/>
        <w:spacing w:after="0" w:line="227" w:lineRule="auto"/>
        <w:tabs>
          <w:tab w:leader="none" w:pos="555" w:val="left"/>
        </w:tabs>
        <w:numPr>
          <w:ilvl w:val="0"/>
          <w:numId w:val="26"/>
        </w:numPr>
        <w:rPr>
          <w:rFonts w:ascii="Arial" w:cs="Arial" w:eastAsia="Arial" w:hAnsi="Arial"/>
          <w:sz w:val="19"/>
          <w:szCs w:val="19"/>
          <w:color w:val="auto"/>
        </w:rPr>
      </w:pPr>
      <w:r>
        <w:rPr>
          <w:rFonts w:ascii="Arial" w:cs="Arial" w:eastAsia="Arial" w:hAnsi="Arial"/>
          <w:sz w:val="16"/>
          <w:szCs w:val="16"/>
          <w:color w:val="auto"/>
        </w:rPr>
        <w:t>$1,075 million increase from net debt activity is primarily due to proceeds of $1,507 million from a Senior Notes offering and $340 million from a secured financing arrangement offset by payments of $738 million on Senior Notes, $22 million on the secured financing arrangement and $13 million of deferred debt issuance costs in the current period compared to no debt payments in the prior year.</w:t>
      </w:r>
    </w:p>
    <w:p>
      <w:pPr>
        <w:ind w:left="560" w:hanging="282"/>
        <w:spacing w:after="0" w:line="220" w:lineRule="auto"/>
        <w:tabs>
          <w:tab w:leader="none" w:pos="560" w:val="left"/>
        </w:tabs>
        <w:numPr>
          <w:ilvl w:val="0"/>
          <w:numId w:val="26"/>
        </w:numPr>
        <w:rPr>
          <w:rFonts w:ascii="Arial" w:cs="Arial" w:eastAsia="Arial" w:hAnsi="Arial"/>
          <w:sz w:val="19"/>
          <w:szCs w:val="19"/>
          <w:color w:val="auto"/>
        </w:rPr>
      </w:pPr>
      <w:r>
        <w:rPr>
          <w:rFonts w:ascii="Arial" w:cs="Arial" w:eastAsia="Arial" w:hAnsi="Arial"/>
          <w:sz w:val="16"/>
          <w:szCs w:val="16"/>
          <w:color w:val="auto"/>
        </w:rPr>
        <w:t>$82 million decrease due to share repurchases in the current period of $150 million compared to share repurchases of $68 million in the prior year.</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Cash, Cash Equivalents and Restricted Cash</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Restricted cash primarily relates to escrow cash deposits made in Brazil associated with ongoing litigation. Various litigation matters in Brazil require us to make cash deposits to escrow as a condition of continuing the litigation. Restricted cash amounts are classified in our Condensed Consolidated Balance Sheets based on when the cash will be contractually or judicially released.</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E5E5E5"/>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September 30, 2020</w:t>
            </w:r>
          </w:p>
        </w:tc>
        <w:tc>
          <w:tcPr>
            <w:tcW w:w="100" w:type="dxa"/>
            <w:vAlign w:val="bottom"/>
            <w:tcBorders>
              <w:bottom w:val="single" w:sz="8" w:color="E5E5E5"/>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December 31, 2019</w:t>
            </w:r>
          </w:p>
        </w:tc>
      </w:tr>
      <w:tr>
        <w:trPr>
          <w:trHeight w:val="185"/>
        </w:trPr>
        <w:tc>
          <w:tcPr>
            <w:tcW w:w="754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20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w:t>
            </w:r>
          </w:p>
        </w:tc>
        <w:tc>
          <w:tcPr>
            <w:tcW w:w="15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3,242</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rPr>
              <w:t>$</w:t>
            </w:r>
          </w:p>
        </w:tc>
        <w:tc>
          <w:tcPr>
            <w:tcW w:w="15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2,740</w:t>
            </w:r>
          </w:p>
        </w:tc>
      </w:tr>
      <w:tr>
        <w:trPr>
          <w:trHeight w:val="184"/>
        </w:trPr>
        <w:tc>
          <w:tcPr>
            <w:tcW w:w="7540" w:type="dxa"/>
            <w:vAlign w:val="bottom"/>
            <w:gridSpan w:val="2"/>
          </w:tcPr>
          <w:p>
            <w:pPr>
              <w:ind w:left="20"/>
              <w:spacing w:after="0"/>
              <w:rPr>
                <w:sz w:val="20"/>
                <w:szCs w:val="20"/>
                <w:color w:val="auto"/>
              </w:rPr>
            </w:pPr>
            <w:r>
              <w:rPr>
                <w:rFonts w:ascii="Arial" w:cs="Arial" w:eastAsia="Arial" w:hAnsi="Arial"/>
                <w:sz w:val="13"/>
                <w:szCs w:val="13"/>
                <w:b w:val="1"/>
                <w:bCs w:val="1"/>
                <w:color w:val="auto"/>
              </w:rPr>
              <w:t>Restricted cash</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4"/>
        </w:trPr>
        <w:tc>
          <w:tcPr>
            <w:tcW w:w="7540" w:type="dxa"/>
            <w:vAlign w:val="bottom"/>
            <w:gridSpan w:val="2"/>
            <w:shd w:val="clear" w:color="auto" w:fill="E5E5E5"/>
          </w:tcPr>
          <w:p>
            <w:pPr>
              <w:ind w:left="160"/>
              <w:spacing w:after="0"/>
              <w:rPr>
                <w:sz w:val="20"/>
                <w:szCs w:val="20"/>
                <w:color w:val="auto"/>
              </w:rPr>
            </w:pPr>
            <w:r>
              <w:rPr>
                <w:rFonts w:ascii="Arial" w:cs="Arial" w:eastAsia="Arial" w:hAnsi="Arial"/>
                <w:sz w:val="13"/>
                <w:szCs w:val="13"/>
                <w:color w:val="auto"/>
              </w:rPr>
              <w:t>Litigation deposits in Brazil</w:t>
            </w:r>
          </w:p>
        </w:tc>
        <w:tc>
          <w:tcPr>
            <w:tcW w:w="200" w:type="dxa"/>
            <w:vAlign w:val="bottom"/>
            <w:shd w:val="clear" w:color="auto" w:fill="E5E5E5"/>
          </w:tcPr>
          <w:p>
            <w:pPr>
              <w:spacing w:after="0"/>
              <w:rPr>
                <w:sz w:val="16"/>
                <w:szCs w:val="16"/>
                <w:color w:val="auto"/>
              </w:rPr>
            </w:pPr>
          </w:p>
        </w:tc>
        <w:tc>
          <w:tcPr>
            <w:tcW w:w="15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39</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55</w:t>
            </w:r>
          </w:p>
        </w:tc>
      </w:tr>
      <w:tr>
        <w:trPr>
          <w:trHeight w:val="184"/>
        </w:trPr>
        <w:tc>
          <w:tcPr>
            <w:tcW w:w="7540" w:type="dxa"/>
            <w:vAlign w:val="bottom"/>
            <w:tcBorders>
              <w:bottom w:val="single" w:sz="8" w:color="E5E5E5"/>
            </w:tcBorders>
            <w:gridSpan w:val="2"/>
          </w:tcPr>
          <w:p>
            <w:pPr>
              <w:ind w:left="160"/>
              <w:spacing w:after="0"/>
              <w:rPr>
                <w:sz w:val="20"/>
                <w:szCs w:val="20"/>
                <w:color w:val="auto"/>
              </w:rPr>
            </w:pPr>
            <w:r>
              <w:rPr>
                <w:rFonts w:ascii="Arial" w:cs="Arial" w:eastAsia="Arial" w:hAnsi="Arial"/>
                <w:sz w:val="13"/>
                <w:szCs w:val="13"/>
                <w:color w:val="auto"/>
              </w:rPr>
              <w:t>Other restricted cash</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7540" w:type="dxa"/>
            <w:vAlign w:val="bottom"/>
            <w:gridSpan w:val="2"/>
            <w:shd w:val="clear" w:color="auto" w:fill="E5E5E5"/>
          </w:tcPr>
          <w:p>
            <w:pPr>
              <w:ind w:left="160"/>
              <w:spacing w:after="0"/>
              <w:rPr>
                <w:sz w:val="20"/>
                <w:szCs w:val="20"/>
                <w:color w:val="auto"/>
              </w:rPr>
            </w:pPr>
            <w:r>
              <w:rPr>
                <w:rFonts w:ascii="Arial" w:cs="Arial" w:eastAsia="Arial" w:hAnsi="Arial"/>
                <w:sz w:val="13"/>
                <w:szCs w:val="13"/>
                <w:color w:val="auto"/>
              </w:rPr>
              <w:t>Total Restricted cash</w:t>
            </w:r>
          </w:p>
        </w:tc>
        <w:tc>
          <w:tcPr>
            <w:tcW w:w="200" w:type="dxa"/>
            <w:vAlign w:val="bottom"/>
            <w:tcBorders>
              <w:bottom w:val="single" w:sz="8" w:color="auto"/>
            </w:tcBorders>
            <w:shd w:val="clear" w:color="auto" w:fill="E5E5E5"/>
          </w:tcPr>
          <w:p>
            <w:pPr>
              <w:spacing w:after="0"/>
              <w:rPr>
                <w:sz w:val="15"/>
                <w:szCs w:val="15"/>
                <w:color w:val="auto"/>
              </w:rPr>
            </w:pPr>
          </w:p>
        </w:tc>
        <w:tc>
          <w:tcPr>
            <w:tcW w:w="15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55</w:t>
            </w:r>
          </w:p>
        </w:tc>
        <w:tc>
          <w:tcPr>
            <w:tcW w:w="100" w:type="dxa"/>
            <w:vAlign w:val="bottom"/>
            <w:shd w:val="clear" w:color="auto" w:fill="E5E5E5"/>
          </w:tcPr>
          <w:p>
            <w:pPr>
              <w:spacing w:after="0"/>
              <w:rPr>
                <w:sz w:val="15"/>
                <w:szCs w:val="15"/>
                <w:color w:val="auto"/>
              </w:rPr>
            </w:pPr>
          </w:p>
        </w:tc>
        <w:tc>
          <w:tcPr>
            <w:tcW w:w="220" w:type="dxa"/>
            <w:vAlign w:val="bottom"/>
            <w:tcBorders>
              <w:bottom w:val="single" w:sz="8" w:color="auto"/>
            </w:tcBorders>
            <w:shd w:val="clear" w:color="auto" w:fill="E5E5E5"/>
          </w:tcPr>
          <w:p>
            <w:pPr>
              <w:spacing w:after="0"/>
              <w:rPr>
                <w:sz w:val="15"/>
                <w:szCs w:val="15"/>
                <w:color w:val="auto"/>
              </w:rPr>
            </w:pPr>
          </w:p>
        </w:tc>
        <w:tc>
          <w:tcPr>
            <w:tcW w:w="1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55</w:t>
            </w:r>
          </w:p>
        </w:tc>
      </w:tr>
      <w:tr>
        <w:trPr>
          <w:trHeight w:val="185"/>
        </w:trPr>
        <w:tc>
          <w:tcPr>
            <w:tcW w:w="7540" w:type="dxa"/>
            <w:vAlign w:val="bottom"/>
            <w:gridSpan w:val="2"/>
          </w:tcPr>
          <w:p>
            <w:pPr>
              <w:ind w:left="20"/>
              <w:spacing w:after="0"/>
              <w:rPr>
                <w:sz w:val="20"/>
                <w:szCs w:val="20"/>
                <w:color w:val="auto"/>
              </w:rPr>
            </w:pPr>
            <w:r>
              <w:rPr>
                <w:rFonts w:ascii="Arial" w:cs="Arial" w:eastAsia="Arial" w:hAnsi="Arial"/>
                <w:sz w:val="13"/>
                <w:szCs w:val="13"/>
                <w:b w:val="1"/>
                <w:bCs w:val="1"/>
                <w:color w:val="auto"/>
              </w:rPr>
              <w:t>Cash, cash equivalents and restricted cash</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3,297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2,795</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was reported in the Condensed Consolidated Balance Sheets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September 30, 2020</w:t>
            </w:r>
          </w:p>
        </w:tc>
        <w:tc>
          <w:tcPr>
            <w:tcW w:w="120" w:type="dxa"/>
            <w:vAlign w:val="bottom"/>
            <w:tcBorders>
              <w:bottom w:val="single" w:sz="8" w:color="E5E5E5"/>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December 31, 2019</w:t>
            </w:r>
          </w:p>
        </w:tc>
      </w:tr>
      <w:tr>
        <w:trPr>
          <w:trHeight w:val="185"/>
        </w:trPr>
        <w:tc>
          <w:tcPr>
            <w:tcW w:w="754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Other current assets</w:t>
            </w:r>
          </w:p>
        </w:tc>
        <w:tc>
          <w:tcPr>
            <w:tcW w:w="20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754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Other long-term assets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r>
      <w:tr>
        <w:trPr>
          <w:trHeight w:val="210"/>
        </w:trPr>
        <w:tc>
          <w:tcPr>
            <w:tcW w:w="75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Total Restricted cash</w:t>
            </w:r>
          </w:p>
        </w:tc>
        <w:tc>
          <w:tcPr>
            <w:tcW w:w="20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55</w:t>
            </w:r>
          </w:p>
        </w:tc>
        <w:tc>
          <w:tcPr>
            <w:tcW w:w="12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55</w:t>
            </w:r>
          </w:p>
        </w:tc>
      </w:tr>
      <w:tr>
        <w:trPr>
          <w:trHeight w:val="20"/>
        </w:trPr>
        <w:tc>
          <w:tcPr>
            <w:tcW w:w="74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DA2031"/>
        </w:rPr>
        <w:t>Operating Leases</w:t>
      </w:r>
    </w:p>
    <w:p>
      <w:pPr>
        <w:spacing w:after="0" w:line="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operating leases for real estate and vehicles in our domestic and international operations and for certain equipment in our domestic operations. Additionally, we have identified embedded operating leases within certain supply chain contracts for warehouses, primarily within our domestic operations. Our leases have remaining terms of up to twelve years and a variety of renewal and/or termination options.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leases right-of-use (ROU) assets, net and operating lease liabilities were reported in the Condensed Consolidated Balance Sheets as follows: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20" w:top="912" w:right="319" w:bottom="1440" w:gutter="0" w:footer="0" w:header="0"/>
        </w:sectPr>
      </w:pPr>
    </w:p>
    <w:bookmarkStart w:id="25" w:name="page26"/>
    <w:bookmarkEnd w:id="25"/>
    <w:tbl>
      <w:tblPr>
        <w:tblLayout w:type="fixed"/>
        <w:tblInd w:w="5" w:type="dxa"/>
        <w:tblCellMar>
          <w:top w:w="0" w:type="dxa"/>
          <w:left w:w="0" w:type="dxa"/>
          <w:bottom w:w="0" w:type="dxa"/>
          <w:right w:w="0" w:type="dxa"/>
        </w:tblCellMar>
      </w:tblPr>
      <w:tr>
        <w:trPr>
          <w:trHeight w:val="157"/>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September 30, 2020</w:t>
            </w:r>
          </w:p>
        </w:tc>
        <w:tc>
          <w:tcPr>
            <w:tcW w:w="120" w:type="dxa"/>
            <w:vAlign w:val="bottom"/>
            <w:tcBorders>
              <w:bottom w:val="single" w:sz="8" w:color="E5E5E5"/>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December 31, 2019</w:t>
            </w:r>
          </w:p>
        </w:tc>
      </w:tr>
      <w:tr>
        <w:trPr>
          <w:trHeight w:val="210"/>
        </w:trPr>
        <w:tc>
          <w:tcPr>
            <w:tcW w:w="75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color w:val="auto"/>
              </w:rPr>
              <w:t>Other long-term assets</w:t>
            </w:r>
          </w:p>
        </w:tc>
        <w:tc>
          <w:tcPr>
            <w:tcW w:w="20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323</w:t>
            </w:r>
          </w:p>
        </w:tc>
        <w:tc>
          <w:tcPr>
            <w:tcW w:w="12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319</w:t>
            </w:r>
          </w:p>
        </w:tc>
      </w:tr>
      <w:tr>
        <w:trPr>
          <w:trHeight w:val="20"/>
        </w:trPr>
        <w:tc>
          <w:tcPr>
            <w:tcW w:w="74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r>
      <w:tr>
        <w:trPr>
          <w:trHeight w:val="133"/>
        </w:trPr>
        <w:tc>
          <w:tcPr>
            <w:tcW w:w="7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89"/>
        </w:trPr>
        <w:tc>
          <w:tcPr>
            <w:tcW w:w="754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Accrued expenses and other current liabilities</w:t>
            </w:r>
          </w:p>
        </w:tc>
        <w:tc>
          <w:tcPr>
            <w:tcW w:w="20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87</w:t>
            </w:r>
          </w:p>
        </w:tc>
      </w:tr>
      <w:tr>
        <w:trPr>
          <w:trHeight w:val="184"/>
        </w:trPr>
        <w:tc>
          <w:tcPr>
            <w:tcW w:w="754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Other long-term liabilities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w:t>
            </w:r>
          </w:p>
        </w:tc>
        <w:tc>
          <w:tcPr>
            <w:tcW w:w="12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w:t>
            </w:r>
          </w:p>
        </w:tc>
      </w:tr>
      <w:tr>
        <w:trPr>
          <w:trHeight w:val="210"/>
        </w:trPr>
        <w:tc>
          <w:tcPr>
            <w:tcW w:w="75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Total Operating lease liabilities</w:t>
            </w:r>
          </w:p>
        </w:tc>
        <w:tc>
          <w:tcPr>
            <w:tcW w:w="20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350</w:t>
            </w:r>
          </w:p>
        </w:tc>
        <w:tc>
          <w:tcPr>
            <w:tcW w:w="12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347</w:t>
            </w:r>
          </w:p>
        </w:tc>
      </w:tr>
      <w:tr>
        <w:trPr>
          <w:trHeight w:val="20"/>
        </w:trPr>
        <w:tc>
          <w:tcPr>
            <w:tcW w:w="74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DA2031"/>
        </w:rPr>
        <w:t>Debt and Customer Financing Activities</w:t>
      </w:r>
    </w:p>
    <w:p>
      <w:pPr>
        <w:spacing w:after="0" w:line="118"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summarizes our debt:</w:t>
      </w:r>
    </w:p>
    <w:p>
      <w:pPr>
        <w:spacing w:after="0" w:line="317"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September 30, 2020</w:t>
            </w:r>
          </w:p>
        </w:tc>
        <w:tc>
          <w:tcPr>
            <w:tcW w:w="100" w:type="dxa"/>
            <w:vAlign w:val="bottom"/>
            <w:tcBorders>
              <w:bottom w:val="single" w:sz="8" w:color="E5E5E5"/>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December 31, 2019</w:t>
            </w:r>
          </w:p>
        </w:tc>
      </w:tr>
      <w:tr>
        <w:trPr>
          <w:trHeight w:val="185"/>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Principal debt balance</w:t>
            </w:r>
            <w:r>
              <w:rPr>
                <w:rFonts w:ascii="Arial" w:cs="Arial" w:eastAsia="Arial" w:hAnsi="Arial"/>
                <w:sz w:val="16"/>
                <w:szCs w:val="16"/>
                <w:color w:val="auto"/>
                <w:vertAlign w:val="superscript"/>
              </w:rPr>
              <w:t>(1)</w:t>
            </w:r>
          </w:p>
        </w:tc>
        <w:tc>
          <w:tcPr>
            <w:tcW w:w="220" w:type="dxa"/>
            <w:vAlign w:val="bottom"/>
            <w:shd w:val="clear" w:color="auto" w:fill="E5E5E5"/>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5,082</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97"/>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4,313</w:t>
            </w:r>
          </w:p>
        </w:tc>
      </w:tr>
      <w:tr>
        <w:trPr>
          <w:trHeight w:val="184"/>
        </w:trPr>
        <w:tc>
          <w:tcPr>
            <w:tcW w:w="7400" w:type="dxa"/>
            <w:vAlign w:val="bottom"/>
            <w:gridSpan w:val="2"/>
          </w:tcPr>
          <w:p>
            <w:pPr>
              <w:ind w:left="20"/>
              <w:spacing w:after="0"/>
              <w:rPr>
                <w:sz w:val="20"/>
                <w:szCs w:val="20"/>
                <w:color w:val="auto"/>
              </w:rPr>
            </w:pPr>
            <w:r>
              <w:rPr>
                <w:rFonts w:ascii="Arial" w:cs="Arial" w:eastAsia="Arial" w:hAnsi="Arial"/>
                <w:sz w:val="13"/>
                <w:szCs w:val="13"/>
                <w:color w:val="auto"/>
              </w:rPr>
              <w:t>Net unamortized discount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4"/>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Debt issuance costs</w:t>
            </w:r>
          </w:p>
        </w:tc>
        <w:tc>
          <w:tcPr>
            <w:tcW w:w="220" w:type="dxa"/>
            <w:vAlign w:val="bottom"/>
            <w:shd w:val="clear" w:color="auto" w:fill="E5E5E5"/>
          </w:tcPr>
          <w:p>
            <w:pPr>
              <w:spacing w:after="0"/>
              <w:rPr>
                <w:sz w:val="16"/>
                <w:szCs w:val="16"/>
                <w:color w:val="auto"/>
              </w:rPr>
            </w:pPr>
          </w:p>
        </w:tc>
        <w:tc>
          <w:tcPr>
            <w:tcW w:w="16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(17)</w:t>
            </w:r>
          </w:p>
        </w:tc>
      </w:tr>
      <w:tr>
        <w:trPr>
          <w:trHeight w:val="165"/>
        </w:trPr>
        <w:tc>
          <w:tcPr>
            <w:tcW w:w="7400" w:type="dxa"/>
            <w:vAlign w:val="bottom"/>
            <w:gridSpan w:val="2"/>
          </w:tcPr>
          <w:p>
            <w:pPr>
              <w:ind w:left="20"/>
              <w:spacing w:after="0" w:line="165" w:lineRule="exact"/>
              <w:rPr>
                <w:sz w:val="20"/>
                <w:szCs w:val="20"/>
                <w:color w:val="auto"/>
              </w:rPr>
            </w:pPr>
            <w:r>
              <w:rPr>
                <w:rFonts w:ascii="Arial" w:cs="Arial" w:eastAsia="Arial" w:hAnsi="Arial"/>
                <w:sz w:val="13"/>
                <w:szCs w:val="13"/>
                <w:color w:val="auto"/>
              </w:rPr>
              <w:t>Fair value adjustments</w:t>
            </w:r>
            <w:r>
              <w:rPr>
                <w:rFonts w:ascii="Arial" w:cs="Arial" w:eastAsia="Arial" w:hAnsi="Arial"/>
                <w:sz w:val="16"/>
                <w:szCs w:val="16"/>
                <w:color w:val="auto"/>
                <w:vertAlign w:val="superscript"/>
              </w:rPr>
              <w:t>(2)</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9"/>
        </w:trPr>
        <w:tc>
          <w:tcPr>
            <w:tcW w:w="7400" w:type="dxa"/>
            <w:vAlign w:val="bottom"/>
            <w:gridSpan w:val="2"/>
            <w:shd w:val="clear" w:color="auto" w:fill="E5E5E5"/>
          </w:tcPr>
          <w:p>
            <w:pPr>
              <w:ind w:left="280"/>
              <w:spacing w:after="0"/>
              <w:rPr>
                <w:sz w:val="20"/>
                <w:szCs w:val="20"/>
                <w:color w:val="auto"/>
              </w:rPr>
            </w:pPr>
            <w:r>
              <w:rPr>
                <w:rFonts w:ascii="Arial" w:cs="Arial" w:eastAsia="Arial" w:hAnsi="Arial"/>
                <w:sz w:val="13"/>
                <w:szCs w:val="13"/>
                <w:color w:val="auto"/>
              </w:rPr>
              <w:t>- terminated swaps</w:t>
            </w:r>
          </w:p>
        </w:tc>
        <w:tc>
          <w:tcPr>
            <w:tcW w:w="220" w:type="dxa"/>
            <w:vAlign w:val="bottom"/>
            <w:shd w:val="clear" w:color="auto" w:fill="E5E5E5"/>
          </w:tcPr>
          <w:p>
            <w:pPr>
              <w:spacing w:after="0"/>
              <w:rPr>
                <w:sz w:val="16"/>
                <w:szCs w:val="16"/>
                <w:color w:val="auto"/>
              </w:rPr>
            </w:pPr>
          </w:p>
        </w:tc>
        <w:tc>
          <w:tcPr>
            <w:tcW w:w="16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w:t>
            </w:r>
          </w:p>
        </w:tc>
      </w:tr>
      <w:tr>
        <w:trPr>
          <w:trHeight w:val="184"/>
        </w:trPr>
        <w:tc>
          <w:tcPr>
            <w:tcW w:w="7400" w:type="dxa"/>
            <w:vAlign w:val="bottom"/>
            <w:gridSpan w:val="2"/>
          </w:tcPr>
          <w:p>
            <w:pPr>
              <w:ind w:left="280"/>
              <w:spacing w:after="0"/>
              <w:rPr>
                <w:sz w:val="20"/>
                <w:szCs w:val="20"/>
                <w:color w:val="auto"/>
              </w:rPr>
            </w:pPr>
            <w:r>
              <w:rPr>
                <w:rFonts w:ascii="Arial" w:cs="Arial" w:eastAsia="Arial" w:hAnsi="Arial"/>
                <w:sz w:val="13"/>
                <w:szCs w:val="13"/>
                <w:color w:val="auto"/>
              </w:rPr>
              <w:t>- current swaps</w:t>
            </w:r>
          </w:p>
        </w:tc>
        <w:tc>
          <w:tcPr>
            <w:tcW w:w="220" w:type="dxa"/>
            <w:vAlign w:val="bottom"/>
          </w:tcPr>
          <w:p>
            <w:pPr>
              <w:spacing w:after="0"/>
              <w:rPr>
                <w:sz w:val="16"/>
                <w:szCs w:val="16"/>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0"/>
        </w:trPr>
        <w:tc>
          <w:tcPr>
            <w:tcW w:w="740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Total Debt</w:t>
            </w:r>
          </w:p>
        </w:tc>
        <w:tc>
          <w:tcPr>
            <w:tcW w:w="220" w:type="dxa"/>
            <w:vAlign w:val="bottom"/>
            <w:tcBorders>
              <w:top w:val="single" w:sz="8" w:color="auto"/>
              <w:bottom w:val="single" w:sz="8" w:color="auto"/>
            </w:tcBorders>
            <w:shd w:val="clear" w:color="auto" w:fill="E5E5E5"/>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5,054</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240" w:type="dxa"/>
            <w:vAlign w:val="bottom"/>
            <w:tcBorders>
              <w:top w:val="single" w:sz="8" w:color="auto"/>
              <w:bottom w:val="single" w:sz="8" w:color="auto"/>
            </w:tcBorders>
            <w:shd w:val="clear" w:color="auto" w:fill="E5E5E5"/>
          </w:tcPr>
          <w:p>
            <w:pPr>
              <w:jc w:val="right"/>
              <w:ind w:right="97"/>
              <w:spacing w:after="0"/>
              <w:rPr>
                <w:sz w:val="20"/>
                <w:szCs w:val="20"/>
                <w:color w:val="auto"/>
              </w:rPr>
            </w:pPr>
            <w:r>
              <w:rPr>
                <w:rFonts w:ascii="Arial" w:cs="Arial" w:eastAsia="Arial" w:hAnsi="Arial"/>
                <w:sz w:val="13"/>
                <w:szCs w:val="13"/>
                <w:color w:val="auto"/>
                <w:w w:val="82"/>
              </w:rPr>
              <w:t>$</w:t>
            </w:r>
          </w:p>
        </w:tc>
        <w:tc>
          <w:tcPr>
            <w:tcW w:w="16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4,282</w:t>
            </w:r>
          </w:p>
        </w:tc>
      </w:tr>
      <w:tr>
        <w:trPr>
          <w:trHeight w:val="20"/>
        </w:trPr>
        <w:tc>
          <w:tcPr>
            <w:tcW w:w="72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6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620" w:type="dxa"/>
            <w:vAlign w:val="bottom"/>
            <w:tcBorders>
              <w:top w:val="single" w:sz="8" w:color="E5E5E5"/>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180" w:lineRule="exact"/>
        <w:rPr>
          <w:sz w:val="20"/>
          <w:szCs w:val="20"/>
          <w:color w:val="auto"/>
        </w:rPr>
      </w:pPr>
    </w:p>
    <w:p>
      <w:pPr>
        <w:ind w:left="285" w:hanging="285"/>
        <w:spacing w:after="0"/>
        <w:tabs>
          <w:tab w:leader="none" w:pos="285" w:val="left"/>
        </w:tabs>
        <w:numPr>
          <w:ilvl w:val="0"/>
          <w:numId w:val="2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Notes Payable of $2 million as of September 30, 2020. There were no Notes Payable as of December 31, 2019.</w:t>
      </w:r>
    </w:p>
    <w:p>
      <w:pPr>
        <w:jc w:val="both"/>
        <w:ind w:left="285" w:right="20" w:hanging="285"/>
        <w:spacing w:after="0" w:line="216" w:lineRule="auto"/>
        <w:tabs>
          <w:tab w:leader="none" w:pos="279" w:val="left"/>
        </w:tabs>
        <w:numPr>
          <w:ilvl w:val="0"/>
          <w:numId w:val="2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29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DA2031"/>
        </w:rPr>
        <w:t>Debt Activity</w:t>
      </w:r>
    </w:p>
    <w:p>
      <w:pPr>
        <w:spacing w:after="0" w:line="124" w:lineRule="exact"/>
        <w:rPr>
          <w:sz w:val="20"/>
          <w:szCs w:val="20"/>
          <w:color w:val="auto"/>
        </w:rPr>
      </w:pPr>
    </w:p>
    <w:p>
      <w:pPr>
        <w:ind w:left="5" w:right="100"/>
        <w:spacing w:after="0" w:line="248" w:lineRule="auto"/>
        <w:rPr>
          <w:sz w:val="20"/>
          <w:szCs w:val="20"/>
          <w:color w:val="auto"/>
        </w:rPr>
      </w:pPr>
      <w:r>
        <w:rPr>
          <w:rFonts w:ascii="Arial" w:cs="Arial" w:eastAsia="Arial" w:hAnsi="Arial"/>
          <w:sz w:val="16"/>
          <w:szCs w:val="16"/>
          <w:color w:val="auto"/>
        </w:rPr>
        <w:t>In August 2020, we issued $750 million of 5.00% Senior Notes due 2025, and $750 million of 5.50% Senior Notes due 2028, resulting in aggregate net proceeds of $1,494 million after fees, expenses and premium. Interest on these Senior Notes is payable semiannually. Debt issuance costs of approximately $13 million were paid and deferred in connection with the issuance of these Senior Notes and will be amortized over their term. The proceeds were used to refinance $738 million of Senior Notes due in third quarter 2020.</w:t>
      </w:r>
    </w:p>
    <w:p>
      <w:pPr>
        <w:spacing w:after="0" w:line="90"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In addition, in October 2020, we completed the early redemption of $750 million of the $1,062 million of 4.50% Senior Notes due May 2021, for $769 million in cash consideration, which included a redemption premium of $19 million. The early redemption resulted in a net loss of $18 million (which includes the write-off of debt carrying value adjustments) that we expect to record in the fourth quarter 2020. After completion of the early redemption, approximately $312 million of the 4.50% Senior Notes due May 2021 remain outstanding.</w:t>
      </w:r>
    </w:p>
    <w:p>
      <w:pPr>
        <w:spacing w:after="0" w:line="90"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In July 2020, we entered into an amendment of the company's $1.8 billion Credit Facility, which modified the financial covenants in the Credit Agreement to require that Xerox must maintain unrestricted cash in an amount not less than $1.0 billion. Further, the Amendment relaxed the financial maintenance leverage covenant in the Credit Agreement by requiring that Xerox maintain a ratio of net debt for borrowed money to consolidated EBITDA of not greater than 4.25:1.00 (with a cap on cash netting of $1.75 billion), in lieu of the 4.25:1.00 total debt for borrowed money to consolidated EBITDA ratio requirement applicable prior to the Amendment.</w:t>
      </w:r>
    </w:p>
    <w:p>
      <w:pPr>
        <w:spacing w:after="0" w:line="89" w:lineRule="exact"/>
        <w:rPr>
          <w:sz w:val="20"/>
          <w:szCs w:val="20"/>
          <w:color w:val="auto"/>
        </w:rPr>
      </w:pPr>
    </w:p>
    <w:p>
      <w:pPr>
        <w:jc w:val="both"/>
        <w:ind w:left="5"/>
        <w:spacing w:after="0" w:line="247" w:lineRule="auto"/>
        <w:rPr>
          <w:sz w:val="20"/>
          <w:szCs w:val="20"/>
          <w:color w:val="auto"/>
        </w:rPr>
      </w:pPr>
      <w:r>
        <w:rPr>
          <w:rFonts w:ascii="Arial" w:cs="Arial" w:eastAsia="Arial" w:hAnsi="Arial"/>
          <w:sz w:val="16"/>
          <w:szCs w:val="16"/>
          <w:color w:val="auto"/>
        </w:rPr>
        <w:t>Also in July 2020, we entered into a secured loan agreement with a financial institution where we sold $355 million of U.S. based finance receivables and the rights to payments under operating leases with an equipment net book value of $10 million to a special purpose entity (SPE). The purchase by the SPE was funded through an amortizing secured loan to the SPE from the financial institution of $340 million. The SPE is fully consolidated in our financial statements. The debt has a variable interest rate based on LIBOR plus a spread (rate of 1.73% as of September 30, 2020) and an expected life of less than three years with half projected to be repaid within the first year based on estimated collections of the underlying portfolio of receivables. We also entered into an interest rate hedge agreement to cap LIBOR over the life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5"/>
          </w:cols>
          <w:pgMar w:left="315" w:top="1053" w:right="319" w:bottom="1440" w:gutter="0" w:footer="0" w:header="0"/>
        </w:sectPr>
      </w:pPr>
    </w:p>
    <w:bookmarkStart w:id="26" w:name="page27"/>
    <w:bookmarkEnd w:id="26"/>
    <w:p>
      <w:pPr>
        <w:ind w:left="5"/>
        <w:spacing w:after="0"/>
        <w:rPr>
          <w:sz w:val="20"/>
          <w:szCs w:val="20"/>
          <w:color w:val="auto"/>
        </w:rPr>
      </w:pPr>
      <w:r>
        <w:rPr>
          <w:rFonts w:ascii="Arial" w:cs="Arial" w:eastAsia="Arial" w:hAnsi="Arial"/>
          <w:sz w:val="17"/>
          <w:szCs w:val="17"/>
          <w:b w:val="1"/>
          <w:bCs w:val="1"/>
          <w:color w:val="DA2031"/>
        </w:rPr>
        <w:t>Finance Assets and Related Debt</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represents our total finance assets, net associated with our lease and finance operations:</w:t>
      </w:r>
    </w:p>
    <w:p>
      <w:pPr>
        <w:spacing w:after="0" w:line="140"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September 30, 2020</w:t>
            </w:r>
          </w:p>
        </w:tc>
        <w:tc>
          <w:tcPr>
            <w:tcW w:w="100" w:type="dxa"/>
            <w:vAlign w:val="bottom"/>
            <w:tcBorders>
              <w:bottom w:val="single" w:sz="8" w:color="E5E5E5"/>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December 31, 2019</w:t>
            </w:r>
          </w:p>
        </w:tc>
      </w:tr>
      <w:tr>
        <w:trPr>
          <w:trHeight w:val="185"/>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Total finance receivables, net</w:t>
            </w:r>
            <w:r>
              <w:rPr>
                <w:rFonts w:ascii="Arial" w:cs="Arial" w:eastAsia="Arial" w:hAnsi="Arial"/>
                <w:sz w:val="16"/>
                <w:szCs w:val="16"/>
                <w:color w:val="auto"/>
                <w:vertAlign w:val="superscript"/>
              </w:rPr>
              <w:t>(1)</w:t>
            </w:r>
          </w:p>
        </w:tc>
        <w:tc>
          <w:tcPr>
            <w:tcW w:w="220" w:type="dxa"/>
            <w:vAlign w:val="bottom"/>
            <w:shd w:val="clear" w:color="auto" w:fill="E5E5E5"/>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3,076</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jc w:val="right"/>
              <w:ind w:right="97"/>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3,351</w:t>
            </w:r>
          </w:p>
        </w:tc>
      </w:tr>
      <w:tr>
        <w:trPr>
          <w:trHeight w:val="184"/>
        </w:trPr>
        <w:tc>
          <w:tcPr>
            <w:tcW w:w="740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Equipment on operating leases, net</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301</w:t>
            </w:r>
          </w:p>
        </w:tc>
        <w:tc>
          <w:tcPr>
            <w:tcW w:w="10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r>
      <w:tr>
        <w:trPr>
          <w:trHeight w:val="210"/>
        </w:trPr>
        <w:tc>
          <w:tcPr>
            <w:tcW w:w="74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Total Finance Assets, net</w:t>
            </w:r>
            <w:r>
              <w:rPr>
                <w:rFonts w:ascii="Arial" w:cs="Arial" w:eastAsia="Arial" w:hAnsi="Arial"/>
                <w:sz w:val="16"/>
                <w:szCs w:val="16"/>
                <w:b w:val="1"/>
                <w:bCs w:val="1"/>
                <w:color w:val="auto"/>
                <w:vertAlign w:val="superscript"/>
              </w:rPr>
              <w:t>(2)</w:t>
            </w:r>
          </w:p>
        </w:tc>
        <w:tc>
          <w:tcPr>
            <w:tcW w:w="2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3,377</w:t>
            </w:r>
          </w:p>
        </w:tc>
        <w:tc>
          <w:tcPr>
            <w:tcW w:w="100" w:type="dxa"/>
            <w:vAlign w:val="bottom"/>
            <w:tcBorders>
              <w:bottom w:val="single" w:sz="8" w:color="E5E5E5"/>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3,715</w:t>
            </w:r>
          </w:p>
        </w:tc>
      </w:tr>
      <w:tr>
        <w:trPr>
          <w:trHeight w:val="20"/>
        </w:trPr>
        <w:tc>
          <w:tcPr>
            <w:tcW w:w="72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6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620" w:type="dxa"/>
            <w:vAlign w:val="bottom"/>
            <w:tcBorders>
              <w:top w:val="single" w:sz="8" w:color="E5E5E5"/>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
        <w:spacing w:after="0"/>
        <w:rPr>
          <w:sz w:val="20"/>
          <w:szCs w:val="20"/>
          <w:color w:val="auto"/>
        </w:rPr>
      </w:pPr>
      <w:r>
        <w:rPr>
          <w:rFonts w:ascii="Arial" w:cs="Arial" w:eastAsia="Arial" w:hAnsi="Arial"/>
          <w:sz w:val="9"/>
          <w:szCs w:val="9"/>
          <w:i w:val="1"/>
          <w:iCs w:val="1"/>
          <w:color w:val="auto"/>
        </w:rPr>
        <w:t>____________________________</w:t>
      </w:r>
    </w:p>
    <w:p>
      <w:pPr>
        <w:spacing w:after="0" w:line="106" w:lineRule="exact"/>
        <w:rPr>
          <w:sz w:val="20"/>
          <w:szCs w:val="20"/>
          <w:color w:val="auto"/>
        </w:rPr>
      </w:pPr>
    </w:p>
    <w:p>
      <w:pPr>
        <w:ind w:left="285" w:hanging="285"/>
        <w:spacing w:after="0"/>
        <w:tabs>
          <w:tab w:leader="none" w:pos="285" w:val="left"/>
        </w:tabs>
        <w:numPr>
          <w:ilvl w:val="0"/>
          <w:numId w:val="2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Includes (i) Billed portion of finance receivables, net, (ii) Finance receivables, net and (iii) Finance receivables due after one year, net as included in our Condensed Consolidated Balance Sheets.</w:t>
      </w:r>
    </w:p>
    <w:p>
      <w:pPr>
        <w:spacing w:after="0" w:line="52" w:lineRule="exact"/>
        <w:rPr>
          <w:rFonts w:ascii="Arial" w:cs="Arial" w:eastAsia="Arial" w:hAnsi="Arial"/>
          <w:sz w:val="15"/>
          <w:szCs w:val="15"/>
          <w:i w:val="1"/>
          <w:iCs w:val="1"/>
          <w:color w:val="auto"/>
          <w:vertAlign w:val="superscript"/>
        </w:rPr>
      </w:pPr>
    </w:p>
    <w:p>
      <w:pPr>
        <w:ind w:left="285" w:hanging="285"/>
        <w:spacing w:after="0"/>
        <w:tabs>
          <w:tab w:leader="none" w:pos="285" w:val="left"/>
        </w:tabs>
        <w:numPr>
          <w:ilvl w:val="0"/>
          <w:numId w:val="2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change from December 31, 2019 includes an increase of $24 million due to currency.</w:t>
      </w:r>
    </w:p>
    <w:p>
      <w:pPr>
        <w:spacing w:after="0" w:line="268" w:lineRule="exact"/>
        <w:rPr>
          <w:sz w:val="20"/>
          <w:szCs w:val="20"/>
          <w:color w:val="auto"/>
        </w:rPr>
      </w:pPr>
    </w:p>
    <w:p>
      <w:pPr>
        <w:jc w:val="both"/>
        <w:ind w:left="5" w:right="20"/>
        <w:spacing w:after="0" w:line="249" w:lineRule="auto"/>
        <w:rPr>
          <w:sz w:val="20"/>
          <w:szCs w:val="20"/>
          <w:color w:val="auto"/>
        </w:rPr>
      </w:pPr>
      <w:r>
        <w:rPr>
          <w:rFonts w:ascii="Arial" w:cs="Arial" w:eastAsia="Arial" w:hAnsi="Arial"/>
          <w:sz w:val="16"/>
          <w:szCs w:val="16"/>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278" w:lineRule="exact"/>
        <w:rPr>
          <w:sz w:val="20"/>
          <w:szCs w:val="20"/>
          <w:color w:val="auto"/>
        </w:rPr>
      </w:pPr>
    </w:p>
    <w:p>
      <w:pPr>
        <w:ind w:left="5"/>
        <w:spacing w:after="0"/>
        <w:rPr>
          <w:sz w:val="20"/>
          <w:szCs w:val="20"/>
          <w:color w:val="auto"/>
        </w:rPr>
      </w:pPr>
      <w:r>
        <w:rPr>
          <w:rFonts w:ascii="Arial" w:cs="Arial" w:eastAsia="Arial" w:hAnsi="Arial"/>
          <w:sz w:val="16"/>
          <w:szCs w:val="16"/>
          <w:color w:val="auto"/>
        </w:rPr>
        <w:t>Based on this leverage, the following represents the breakdown of total debt between financing debt and core debt:</w:t>
      </w:r>
    </w:p>
    <w:p>
      <w:pPr>
        <w:sectPr>
          <w:pgSz w:w="11900" w:h="16838" w:orient="portrait"/>
          <w:cols w:equalWidth="0" w:num="1">
            <w:col w:w="11265"/>
          </w:cols>
          <w:pgMar w:left="315" w:top="894" w:right="31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5"/>
        <w:spacing w:after="0"/>
        <w:rPr>
          <w:sz w:val="20"/>
          <w:szCs w:val="20"/>
          <w:color w:val="auto"/>
        </w:rPr>
      </w:pPr>
      <w:r>
        <w:rPr>
          <w:rFonts w:ascii="Arial" w:cs="Arial" w:eastAsia="Arial" w:hAnsi="Arial"/>
          <w:sz w:val="11"/>
          <w:szCs w:val="11"/>
          <w:color w:val="auto"/>
        </w:rPr>
        <w:t>(in millions)</w:t>
      </w:r>
    </w:p>
    <w:p>
      <w:pPr>
        <w:spacing w:after="0" w:line="65" w:lineRule="exact"/>
        <w:rPr>
          <w:sz w:val="20"/>
          <w:szCs w:val="20"/>
          <w:color w:val="auto"/>
        </w:rPr>
      </w:pPr>
    </w:p>
    <w:p>
      <w:pPr>
        <w:ind w:left="25"/>
        <w:spacing w:after="0"/>
        <w:rPr>
          <w:sz w:val="20"/>
          <w:szCs w:val="20"/>
          <w:color w:val="auto"/>
        </w:rPr>
      </w:pPr>
      <w:r>
        <w:rPr>
          <w:rFonts w:ascii="Arial" w:cs="Arial" w:eastAsia="Arial" w:hAnsi="Arial"/>
          <w:sz w:val="13"/>
          <w:szCs w:val="13"/>
          <w:color w:val="auto"/>
        </w:rPr>
        <w:t>Finance receivables debt</w:t>
      </w:r>
      <w:r>
        <w:rPr>
          <w:rFonts w:ascii="Arial" w:cs="Arial" w:eastAsia="Arial" w:hAnsi="Arial"/>
          <w:sz w:val="16"/>
          <w:szCs w:val="16"/>
          <w:color w:val="auto"/>
          <w:vertAlign w:val="superscript"/>
        </w:rPr>
        <w:t>(1)</w:t>
      </w:r>
    </w:p>
    <w:p>
      <w:pPr>
        <w:spacing w:after="0" w:line="1" w:lineRule="exact"/>
        <w:rPr>
          <w:sz w:val="20"/>
          <w:szCs w:val="20"/>
          <w:color w:val="auto"/>
        </w:rPr>
      </w:pPr>
    </w:p>
    <w:p>
      <w:pPr>
        <w:ind w:left="25"/>
        <w:spacing w:after="0"/>
        <w:rPr>
          <w:sz w:val="20"/>
          <w:szCs w:val="20"/>
          <w:color w:val="auto"/>
        </w:rPr>
      </w:pPr>
      <w:r>
        <w:rPr>
          <w:rFonts w:ascii="Arial" w:cs="Arial" w:eastAsia="Arial" w:hAnsi="Arial"/>
          <w:sz w:val="12"/>
          <w:szCs w:val="12"/>
          <w:color w:val="auto"/>
        </w:rPr>
        <w:t>Equipment on operating leases debt</w:t>
      </w:r>
    </w:p>
    <w:p>
      <w:pPr>
        <w:spacing w:after="0" w:line="63" w:lineRule="exact"/>
        <w:rPr>
          <w:sz w:val="20"/>
          <w:szCs w:val="20"/>
          <w:color w:val="auto"/>
        </w:rPr>
      </w:pPr>
    </w:p>
    <w:p>
      <w:pPr>
        <w:ind w:left="25"/>
        <w:spacing w:after="0"/>
        <w:rPr>
          <w:sz w:val="20"/>
          <w:szCs w:val="20"/>
          <w:color w:val="auto"/>
        </w:rPr>
      </w:pPr>
      <w:r>
        <w:rPr>
          <w:rFonts w:ascii="Arial" w:cs="Arial" w:eastAsia="Arial" w:hAnsi="Arial"/>
          <w:sz w:val="13"/>
          <w:szCs w:val="13"/>
          <w:color w:val="auto"/>
        </w:rPr>
        <w:t>Financing debt</w:t>
      </w:r>
    </w:p>
    <w:p>
      <w:pPr>
        <w:spacing w:after="0" w:line="40" w:lineRule="exact"/>
        <w:rPr>
          <w:sz w:val="20"/>
          <w:szCs w:val="20"/>
          <w:color w:val="auto"/>
        </w:rPr>
      </w:pPr>
    </w:p>
    <w:p>
      <w:pPr>
        <w:ind w:left="25"/>
        <w:spacing w:after="0"/>
        <w:rPr>
          <w:sz w:val="20"/>
          <w:szCs w:val="20"/>
          <w:color w:val="auto"/>
        </w:rPr>
      </w:pPr>
      <w:r>
        <w:rPr>
          <w:rFonts w:ascii="Arial" w:cs="Arial" w:eastAsia="Arial" w:hAnsi="Arial"/>
          <w:sz w:val="13"/>
          <w:szCs w:val="13"/>
          <w:color w:val="auto"/>
        </w:rPr>
        <w:t>Core debt</w:t>
      </w:r>
    </w:p>
    <w:p>
      <w:pPr>
        <w:spacing w:after="0" w:line="59" w:lineRule="exact"/>
        <w:rPr>
          <w:sz w:val="20"/>
          <w:szCs w:val="20"/>
          <w:color w:val="auto"/>
        </w:rPr>
      </w:pPr>
    </w:p>
    <w:p>
      <w:pPr>
        <w:ind w:left="25"/>
        <w:spacing w:after="0"/>
        <w:rPr>
          <w:sz w:val="20"/>
          <w:szCs w:val="20"/>
          <w:color w:val="auto"/>
        </w:rPr>
      </w:pPr>
      <w:r>
        <w:rPr>
          <w:rFonts w:ascii="Arial" w:cs="Arial" w:eastAsia="Arial" w:hAnsi="Arial"/>
          <w:sz w:val="13"/>
          <w:szCs w:val="13"/>
          <w:b w:val="1"/>
          <w:bCs w:val="1"/>
          <w:color w:val="auto"/>
        </w:rPr>
        <w:t>Total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740" w:type="dxa"/>
            <w:vAlign w:val="bottom"/>
            <w:gridSpan w:val="2"/>
          </w:tcPr>
          <w:p>
            <w:pPr>
              <w:ind w:left="140"/>
              <w:spacing w:after="0"/>
              <w:rPr>
                <w:sz w:val="20"/>
                <w:szCs w:val="20"/>
                <w:color w:val="auto"/>
              </w:rPr>
            </w:pPr>
            <w:r>
              <w:rPr>
                <w:rFonts w:ascii="Arial" w:cs="Arial" w:eastAsia="Arial" w:hAnsi="Arial"/>
                <w:sz w:val="13"/>
                <w:szCs w:val="13"/>
                <w:color w:val="auto"/>
              </w:rPr>
              <w:t>September 30, 2020</w:t>
            </w:r>
          </w:p>
        </w:tc>
        <w:tc>
          <w:tcPr>
            <w:tcW w:w="240" w:type="dxa"/>
            <w:vAlign w:val="bottom"/>
          </w:tcPr>
          <w:p>
            <w:pPr>
              <w:spacing w:after="0"/>
              <w:rPr>
                <w:sz w:val="13"/>
                <w:szCs w:val="13"/>
                <w:color w:val="auto"/>
              </w:rPr>
            </w:pPr>
          </w:p>
        </w:tc>
        <w:tc>
          <w:tcPr>
            <w:tcW w:w="1620" w:type="dxa"/>
            <w:vAlign w:val="bottom"/>
          </w:tcPr>
          <w:p>
            <w:pPr>
              <w:jc w:val="right"/>
              <w:ind w:right="317"/>
              <w:spacing w:after="0"/>
              <w:rPr>
                <w:sz w:val="20"/>
                <w:szCs w:val="20"/>
                <w:color w:val="auto"/>
              </w:rPr>
            </w:pPr>
            <w:r>
              <w:rPr>
                <w:rFonts w:ascii="Arial" w:cs="Arial" w:eastAsia="Arial" w:hAnsi="Arial"/>
                <w:sz w:val="13"/>
                <w:szCs w:val="13"/>
                <w:color w:val="auto"/>
              </w:rPr>
              <w:t>December 31, 2019</w:t>
            </w:r>
          </w:p>
        </w:tc>
      </w:tr>
      <w:tr>
        <w:trPr>
          <w:trHeight w:val="176"/>
        </w:trPr>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2,692</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2,932</w:t>
            </w:r>
          </w:p>
        </w:tc>
      </w:tr>
      <w:tr>
        <w:trPr>
          <w:trHeight w:val="194"/>
        </w:trPr>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w:t>
            </w:r>
          </w:p>
        </w:tc>
      </w:tr>
      <w:tr>
        <w:trPr>
          <w:trHeight w:val="176"/>
        </w:trPr>
        <w:tc>
          <w:tcPr>
            <w:tcW w:w="220" w:type="dxa"/>
            <w:vAlign w:val="bottom"/>
          </w:tcPr>
          <w:p>
            <w:pPr>
              <w:spacing w:after="0"/>
              <w:rPr>
                <w:sz w:val="15"/>
                <w:szCs w:val="15"/>
                <w:color w:val="auto"/>
              </w:rPr>
            </w:pPr>
          </w:p>
        </w:tc>
        <w:tc>
          <w:tcPr>
            <w:tcW w:w="1640" w:type="dxa"/>
            <w:vAlign w:val="bottom"/>
          </w:tcPr>
          <w:p>
            <w:pPr>
              <w:jc w:val="right"/>
              <w:ind w:right="17"/>
              <w:spacing w:after="0"/>
              <w:rPr>
                <w:sz w:val="20"/>
                <w:szCs w:val="20"/>
                <w:color w:val="auto"/>
              </w:rPr>
            </w:pPr>
            <w:r>
              <w:rPr>
                <w:rFonts w:ascii="Arial" w:cs="Arial" w:eastAsia="Arial" w:hAnsi="Arial"/>
                <w:sz w:val="13"/>
                <w:szCs w:val="13"/>
                <w:color w:val="auto"/>
              </w:rPr>
              <w:t>2,955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3,251</w:t>
            </w:r>
          </w:p>
        </w:tc>
      </w:tr>
      <w:tr>
        <w:trPr>
          <w:trHeight w:val="194"/>
        </w:trPr>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2,099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1,031</w:t>
            </w:r>
          </w:p>
        </w:tc>
      </w:tr>
      <w:tr>
        <w:trPr>
          <w:trHeight w:val="181"/>
        </w:trPr>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5,054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-404495</wp:posOffset>
            </wp:positionV>
            <wp:extent cx="7134225" cy="127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2763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-156845</wp:posOffset>
            </wp:positionV>
            <wp:extent cx="7134225" cy="142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42240"/>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-652145</wp:posOffset>
            </wp:positionV>
            <wp:extent cx="7134225" cy="127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2763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6685" w:space="720"/>
            <w:col w:w="3860"/>
          </w:cols>
          <w:pgMar w:left="315" w:top="894" w:right="319" w:bottom="1440" w:gutter="0" w:footer="0" w:header="0"/>
          <w:type w:val="continuous"/>
        </w:sectPr>
      </w:pPr>
    </w:p>
    <w:p>
      <w:pPr>
        <w:ind w:left="5"/>
        <w:spacing w:after="0"/>
        <w:rPr>
          <w:sz w:val="20"/>
          <w:szCs w:val="20"/>
          <w:color w:val="auto"/>
        </w:rPr>
      </w:pPr>
      <w:r>
        <w:rPr>
          <w:rFonts w:ascii="Arial" w:cs="Arial" w:eastAsia="Arial" w:hAnsi="Arial"/>
          <w:sz w:val="9"/>
          <w:szCs w:val="9"/>
          <w:color w:val="auto"/>
        </w:rPr>
        <w:t>____________________________</w:t>
      </w:r>
    </w:p>
    <w:p>
      <w:pPr>
        <w:spacing w:after="0" w:line="25" w:lineRule="exact"/>
        <w:rPr>
          <w:sz w:val="20"/>
          <w:szCs w:val="20"/>
          <w:color w:val="auto"/>
        </w:rPr>
      </w:pPr>
    </w:p>
    <w:p>
      <w:pPr>
        <w:ind w:left="285" w:hanging="285"/>
        <w:spacing w:after="0"/>
        <w:tabs>
          <w:tab w:leader="none" w:pos="285" w:val="left"/>
        </w:tabs>
        <w:numPr>
          <w:ilvl w:val="0"/>
          <w:numId w:val="2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Finance receivables debt is the basis for our calculation of "Cost of financing" expense in the Condensed Consolidated Statements of Income.</w:t>
      </w:r>
    </w:p>
    <w:p>
      <w:pPr>
        <w:spacing w:after="0" w:line="205"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Sales of Accounts Receivable</w:t>
      </w:r>
    </w:p>
    <w:p>
      <w:pPr>
        <w:spacing w:after="0" w:line="21" w:lineRule="exact"/>
        <w:rPr>
          <w:sz w:val="20"/>
          <w:szCs w:val="20"/>
          <w:color w:val="auto"/>
        </w:rPr>
      </w:pPr>
    </w:p>
    <w:p>
      <w:pPr>
        <w:ind w:left="5"/>
        <w:spacing w:after="0" w:line="252" w:lineRule="auto"/>
        <w:rPr>
          <w:sz w:val="20"/>
          <w:szCs w:val="20"/>
          <w:color w:val="auto"/>
        </w:rPr>
      </w:pPr>
      <w:r>
        <w:rPr>
          <w:rFonts w:ascii="Arial" w:cs="Arial" w:eastAsia="Arial" w:hAnsi="Arial"/>
          <w:sz w:val="16"/>
          <w:szCs w:val="16"/>
          <w:color w:val="auto"/>
        </w:rPr>
        <w:t>Accounts receivable sales arrangements may be utilized in the normal course of business as part of our cash and liquidity management. Accounts receivable sold are generally short-term trade receivables with payment due dates of less than 60 days.</w:t>
      </w:r>
    </w:p>
    <w:p>
      <w:pPr>
        <w:spacing w:after="0" w:line="393" w:lineRule="exact"/>
        <w:rPr>
          <w:sz w:val="20"/>
          <w:szCs w:val="20"/>
          <w:color w:val="auto"/>
        </w:rPr>
      </w:pPr>
    </w:p>
    <w:p>
      <w:pPr>
        <w:ind w:left="5"/>
        <w:spacing w:after="0"/>
        <w:rPr>
          <w:sz w:val="20"/>
          <w:szCs w:val="20"/>
          <w:color w:val="auto"/>
        </w:rPr>
      </w:pPr>
      <w:r>
        <w:rPr>
          <w:rFonts w:ascii="Arial" w:cs="Arial" w:eastAsia="Arial" w:hAnsi="Arial"/>
          <w:sz w:val="16"/>
          <w:szCs w:val="16"/>
          <w:color w:val="auto"/>
        </w:rPr>
        <w:t>Accounts receivable sales activities were as follows:</w:t>
      </w:r>
    </w:p>
    <w:p>
      <w:pPr>
        <w:spacing w:after="0" w:line="120" w:lineRule="exact"/>
        <w:rPr>
          <w:sz w:val="20"/>
          <w:szCs w:val="20"/>
          <w:color w:val="auto"/>
        </w:rPr>
      </w:pPr>
    </w:p>
    <w:p>
      <w:pPr>
        <w:ind w:left="9245"/>
        <w:spacing w:after="0"/>
        <w:rPr>
          <w:sz w:val="20"/>
          <w:szCs w:val="20"/>
          <w:color w:val="auto"/>
        </w:rPr>
      </w:pPr>
      <w:r>
        <w:rPr>
          <w:rFonts w:ascii="Arial" w:cs="Arial" w:eastAsia="Arial" w:hAnsi="Arial"/>
          <w:sz w:val="13"/>
          <w:szCs w:val="13"/>
          <w:color w:val="auto"/>
        </w:rPr>
        <w:t>Three Months Ended</w:t>
      </w:r>
    </w:p>
    <w:p>
      <w:pPr>
        <w:ind w:left="9445"/>
        <w:spacing w:after="0"/>
        <w:rPr>
          <w:sz w:val="20"/>
          <w:szCs w:val="20"/>
          <w:color w:val="auto"/>
        </w:rPr>
      </w:pPr>
      <w:r>
        <w:rPr>
          <w:rFonts w:ascii="Arial" w:cs="Arial" w:eastAsia="Arial" w:hAnsi="Arial"/>
          <w:sz w:val="13"/>
          <w:szCs w:val="13"/>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5386705</wp:posOffset>
            </wp:positionH>
            <wp:positionV relativeFrom="paragraph">
              <wp:posOffset>7620</wp:posOffset>
            </wp:positionV>
            <wp:extent cx="17481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8155" cy="7620"/>
                    </a:xfrm>
                    <a:prstGeom prst="rect">
                      <a:avLst/>
                    </a:prstGeom>
                    <a:noFill/>
                  </pic:spPr>
                </pic:pic>
              </a:graphicData>
            </a:graphic>
          </wp:anchor>
        </w:drawing>
      </w:r>
    </w:p>
    <w:p>
      <w:pPr>
        <w:spacing w:after="0" w:line="31"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E5E5E5"/>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E5E5E5"/>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2019</w:t>
            </w:r>
          </w:p>
        </w:tc>
      </w:tr>
      <w:tr>
        <w:trPr>
          <w:trHeight w:val="185"/>
        </w:trPr>
        <w:tc>
          <w:tcPr>
            <w:tcW w:w="848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Accounts receivable sales</w:t>
            </w:r>
            <w:r>
              <w:rPr>
                <w:rFonts w:ascii="Arial" w:cs="Arial" w:eastAsia="Arial" w:hAnsi="Arial"/>
                <w:sz w:val="16"/>
                <w:szCs w:val="16"/>
                <w:color w:val="auto"/>
                <w:vertAlign w:val="superscript"/>
              </w:rPr>
              <w:t>(1)</w:t>
            </w:r>
          </w:p>
        </w:tc>
        <w:tc>
          <w:tcPr>
            <w:tcW w:w="300" w:type="dxa"/>
            <w:vAlign w:val="bottom"/>
            <w:shd w:val="clear" w:color="auto" w:fill="E5E5E5"/>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jc w:val="right"/>
              <w:ind w:right="157"/>
              <w:spacing w:after="0"/>
              <w:rPr>
                <w:sz w:val="20"/>
                <w:szCs w:val="20"/>
                <w:color w:val="auto"/>
              </w:rPr>
            </w:pPr>
            <w:r>
              <w:rPr>
                <w:rFonts w:ascii="Arial" w:cs="Arial" w:eastAsia="Arial" w:hAnsi="Arial"/>
                <w:sz w:val="13"/>
                <w:szCs w:val="13"/>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67</w:t>
            </w:r>
          </w:p>
        </w:tc>
      </w:tr>
      <w:tr>
        <w:trPr>
          <w:trHeight w:val="241"/>
        </w:trPr>
        <w:tc>
          <w:tcPr>
            <w:tcW w:w="8480" w:type="dxa"/>
            <w:vAlign w:val="bottom"/>
            <w:gridSpan w:val="2"/>
          </w:tcPr>
          <w:p>
            <w:pPr>
              <w:ind w:left="20"/>
              <w:spacing w:after="0"/>
              <w:rPr>
                <w:sz w:val="20"/>
                <w:szCs w:val="20"/>
                <w:color w:val="auto"/>
              </w:rPr>
            </w:pPr>
            <w:r>
              <w:rPr>
                <w:rFonts w:ascii="Arial" w:cs="Arial" w:eastAsia="Arial" w:hAnsi="Arial"/>
                <w:sz w:val="13"/>
                <w:szCs w:val="13"/>
                <w:color w:val="auto"/>
              </w:rPr>
              <w:t>Estimated increase (decrease) to operating cash flows</w:t>
            </w:r>
            <w:r>
              <w:rPr>
                <w:rFonts w:ascii="Arial" w:cs="Arial" w:eastAsia="Arial" w:hAnsi="Arial"/>
                <w:sz w:val="16"/>
                <w:szCs w:val="16"/>
                <w:color w:val="auto"/>
                <w:vertAlign w:val="superscript"/>
              </w:rPr>
              <w:t>(2)</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w:t>
            </w:r>
          </w:p>
        </w:tc>
      </w:tr>
    </w:tbl>
    <w:p>
      <w:pPr>
        <w:spacing w:after="0" w:line="27"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45" w:lineRule="exact"/>
        <w:rPr>
          <w:sz w:val="20"/>
          <w:szCs w:val="20"/>
          <w:color w:val="auto"/>
        </w:rPr>
      </w:pPr>
    </w:p>
    <w:p>
      <w:pPr>
        <w:jc w:val="both"/>
        <w:ind w:left="285" w:right="20" w:hanging="285"/>
        <w:spacing w:after="0" w:line="234" w:lineRule="auto"/>
        <w:tabs>
          <w:tab w:leader="none" w:pos="279" w:val="left"/>
        </w:tabs>
        <w:numPr>
          <w:ilvl w:val="0"/>
          <w:numId w:val="30"/>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Loss on sales were not material. 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ind w:left="285" w:right="20" w:hanging="285"/>
        <w:spacing w:after="0" w:line="211" w:lineRule="auto"/>
        <w:tabs>
          <w:tab w:leader="none" w:pos="279" w:val="left"/>
        </w:tabs>
        <w:numPr>
          <w:ilvl w:val="0"/>
          <w:numId w:val="3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Represents the difference between current and prior period accounts receivable sales adjusted for the effects of currency. In third quarter 2020, the $54 million increase reflects increased sales activity in the channel.</w:t>
      </w:r>
    </w:p>
    <w:p>
      <w:pPr>
        <w:spacing w:after="0" w:line="200" w:lineRule="exact"/>
        <w:rPr>
          <w:sz w:val="20"/>
          <w:szCs w:val="20"/>
          <w:color w:val="auto"/>
        </w:rPr>
      </w:pPr>
    </w:p>
    <w:p>
      <w:pPr>
        <w:spacing w:after="0" w:line="37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5"/>
          </w:cols>
          <w:pgMar w:left="315" w:top="894" w:right="3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2"/>
          <w:szCs w:val="22"/>
          <w:b w:val="1"/>
          <w:bCs w:val="1"/>
          <w:color w:val="DA2031"/>
        </w:rPr>
        <w:t>Shared Services Arrangement with HCL Technologies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March 2019, as part of Project Own It, Xerox entered into a shared services arrangement with HCL Technologies ("HCL") pursuant to which we transitioned certain global administrative and support functions, including, among others, selected information technology and finance functions (excluding accounting), from Xerox to HCL. This transition was expected to be completed during 2020, however, as a result of delays caused by the COVID-19 pandemic, the transition is now expected to extend into 2021. HCL is expected to make certain ongoing investments in software, tools and other technology to consolidate, optimize and automate the transferred functions with the goal of providing improved service levels and significant cost savings. The shared services arrangement with HCL includes a remaining aggregate spending commitment of approximately $1.2 billion over the next 6 years. However, we can terminate the arrangement at any time at our discretion, subject to payment of termination fees that decline over the term, or for cause.</w:t>
      </w:r>
    </w:p>
    <w:p>
      <w:pPr>
        <w:spacing w:after="0" w:line="92"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During third quarter 2020, we incurred net charges of approximately $49 million associated with this arrangement. The cost has been allocated to the various functional expense lines in the Condensed Consolidated Statements of Income based on an assessment of the nature and amount of the costs incurred for the various transferred functions prior to their transfer to HCL.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881" w:right="31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DA2031"/>
        </w:rPr>
        <w:t>Forward-Looking Statements</w:t>
      </w:r>
    </w:p>
    <w:p>
      <w:pPr>
        <w:spacing w:after="0" w:line="12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10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893" w:right="319" w:bottom="1440" w:gutter="0" w:footer="0" w:header="0"/>
        </w:sectPr>
      </w:pPr>
    </w:p>
    <w:bookmarkStart w:id="29" w:name="page30"/>
    <w:bookmarkEnd w:id="29"/>
    <w:p>
      <w:pPr>
        <w:ind w:left="5"/>
        <w:spacing w:after="0"/>
        <w:rPr>
          <w:sz w:val="20"/>
          <w:szCs w:val="20"/>
          <w:color w:val="auto"/>
        </w:rPr>
      </w:pPr>
      <w:r>
        <w:rPr>
          <w:rFonts w:ascii="Arial" w:cs="Arial" w:eastAsia="Arial" w:hAnsi="Arial"/>
          <w:sz w:val="22"/>
          <w:szCs w:val="22"/>
          <w:b w:val="1"/>
          <w:bCs w:val="1"/>
          <w:color w:val="DA2031"/>
        </w:rPr>
        <w:t>Non-GAAP Financial Measures</w:t>
      </w:r>
    </w:p>
    <w:p>
      <w:pPr>
        <w:spacing w:after="0" w:line="222" w:lineRule="exact"/>
        <w:rPr>
          <w:sz w:val="20"/>
          <w:szCs w:val="20"/>
          <w:color w:val="auto"/>
        </w:rPr>
      </w:pPr>
    </w:p>
    <w:p>
      <w:pPr>
        <w:jc w:val="both"/>
        <w:ind w:left="5" w:right="20"/>
        <w:spacing w:after="0" w:line="248" w:lineRule="auto"/>
        <w:rPr>
          <w:sz w:val="20"/>
          <w:szCs w:val="20"/>
          <w:color w:val="auto"/>
        </w:rPr>
      </w:pPr>
      <w:r>
        <w:rPr>
          <w:rFonts w:ascii="Arial" w:cs="Arial" w:eastAsia="Arial" w:hAnsi="Arial"/>
          <w:sz w:val="16"/>
          <w:szCs w:val="16"/>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185"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 xml:space="preserve">A reconciliation of these non-GAAP financial measures to the most directly comparable financial measures calculated and presented in accordance with GAAP are set forth below as well as in the third quarter 2020 presentation slides available at </w:t>
      </w:r>
      <w:r>
        <w:rPr>
          <w:rFonts w:ascii="Arial" w:cs="Arial" w:eastAsia="Arial" w:hAnsi="Arial"/>
          <w:sz w:val="16"/>
          <w:szCs w:val="16"/>
          <w:u w:val="single" w:color="auto"/>
          <w:color w:val="auto"/>
        </w:rPr>
        <w:t>www.xerox.com/investor</w:t>
      </w:r>
      <w:r>
        <w:rPr>
          <w:rFonts w:ascii="Arial" w:cs="Arial" w:eastAsia="Arial" w:hAnsi="Arial"/>
          <w:sz w:val="16"/>
          <w:szCs w:val="16"/>
          <w:color w:val="auto"/>
        </w:rPr>
        <w:t>.</w:t>
      </w:r>
    </w:p>
    <w:p>
      <w:pPr>
        <w:spacing w:after="0" w:line="181"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These non-GAAP financial measures should be viewed in addition to, and not as a substitute for, the company’s reported results prepared in accordance with GAAP.</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Adjusted Earnings Measures</w:t>
      </w:r>
    </w:p>
    <w:p>
      <w:pPr>
        <w:spacing w:after="0" w:line="21" w:lineRule="exact"/>
        <w:rPr>
          <w:sz w:val="20"/>
          <w:szCs w:val="20"/>
          <w:color w:val="auto"/>
        </w:rPr>
      </w:pPr>
    </w:p>
    <w:p>
      <w:pPr>
        <w:ind w:left="285" w:hanging="285"/>
        <w:spacing w:after="0"/>
        <w:tabs>
          <w:tab w:leader="none" w:pos="2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Net Income and Earnings per share (EPS)</w:t>
      </w:r>
    </w:p>
    <w:p>
      <w:pPr>
        <w:spacing w:after="0" w:line="5" w:lineRule="exact"/>
        <w:rPr>
          <w:rFonts w:ascii="Arial" w:cs="Arial" w:eastAsia="Arial" w:hAnsi="Arial"/>
          <w:sz w:val="16"/>
          <w:szCs w:val="16"/>
          <w:color w:val="auto"/>
        </w:rPr>
      </w:pPr>
    </w:p>
    <w:p>
      <w:pPr>
        <w:ind w:left="285" w:hanging="285"/>
        <w:spacing w:after="0"/>
        <w:tabs>
          <w:tab w:leader="none" w:pos="2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Effective Tax Rate</w:t>
      </w:r>
    </w:p>
    <w:p>
      <w:pPr>
        <w:spacing w:after="0" w:line="218"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above measures were adjusted for the following items:</w:t>
      </w:r>
    </w:p>
    <w:p>
      <w:pPr>
        <w:spacing w:after="0" w:line="84" w:lineRule="exact"/>
        <w:rPr>
          <w:sz w:val="20"/>
          <w:szCs w:val="20"/>
          <w:color w:val="auto"/>
        </w:rPr>
      </w:pPr>
    </w:p>
    <w:p>
      <w:pPr>
        <w:jc w:val="both"/>
        <w:ind w:left="285" w:hanging="285"/>
        <w:spacing w:after="0" w:line="249" w:lineRule="auto"/>
        <w:tabs>
          <w:tab w:leader="none" w:pos="281" w:val="left"/>
        </w:tabs>
        <w:numPr>
          <w:ilvl w:val="0"/>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Restructuring and 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and related costs include restructuring and asset impairment charges as well as costs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77" w:lineRule="exact"/>
        <w:rPr>
          <w:rFonts w:ascii="Arial" w:cs="Arial" w:eastAsia="Arial" w:hAnsi="Arial"/>
          <w:sz w:val="16"/>
          <w:szCs w:val="16"/>
          <w:color w:val="auto"/>
        </w:rPr>
      </w:pPr>
    </w:p>
    <w:p>
      <w:pPr>
        <w:jc w:val="both"/>
        <w:ind w:left="285" w:right="20" w:hanging="285"/>
        <w:spacing w:after="0" w:line="259" w:lineRule="auto"/>
        <w:tabs>
          <w:tab w:leader="none" w:pos="281" w:val="left"/>
        </w:tabs>
        <w:numPr>
          <w:ilvl w:val="0"/>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Amortization of intangible assets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amortization of intangible assets is driven by our acquisition activity which can vary in size, nature and timing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65" w:lineRule="exact"/>
        <w:rPr>
          <w:rFonts w:ascii="Arial" w:cs="Arial" w:eastAsia="Arial" w:hAnsi="Arial"/>
          <w:sz w:val="16"/>
          <w:szCs w:val="16"/>
          <w:color w:val="auto"/>
        </w:rPr>
      </w:pPr>
    </w:p>
    <w:p>
      <w:pPr>
        <w:jc w:val="both"/>
        <w:ind w:left="285" w:hanging="285"/>
        <w:spacing w:after="0" w:line="253" w:lineRule="auto"/>
        <w:tabs>
          <w:tab w:leader="none" w:pos="281" w:val="left"/>
        </w:tabs>
        <w:numPr>
          <w:ilvl w:val="0"/>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Transaction and related costs, net: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and related costs, net are costs and expenses primarily associated with certain strategic M&amp;A projects.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costs are primarily for third-party legal, accounting, consulting and other similar type professional services as well as potential legal settlements that may arise in connection with those M&amp;A transactions. These costs are considered incremental to our normal operating charges and were incurred or are expected to be incurred solely as a result of the planned transactions. Accordingly, we are excluding these expenses from our Adjusted Earnings Measures in order to evaluate our performance on a comparable basis.</w:t>
      </w:r>
    </w:p>
    <w:p>
      <w:pPr>
        <w:spacing w:after="0" w:line="69" w:lineRule="exact"/>
        <w:rPr>
          <w:rFonts w:ascii="Arial" w:cs="Arial" w:eastAsia="Arial" w:hAnsi="Arial"/>
          <w:sz w:val="16"/>
          <w:szCs w:val="16"/>
          <w:color w:val="auto"/>
        </w:rPr>
      </w:pPr>
    </w:p>
    <w:p>
      <w:pPr>
        <w:jc w:val="both"/>
        <w:ind w:left="285" w:hanging="285"/>
        <w:spacing w:after="0" w:line="250" w:lineRule="auto"/>
        <w:tabs>
          <w:tab w:leader="none" w:pos="281" w:val="left"/>
        </w:tabs>
        <w:numPr>
          <w:ilvl w:val="0"/>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Non-service retirement-related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Our defined benefit pension and retiree health costs include several elements impacted by changes in plan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5"/>
          </w:cols>
          <w:pgMar w:left="315" w:top="1034" w:right="319" w:bottom="1440" w:gutter="0" w:footer="0" w:header="0"/>
        </w:sectPr>
      </w:pPr>
    </w:p>
    <w:bookmarkStart w:id="30" w:name="page31"/>
    <w:bookmarkEnd w:id="30"/>
    <w:p>
      <w:pPr>
        <w:ind w:left="285" w:hanging="285"/>
        <w:spacing w:after="0" w:line="273" w:lineRule="auto"/>
        <w:tabs>
          <w:tab w:leader="none" w:pos="281" w:val="left"/>
        </w:tabs>
        <w:numPr>
          <w:ilvl w:val="0"/>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t>Other discrete, unusual or infrequent items:</w:t>
      </w:r>
      <w:r>
        <w:rPr>
          <w:rFonts w:ascii="Arial" w:cs="Arial" w:eastAsia="Arial" w:hAnsi="Arial"/>
          <w:sz w:val="16"/>
          <w:szCs w:val="16"/>
          <w:i w:val="1"/>
          <w:iCs w:val="1"/>
          <w:color w:val="auto"/>
        </w:rPr>
        <w:t xml:space="preserve"> </w:t>
      </w:r>
      <w:r>
        <w:rPr>
          <w:rFonts w:ascii="Arial" w:cs="Arial" w:eastAsia="Arial" w:hAnsi="Arial"/>
          <w:sz w:val="16"/>
          <w:szCs w:val="16"/>
          <w:color w:val="auto"/>
        </w:rPr>
        <w:t>We excluded the following items given their discrete, unusual or infrequent nature and their impact on our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period.</w:t>
      </w:r>
    </w:p>
    <w:p>
      <w:pPr>
        <w:spacing w:after="0" w:line="70" w:lineRule="exact"/>
        <w:rPr>
          <w:rFonts w:ascii="Arial" w:cs="Arial" w:eastAsia="Arial" w:hAnsi="Arial"/>
          <w:sz w:val="16"/>
          <w:szCs w:val="16"/>
          <w:color w:val="auto"/>
        </w:rPr>
      </w:pPr>
    </w:p>
    <w:p>
      <w:pPr>
        <w:ind w:left="845" w:hanging="278"/>
        <w:spacing w:after="0"/>
        <w:tabs>
          <w:tab w:leader="none" w:pos="845" w:val="left"/>
        </w:tabs>
        <w:numPr>
          <w:ilvl w:val="1"/>
          <w:numId w:val="33"/>
        </w:numPr>
        <w:rPr>
          <w:rFonts w:ascii="Arial" w:cs="Arial" w:eastAsia="Arial" w:hAnsi="Arial"/>
          <w:sz w:val="16"/>
          <w:szCs w:val="16"/>
          <w:color w:val="auto"/>
        </w:rPr>
      </w:pPr>
      <w:r>
        <w:rPr>
          <w:rFonts w:ascii="Arial" w:cs="Arial" w:eastAsia="Arial" w:hAnsi="Arial"/>
          <w:sz w:val="16"/>
          <w:szCs w:val="16"/>
          <w:color w:val="auto"/>
        </w:rPr>
        <w:t>Contract termination costs - IT services</w:t>
      </w:r>
    </w:p>
    <w:p>
      <w:pPr>
        <w:spacing w:after="0" w:line="99" w:lineRule="exact"/>
        <w:rPr>
          <w:rFonts w:ascii="Arial" w:cs="Arial" w:eastAsia="Arial" w:hAnsi="Arial"/>
          <w:sz w:val="16"/>
          <w:szCs w:val="16"/>
          <w:color w:val="auto"/>
        </w:rPr>
      </w:pPr>
    </w:p>
    <w:p>
      <w:pPr>
        <w:ind w:left="845" w:hanging="278"/>
        <w:spacing w:after="0"/>
        <w:tabs>
          <w:tab w:leader="none" w:pos="845" w:val="left"/>
        </w:tabs>
        <w:numPr>
          <w:ilvl w:val="1"/>
          <w:numId w:val="33"/>
        </w:numPr>
        <w:rPr>
          <w:rFonts w:ascii="Arial" w:cs="Arial" w:eastAsia="Arial" w:hAnsi="Arial"/>
          <w:sz w:val="16"/>
          <w:szCs w:val="16"/>
          <w:color w:val="auto"/>
        </w:rPr>
      </w:pPr>
      <w:r>
        <w:rPr>
          <w:rFonts w:ascii="Arial" w:cs="Arial" w:eastAsia="Arial" w:hAnsi="Arial"/>
          <w:sz w:val="16"/>
          <w:szCs w:val="16"/>
          <w:color w:val="auto"/>
        </w:rPr>
        <w:t>Impacts associated with the Tax Cuts and Jobs Act (the "Tax Act") enacted in December 2017.</w:t>
      </w:r>
    </w:p>
    <w:p>
      <w:pPr>
        <w:spacing w:after="0" w:line="100"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We believe the exclusion of these items allows investors to better understand and analyze the results for the period as compared to prior periods and expected future trends in our business.</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Adjusted Operating Income/Margin</w:t>
      </w:r>
    </w:p>
    <w:p>
      <w:pPr>
        <w:spacing w:after="0" w:line="21"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We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Constant Currency</w:t>
      </w:r>
    </w:p>
    <w:p>
      <w:pPr>
        <w:spacing w:after="0" w:line="21"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Free Cash Flow</w:t>
      </w:r>
    </w:p>
    <w:p>
      <w:pPr>
        <w:spacing w:after="0" w:line="21" w:lineRule="exact"/>
        <w:rPr>
          <w:sz w:val="20"/>
          <w:szCs w:val="20"/>
          <w:color w:val="auto"/>
        </w:rPr>
      </w:pPr>
    </w:p>
    <w:p>
      <w:pPr>
        <w:jc w:val="both"/>
        <w:ind w:left="5" w:right="20"/>
        <w:spacing w:after="0" w:line="249" w:lineRule="auto"/>
        <w:rPr>
          <w:sz w:val="20"/>
          <w:szCs w:val="20"/>
          <w:color w:val="auto"/>
        </w:rPr>
      </w:pPr>
      <w:r>
        <w:rPr>
          <w:rFonts w:ascii="Arial" w:cs="Arial" w:eastAsia="Arial" w:hAnsi="Arial"/>
          <w:sz w:val="16"/>
          <w:szCs w:val="16"/>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116"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Summary:</w:t>
      </w:r>
    </w:p>
    <w:p>
      <w:pPr>
        <w:spacing w:after="0" w:line="25" w:lineRule="exact"/>
        <w:rPr>
          <w:sz w:val="20"/>
          <w:szCs w:val="20"/>
          <w:color w:val="auto"/>
        </w:rPr>
      </w:pPr>
    </w:p>
    <w:p>
      <w:pPr>
        <w:jc w:val="both"/>
        <w:ind w:left="5"/>
        <w:spacing w:after="0" w:line="247" w:lineRule="auto"/>
        <w:rPr>
          <w:sz w:val="20"/>
          <w:szCs w:val="20"/>
          <w:color w:val="auto"/>
        </w:rPr>
      </w:pPr>
      <w:r>
        <w:rPr>
          <w:rFonts w:ascii="Arial" w:cs="Arial" w:eastAsia="Arial" w:hAnsi="Arial"/>
          <w:sz w:val="16"/>
          <w:szCs w:val="16"/>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92" w:lineRule="exact"/>
        <w:rPr>
          <w:sz w:val="20"/>
          <w:szCs w:val="20"/>
          <w:color w:val="auto"/>
        </w:rPr>
      </w:pPr>
    </w:p>
    <w:p>
      <w:pPr>
        <w:ind w:left="5" w:right="180"/>
        <w:spacing w:after="0" w:line="252" w:lineRule="auto"/>
        <w:rPr>
          <w:sz w:val="20"/>
          <w:szCs w:val="20"/>
          <w:color w:val="auto"/>
        </w:rPr>
      </w:pPr>
      <w:r>
        <w:rPr>
          <w:rFonts w:ascii="Arial" w:cs="Arial" w:eastAsia="Arial" w:hAnsi="Arial"/>
          <w:sz w:val="16"/>
          <w:szCs w:val="16"/>
          <w:color w:val="auto"/>
        </w:rPr>
        <w:t>A reconciliation of these non-GAAP financial measures and the most directly comparable measures calculated and presented in accordance with GAAP are set forth on the following tables:</w:t>
      </w:r>
    </w:p>
    <w:p>
      <w:pPr>
        <w:spacing w:after="0" w:line="200" w:lineRule="exact"/>
        <w:rPr>
          <w:sz w:val="20"/>
          <w:szCs w:val="20"/>
          <w:color w:val="auto"/>
        </w:rPr>
      </w:pPr>
    </w:p>
    <w:p>
      <w:pPr>
        <w:spacing w:after="0" w:line="27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5"/>
          </w:cols>
          <w:pgMar w:left="315" w:top="891" w:right="319" w:bottom="1440" w:gutter="0" w:footer="0" w:header="0"/>
        </w:sectPr>
      </w:pPr>
    </w:p>
    <w:bookmarkStart w:id="31" w:name="page32"/>
    <w:bookmarkEnd w:id="31"/>
    <w:p>
      <w:pPr>
        <w:ind w:left="5"/>
        <w:spacing w:after="0"/>
        <w:rPr>
          <w:sz w:val="20"/>
          <w:szCs w:val="20"/>
          <w:color w:val="auto"/>
        </w:rPr>
      </w:pPr>
      <w:r>
        <w:rPr>
          <w:rFonts w:ascii="Arial" w:cs="Arial" w:eastAsia="Arial" w:hAnsi="Arial"/>
          <w:sz w:val="16"/>
          <w:szCs w:val="16"/>
          <w:i w:val="1"/>
          <w:iCs w:val="1"/>
          <w:u w:val="single" w:color="auto"/>
          <w:color w:val="auto"/>
        </w:rPr>
        <w:t>Net Income and EPS reconciliation</w:t>
      </w:r>
    </w:p>
    <w:p>
      <w:pPr>
        <w:spacing w:after="0" w:line="148"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3"/>
          </w:tcPr>
          <w:p>
            <w:pPr>
              <w:jc w:val="right"/>
              <w:ind w:right="137"/>
              <w:spacing w:after="0"/>
              <w:rPr>
                <w:sz w:val="20"/>
                <w:szCs w:val="20"/>
                <w:color w:val="auto"/>
              </w:rPr>
            </w:pPr>
            <w:r>
              <w:rPr>
                <w:rFonts w:ascii="Arial" w:cs="Arial" w:eastAsia="Arial" w:hAnsi="Arial"/>
                <w:sz w:val="13"/>
                <w:szCs w:val="13"/>
                <w:color w:val="auto"/>
              </w:rPr>
              <w:t>Three Months Ended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4"/>
          </w:tcPr>
          <w:p>
            <w:pPr>
              <w:jc w:val="right"/>
              <w:ind w:right="557"/>
              <w:spacing w:after="0"/>
              <w:rPr>
                <w:sz w:val="20"/>
                <w:szCs w:val="20"/>
                <w:color w:val="auto"/>
              </w:rPr>
            </w:pPr>
            <w:r>
              <w:rPr>
                <w:rFonts w:ascii="Arial" w:cs="Arial" w:eastAsia="Arial" w:hAnsi="Arial"/>
                <w:sz w:val="13"/>
                <w:szCs w:val="13"/>
                <w:color w:val="auto"/>
              </w:rPr>
              <w:t>Three Months Ended</w:t>
            </w:r>
          </w:p>
        </w:tc>
      </w:tr>
      <w:tr>
        <w:trPr>
          <w:trHeight w:val="157"/>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color w:val="auto"/>
              </w:rPr>
              <w:t>September 30, 2020</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3"/>
                <w:szCs w:val="13"/>
                <w:color w:val="auto"/>
              </w:rPr>
              <w:t>September 30, 2019</w:t>
            </w:r>
          </w:p>
        </w:tc>
      </w:tr>
      <w:tr>
        <w:trPr>
          <w:trHeight w:val="181"/>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per share amounts)</w:t>
            </w:r>
          </w:p>
        </w:tc>
        <w:tc>
          <w:tcPr>
            <w:tcW w:w="10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Net Income</w:t>
            </w:r>
          </w:p>
        </w:tc>
        <w:tc>
          <w:tcPr>
            <w:tcW w:w="120" w:type="dxa"/>
            <w:vAlign w:val="bottom"/>
            <w:tcBorders>
              <w:bottom w:val="single" w:sz="8" w:color="E5E5E5"/>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EPS</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EPS</w:t>
            </w:r>
          </w:p>
        </w:tc>
      </w:tr>
      <w:tr>
        <w:trPr>
          <w:trHeight w:val="185"/>
        </w:trPr>
        <w:tc>
          <w:tcPr>
            <w:tcW w:w="630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6"/>
                <w:szCs w:val="16"/>
                <w:b w:val="1"/>
                <w:bCs w:val="1"/>
                <w:color w:val="auto"/>
                <w:vertAlign w:val="superscript"/>
              </w:rPr>
              <w:t>(1)</w:t>
            </w:r>
          </w:p>
        </w:tc>
        <w:tc>
          <w:tcPr>
            <w:tcW w:w="18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90</w:t>
            </w:r>
          </w:p>
        </w:tc>
        <w:tc>
          <w:tcPr>
            <w:tcW w:w="720" w:type="dxa"/>
            <w:vAlign w:val="bottom"/>
            <w:gridSpan w:val="2"/>
            <w:shd w:val="clear" w:color="auto" w:fill="E5E5E5"/>
          </w:tcPr>
          <w:p>
            <w:pPr>
              <w:jc w:val="right"/>
              <w:ind w:right="457"/>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w w:val="94"/>
              </w:rPr>
              <w:t>0.41</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157</w:t>
            </w:r>
          </w:p>
        </w:tc>
        <w:tc>
          <w:tcPr>
            <w:tcW w:w="3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0.68</w:t>
            </w:r>
          </w:p>
        </w:tc>
      </w:tr>
      <w:tr>
        <w:trPr>
          <w:trHeight w:val="184"/>
        </w:trPr>
        <w:tc>
          <w:tcPr>
            <w:tcW w:w="6300" w:type="dxa"/>
            <w:vAlign w:val="bottom"/>
            <w:gridSpan w:val="2"/>
          </w:tcPr>
          <w:p>
            <w:pPr>
              <w:ind w:left="20"/>
              <w:spacing w:after="0"/>
              <w:rPr>
                <w:sz w:val="20"/>
                <w:szCs w:val="20"/>
                <w:color w:val="auto"/>
              </w:rPr>
            </w:pPr>
            <w:r>
              <w:rPr>
                <w:rFonts w:ascii="Arial" w:cs="Arial" w:eastAsia="Arial" w:hAnsi="Arial"/>
                <w:sz w:val="13"/>
                <w:szCs w:val="13"/>
                <w:b w:val="1"/>
                <w:bCs w:val="1"/>
                <w:color w:val="auto"/>
              </w:rPr>
              <w:t>Adjustments: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4"/>
        </w:trPr>
        <w:tc>
          <w:tcPr>
            <w:tcW w:w="63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Restructuring and related costs</w:t>
            </w: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r>
      <w:tr>
        <w:trPr>
          <w:trHeight w:val="184"/>
        </w:trPr>
        <w:tc>
          <w:tcPr>
            <w:tcW w:w="6300" w:type="dxa"/>
            <w:vAlign w:val="bottom"/>
            <w:gridSpan w:val="2"/>
          </w:tcPr>
          <w:p>
            <w:pPr>
              <w:ind w:left="20"/>
              <w:spacing w:after="0"/>
              <w:rPr>
                <w:sz w:val="20"/>
                <w:szCs w:val="20"/>
                <w:color w:val="auto"/>
              </w:rPr>
            </w:pPr>
            <w:r>
              <w:rPr>
                <w:rFonts w:ascii="Arial" w:cs="Arial" w:eastAsia="Arial" w:hAnsi="Arial"/>
                <w:sz w:val="13"/>
                <w:szCs w:val="13"/>
                <w:color w:val="auto"/>
              </w:rPr>
              <w:t>Amortization of intangible assets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4"/>
        </w:trPr>
        <w:tc>
          <w:tcPr>
            <w:tcW w:w="63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Transaction and related costs, net</w:t>
            </w: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r>
      <w:tr>
        <w:trPr>
          <w:trHeight w:val="184"/>
        </w:trPr>
        <w:tc>
          <w:tcPr>
            <w:tcW w:w="6300" w:type="dxa"/>
            <w:vAlign w:val="bottom"/>
            <w:gridSpan w:val="2"/>
          </w:tcPr>
          <w:p>
            <w:pPr>
              <w:ind w:left="20"/>
              <w:spacing w:after="0"/>
              <w:rPr>
                <w:sz w:val="20"/>
                <w:szCs w:val="20"/>
                <w:color w:val="auto"/>
              </w:rPr>
            </w:pPr>
            <w:r>
              <w:rPr>
                <w:rFonts w:ascii="Arial" w:cs="Arial" w:eastAsia="Arial" w:hAnsi="Arial"/>
                <w:sz w:val="13"/>
                <w:szCs w:val="13"/>
                <w:color w:val="auto"/>
              </w:rPr>
              <w:t>Non-service retirement-related costs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4"/>
        </w:trPr>
        <w:tc>
          <w:tcPr>
            <w:tcW w:w="63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Contract termination costs - IT services</w:t>
            </w: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r>
      <w:tr>
        <w:trPr>
          <w:trHeight w:val="189"/>
        </w:trPr>
        <w:tc>
          <w:tcPr>
            <w:tcW w:w="6300" w:type="dxa"/>
            <w:vAlign w:val="bottom"/>
            <w:gridSpan w:val="2"/>
          </w:tcPr>
          <w:p>
            <w:pPr>
              <w:ind w:left="20"/>
              <w:spacing w:after="0"/>
              <w:rPr>
                <w:sz w:val="20"/>
                <w:szCs w:val="20"/>
                <w:color w:val="auto"/>
              </w:rPr>
            </w:pPr>
            <w:r>
              <w:rPr>
                <w:rFonts w:ascii="Arial" w:cs="Arial" w:eastAsia="Arial" w:hAnsi="Arial"/>
                <w:sz w:val="13"/>
                <w:szCs w:val="13"/>
                <w:color w:val="auto"/>
              </w:rPr>
              <w:t>Income tax on adjustments</w:t>
            </w:r>
            <w:r>
              <w:rPr>
                <w:rFonts w:ascii="Arial" w:cs="Arial" w:eastAsia="Arial" w:hAnsi="Arial"/>
                <w:sz w:val="16"/>
                <w:szCs w:val="16"/>
                <w:color w:val="auto"/>
                <w:vertAlign w:val="superscript"/>
              </w:rPr>
              <w:t>(2)</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4"/>
        </w:trPr>
        <w:tc>
          <w:tcPr>
            <w:tcW w:w="63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Tax Act</w:t>
            </w:r>
          </w:p>
        </w:tc>
        <w:tc>
          <w:tcPr>
            <w:tcW w:w="180" w:type="dxa"/>
            <w:vAlign w:val="bottom"/>
            <w:tcBorders>
              <w:bottom w:val="single" w:sz="8" w:color="auto"/>
            </w:tcBorders>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tcBorders>
              <w:bottom w:val="single" w:sz="8" w:color="auto"/>
            </w:tcBorders>
            <w:shd w:val="clear" w:color="auto" w:fill="E5E5E5"/>
          </w:tcPr>
          <w:p>
            <w:pPr>
              <w:spacing w:after="0"/>
              <w:rPr>
                <w:sz w:val="16"/>
                <w:szCs w:val="16"/>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r>
      <w:tr>
        <w:trPr>
          <w:trHeight w:val="185"/>
        </w:trPr>
        <w:tc>
          <w:tcPr>
            <w:tcW w:w="6300" w:type="dxa"/>
            <w:vAlign w:val="bottom"/>
            <w:gridSpan w:val="2"/>
          </w:tcPr>
          <w:p>
            <w:pPr>
              <w:ind w:left="20"/>
              <w:spacing w:after="0"/>
              <w:rPr>
                <w:sz w:val="20"/>
                <w:szCs w:val="20"/>
                <w:color w:val="auto"/>
              </w:rPr>
            </w:pPr>
            <w:r>
              <w:rPr>
                <w:rFonts w:ascii="Arial" w:cs="Arial" w:eastAsia="Arial" w:hAnsi="Arial"/>
                <w:sz w:val="13"/>
                <w:szCs w:val="13"/>
                <w:b w:val="1"/>
                <w:bCs w:val="1"/>
                <w:color w:val="auto"/>
              </w:rPr>
              <w:t>Adjusted</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720" w:type="dxa"/>
            <w:vAlign w:val="bottom"/>
            <w:gridSpan w:val="2"/>
          </w:tcPr>
          <w:p>
            <w:pPr>
              <w:jc w:val="right"/>
              <w:ind w:right="457"/>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4"/>
              </w:rPr>
              <w:t>0.48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0.80</w:t>
            </w:r>
          </w:p>
        </w:tc>
      </w:tr>
      <w:tr>
        <w:trPr>
          <w:trHeight w:val="20"/>
        </w:trPr>
        <w:tc>
          <w:tcPr>
            <w:tcW w:w="620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6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E5E5E5"/>
            </w:tcBorders>
          </w:tcPr>
          <w:p>
            <w:pPr>
              <w:spacing w:after="0" w:line="20" w:lineRule="exact"/>
              <w:rPr>
                <w:sz w:val="1"/>
                <w:szCs w:val="1"/>
                <w:color w:val="auto"/>
              </w:rPr>
            </w:pPr>
          </w:p>
        </w:tc>
        <w:tc>
          <w:tcPr>
            <w:tcW w:w="860" w:type="dxa"/>
            <w:vAlign w:val="bottom"/>
            <w:tcBorders>
              <w:bottom w:val="single" w:sz="8" w:color="E5E5E5"/>
            </w:tcBorders>
          </w:tcPr>
          <w:p>
            <w:pPr>
              <w:spacing w:after="0" w:line="20" w:lineRule="exact"/>
              <w:rPr>
                <w:sz w:val="1"/>
                <w:szCs w:val="1"/>
                <w:color w:val="auto"/>
              </w:rPr>
            </w:pPr>
          </w:p>
        </w:tc>
      </w:tr>
      <w:tr>
        <w:trPr>
          <w:trHeight w:val="153"/>
        </w:trPr>
        <w:tc>
          <w:tcPr>
            <w:tcW w:w="62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96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r>
      <w:tr>
        <w:trPr>
          <w:trHeight w:val="189"/>
        </w:trPr>
        <w:tc>
          <w:tcPr>
            <w:tcW w:w="6300" w:type="dxa"/>
            <w:vAlign w:val="bottom"/>
            <w:gridSpan w:val="2"/>
          </w:tcPr>
          <w:p>
            <w:pPr>
              <w:ind w:left="20"/>
              <w:spacing w:after="0"/>
              <w:rPr>
                <w:sz w:val="20"/>
                <w:szCs w:val="20"/>
                <w:color w:val="auto"/>
              </w:rPr>
            </w:pPr>
            <w:r>
              <w:rPr>
                <w:rFonts w:ascii="Arial" w:cs="Arial" w:eastAsia="Arial" w:hAnsi="Arial"/>
                <w:sz w:val="13"/>
                <w:szCs w:val="13"/>
                <w:color w:val="auto"/>
              </w:rPr>
              <w:t>Dividends on preferred stock used in adjusted EPS calculation</w:t>
            </w:r>
            <w:r>
              <w:rPr>
                <w:rFonts w:ascii="Arial" w:cs="Arial" w:eastAsia="Arial" w:hAnsi="Arial"/>
                <w:sz w:val="16"/>
                <w:szCs w:val="16"/>
                <w:color w:val="auto"/>
                <w:vertAlign w:val="superscript"/>
              </w:rPr>
              <w:t>(3)</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gridSpan w:val="2"/>
          </w:tcPr>
          <w:p>
            <w:pPr>
              <w:jc w:val="right"/>
              <w:ind w:right="457"/>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630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Weighted average shares for adjusted EPS</w:t>
            </w:r>
            <w:r>
              <w:rPr>
                <w:rFonts w:ascii="Arial" w:cs="Arial" w:eastAsia="Arial" w:hAnsi="Arial"/>
                <w:sz w:val="16"/>
                <w:szCs w:val="16"/>
                <w:color w:val="auto"/>
                <w:vertAlign w:val="superscript"/>
              </w:rPr>
              <w:t>(3)</w:t>
            </w: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231</w:t>
            </w:r>
          </w:p>
        </w:tc>
      </w:tr>
      <w:tr>
        <w:trPr>
          <w:trHeight w:val="241"/>
        </w:trPr>
        <w:tc>
          <w:tcPr>
            <w:tcW w:w="6300" w:type="dxa"/>
            <w:vAlign w:val="bottom"/>
            <w:gridSpan w:val="2"/>
          </w:tcPr>
          <w:p>
            <w:pPr>
              <w:ind w:left="20"/>
              <w:spacing w:after="0"/>
              <w:rPr>
                <w:sz w:val="20"/>
                <w:szCs w:val="20"/>
                <w:color w:val="auto"/>
              </w:rPr>
            </w:pPr>
            <w:r>
              <w:rPr>
                <w:rFonts w:ascii="Arial" w:cs="Arial" w:eastAsia="Arial" w:hAnsi="Arial"/>
                <w:sz w:val="13"/>
                <w:szCs w:val="13"/>
                <w:color w:val="auto"/>
              </w:rPr>
              <w:t>Fully diluted shares at September 30, 2020</w:t>
            </w:r>
            <w:r>
              <w:rPr>
                <w:rFonts w:ascii="Arial" w:cs="Arial" w:eastAsia="Arial" w:hAnsi="Arial"/>
                <w:sz w:val="16"/>
                <w:szCs w:val="16"/>
                <w:color w:val="auto"/>
                <w:vertAlign w:val="superscript"/>
              </w:rPr>
              <w:t>(4)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6"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15" w:lineRule="exact"/>
        <w:rPr>
          <w:sz w:val="20"/>
          <w:szCs w:val="20"/>
          <w:color w:val="auto"/>
        </w:rPr>
      </w:pPr>
    </w:p>
    <w:p>
      <w:pPr>
        <w:ind w:left="285" w:hanging="285"/>
        <w:spacing w:after="0"/>
        <w:tabs>
          <w:tab w:leader="none" w:pos="285" w:val="left"/>
        </w:tabs>
        <w:numPr>
          <w:ilvl w:val="0"/>
          <w:numId w:val="3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Net income and EPS from continuing operations attributable to Xerox Holdings.</w:t>
      </w:r>
    </w:p>
    <w:p>
      <w:pPr>
        <w:ind w:left="285" w:hanging="285"/>
        <w:spacing w:after="0" w:line="184" w:lineRule="auto"/>
        <w:tabs>
          <w:tab w:leader="none" w:pos="285" w:val="left"/>
        </w:tabs>
        <w:numPr>
          <w:ilvl w:val="0"/>
          <w:numId w:val="3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 to Effective Tax Rate reconciliation.</w:t>
      </w:r>
    </w:p>
    <w:p>
      <w:pPr>
        <w:jc w:val="both"/>
        <w:ind w:left="285" w:hanging="285"/>
        <w:spacing w:after="0" w:line="211" w:lineRule="auto"/>
        <w:tabs>
          <w:tab w:leader="none" w:pos="279" w:val="left"/>
        </w:tabs>
        <w:numPr>
          <w:ilvl w:val="0"/>
          <w:numId w:val="3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Average shares for the calculation of adjusted diluted EPS for 2020 exclude 7 million shares associated with our Series A convertible preferred stock and therefore earnings include the preferred stock dividend. Average shares for the calculation of adjusted diluted EPS for 2019 include 7 million shares associated with our Series A convertible preferred stock and therefore exclude the preferred stock dividend.</w:t>
      </w:r>
    </w:p>
    <w:p>
      <w:pPr>
        <w:ind w:left="285" w:right="20" w:hanging="285"/>
        <w:spacing w:after="0" w:line="211" w:lineRule="auto"/>
        <w:tabs>
          <w:tab w:leader="none" w:pos="279" w:val="left"/>
        </w:tabs>
        <w:numPr>
          <w:ilvl w:val="0"/>
          <w:numId w:val="3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Represents common shares outstanding at September 30, 2020 plus potential dilutive common shares as used for the calculation of adjusted diluted EPS for the third quarter 2020. The amount excludes shares associated with our Series A convertible preferred stock as they are expected to be anti-dilutive for the year.</w:t>
      </w:r>
    </w:p>
    <w:p>
      <w:pPr>
        <w:spacing w:after="0" w:line="325" w:lineRule="exact"/>
        <w:rPr>
          <w:sz w:val="20"/>
          <w:szCs w:val="20"/>
          <w:color w:val="auto"/>
        </w:rPr>
      </w:pPr>
    </w:p>
    <w:p>
      <w:pPr>
        <w:ind w:left="9445"/>
        <w:spacing w:after="0"/>
        <w:rPr>
          <w:sz w:val="20"/>
          <w:szCs w:val="20"/>
          <w:color w:val="auto"/>
        </w:rPr>
      </w:pPr>
      <w:r>
        <w:rPr>
          <w:rFonts w:ascii="Arial" w:cs="Arial" w:eastAsia="Arial" w:hAnsi="Arial"/>
          <w:sz w:val="13"/>
          <w:szCs w:val="13"/>
          <w:color w:val="auto"/>
        </w:rPr>
        <w:t>Three Months Ended</w:t>
      </w:r>
    </w:p>
    <w:p>
      <w:pPr>
        <w:ind w:left="9665"/>
        <w:spacing w:after="0"/>
        <w:rPr>
          <w:sz w:val="20"/>
          <w:szCs w:val="20"/>
          <w:color w:val="auto"/>
        </w:rPr>
      </w:pPr>
      <w:r>
        <w:rPr>
          <w:rFonts w:ascii="Arial" w:cs="Arial" w:eastAsia="Arial" w:hAnsi="Arial"/>
          <w:sz w:val="13"/>
          <w:szCs w:val="13"/>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7620</wp:posOffset>
            </wp:positionV>
            <wp:extent cx="15227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2730" cy="7620"/>
                    </a:xfrm>
                    <a:prstGeom prst="rect">
                      <a:avLst/>
                    </a:prstGeom>
                    <a:noFill/>
                  </pic:spPr>
                </pic:pic>
              </a:graphicData>
            </a:graphic>
          </wp:anchor>
        </w:drawing>
      </w:r>
    </w:p>
    <w:p>
      <w:pPr>
        <w:spacing w:after="0" w:line="31"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per share amounts)</w:t>
            </w:r>
          </w:p>
        </w:tc>
        <w:tc>
          <w:tcPr>
            <w:tcW w:w="120" w:type="dxa"/>
            <w:vAlign w:val="bottom"/>
            <w:tcBorders>
              <w:bottom w:val="single" w:sz="8" w:color="E5E5E5"/>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E5E5E5"/>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EPS</w:t>
            </w:r>
          </w:p>
        </w:tc>
      </w:tr>
      <w:tr>
        <w:trPr>
          <w:trHeight w:val="185"/>
        </w:trPr>
        <w:tc>
          <w:tcPr>
            <w:tcW w:w="886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6"/>
                <w:szCs w:val="16"/>
                <w:b w:val="1"/>
                <w:bCs w:val="1"/>
                <w:color w:val="auto"/>
                <w:vertAlign w:val="superscript"/>
              </w:rPr>
              <w:t>(1)</w:t>
            </w:r>
          </w:p>
        </w:tc>
        <w:tc>
          <w:tcPr>
            <w:tcW w:w="1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27</w:t>
            </w:r>
          </w:p>
        </w:tc>
        <w:tc>
          <w:tcPr>
            <w:tcW w:w="3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0.11</w:t>
            </w:r>
          </w:p>
        </w:tc>
      </w:tr>
      <w:tr>
        <w:trPr>
          <w:trHeight w:val="184"/>
        </w:trPr>
        <w:tc>
          <w:tcPr>
            <w:tcW w:w="8860" w:type="dxa"/>
            <w:vAlign w:val="bottom"/>
            <w:gridSpan w:val="2"/>
          </w:tcPr>
          <w:p>
            <w:pPr>
              <w:ind w:left="20"/>
              <w:spacing w:after="0"/>
              <w:rPr>
                <w:sz w:val="20"/>
                <w:szCs w:val="20"/>
                <w:color w:val="auto"/>
              </w:rPr>
            </w:pPr>
            <w:r>
              <w:rPr>
                <w:rFonts w:ascii="Arial" w:cs="Arial" w:eastAsia="Arial" w:hAnsi="Arial"/>
                <w:sz w:val="13"/>
                <w:szCs w:val="13"/>
                <w:b w:val="1"/>
                <w:bCs w:val="1"/>
                <w:color w:val="auto"/>
              </w:rPr>
              <w:t>Adjustments: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4"/>
        </w:trPr>
        <w:tc>
          <w:tcPr>
            <w:tcW w:w="88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Restructuring and related costs</w:t>
            </w: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r>
      <w:tr>
        <w:trPr>
          <w:trHeight w:val="184"/>
        </w:trPr>
        <w:tc>
          <w:tcPr>
            <w:tcW w:w="8860" w:type="dxa"/>
            <w:vAlign w:val="bottom"/>
            <w:gridSpan w:val="2"/>
          </w:tcPr>
          <w:p>
            <w:pPr>
              <w:ind w:left="20"/>
              <w:spacing w:after="0"/>
              <w:rPr>
                <w:sz w:val="20"/>
                <w:szCs w:val="20"/>
                <w:color w:val="auto"/>
              </w:rPr>
            </w:pPr>
            <w:r>
              <w:rPr>
                <w:rFonts w:ascii="Arial" w:cs="Arial" w:eastAsia="Arial" w:hAnsi="Arial"/>
                <w:sz w:val="13"/>
                <w:szCs w:val="13"/>
                <w:color w:val="auto"/>
              </w:rPr>
              <w:t>Amortization of intangible assets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4"/>
        </w:trPr>
        <w:tc>
          <w:tcPr>
            <w:tcW w:w="88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Transaction and related costs, net</w:t>
            </w: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r>
      <w:tr>
        <w:trPr>
          <w:trHeight w:val="184"/>
        </w:trPr>
        <w:tc>
          <w:tcPr>
            <w:tcW w:w="8860" w:type="dxa"/>
            <w:vAlign w:val="bottom"/>
            <w:gridSpan w:val="2"/>
          </w:tcPr>
          <w:p>
            <w:pPr>
              <w:ind w:left="20"/>
              <w:spacing w:after="0"/>
              <w:rPr>
                <w:sz w:val="20"/>
                <w:szCs w:val="20"/>
                <w:color w:val="auto"/>
              </w:rPr>
            </w:pPr>
            <w:r>
              <w:rPr>
                <w:rFonts w:ascii="Arial" w:cs="Arial" w:eastAsia="Arial" w:hAnsi="Arial"/>
                <w:sz w:val="13"/>
                <w:szCs w:val="13"/>
                <w:color w:val="auto"/>
              </w:rPr>
              <w:t>Non-service retirement-related costs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88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Income tax on adjustments</w:t>
            </w:r>
          </w:p>
        </w:tc>
        <w:tc>
          <w:tcPr>
            <w:tcW w:w="160" w:type="dxa"/>
            <w:vAlign w:val="bottom"/>
            <w:tcBorders>
              <w:bottom w:val="single" w:sz="8" w:color="auto"/>
            </w:tcBorders>
            <w:shd w:val="clear" w:color="auto" w:fill="E5E5E5"/>
          </w:tcPr>
          <w:p>
            <w:pPr>
              <w:spacing w:after="0"/>
              <w:rPr>
                <w:sz w:val="16"/>
                <w:szCs w:val="16"/>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r>
      <w:tr>
        <w:trPr>
          <w:trHeight w:val="185"/>
        </w:trPr>
        <w:tc>
          <w:tcPr>
            <w:tcW w:w="8860" w:type="dxa"/>
            <w:vAlign w:val="bottom"/>
            <w:gridSpan w:val="2"/>
          </w:tcPr>
          <w:p>
            <w:pPr>
              <w:ind w:left="20"/>
              <w:spacing w:after="0"/>
              <w:rPr>
                <w:sz w:val="20"/>
                <w:szCs w:val="20"/>
                <w:color w:val="auto"/>
              </w:rPr>
            </w:pPr>
            <w:r>
              <w:rPr>
                <w:rFonts w:ascii="Arial" w:cs="Arial" w:eastAsia="Arial" w:hAnsi="Arial"/>
                <w:sz w:val="13"/>
                <w:szCs w:val="13"/>
                <w:b w:val="1"/>
                <w:bCs w:val="1"/>
                <w:color w:val="auto"/>
              </w:rPr>
              <w:t>Adjusted</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0.15</w:t>
            </w:r>
          </w:p>
        </w:tc>
      </w:tr>
      <w:tr>
        <w:trPr>
          <w:trHeight w:val="20"/>
        </w:trPr>
        <w:tc>
          <w:tcPr>
            <w:tcW w:w="874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E5E5E5"/>
            </w:tcBorders>
          </w:tcPr>
          <w:p>
            <w:pPr>
              <w:spacing w:after="0" w:line="20" w:lineRule="exact"/>
              <w:rPr>
                <w:sz w:val="1"/>
                <w:szCs w:val="1"/>
                <w:color w:val="auto"/>
              </w:rPr>
            </w:pPr>
          </w:p>
        </w:tc>
        <w:tc>
          <w:tcPr>
            <w:tcW w:w="880" w:type="dxa"/>
            <w:vAlign w:val="bottom"/>
            <w:tcBorders>
              <w:bottom w:val="single" w:sz="8" w:color="E5E5E5"/>
            </w:tcBorders>
          </w:tcPr>
          <w:p>
            <w:pPr>
              <w:spacing w:after="0" w:line="20" w:lineRule="exact"/>
              <w:rPr>
                <w:sz w:val="1"/>
                <w:szCs w:val="1"/>
                <w:color w:val="auto"/>
              </w:rPr>
            </w:pPr>
          </w:p>
        </w:tc>
      </w:tr>
      <w:tr>
        <w:trPr>
          <w:trHeight w:val="153"/>
        </w:trPr>
        <w:tc>
          <w:tcPr>
            <w:tcW w:w="874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r>
      <w:tr>
        <w:trPr>
          <w:trHeight w:val="189"/>
        </w:trPr>
        <w:tc>
          <w:tcPr>
            <w:tcW w:w="8860" w:type="dxa"/>
            <w:vAlign w:val="bottom"/>
            <w:gridSpan w:val="2"/>
          </w:tcPr>
          <w:p>
            <w:pPr>
              <w:ind w:left="20"/>
              <w:spacing w:after="0"/>
              <w:rPr>
                <w:sz w:val="20"/>
                <w:szCs w:val="20"/>
                <w:color w:val="auto"/>
              </w:rPr>
            </w:pPr>
            <w:r>
              <w:rPr>
                <w:rFonts w:ascii="Arial" w:cs="Arial" w:eastAsia="Arial" w:hAnsi="Arial"/>
                <w:sz w:val="13"/>
                <w:szCs w:val="13"/>
                <w:color w:val="auto"/>
              </w:rPr>
              <w:t>Dividends on preferred stock used in adjusted EPS calculation</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w:t>
            </w:r>
          </w:p>
        </w:tc>
      </w:tr>
      <w:tr>
        <w:trPr>
          <w:trHeight w:val="189"/>
        </w:trPr>
        <w:tc>
          <w:tcPr>
            <w:tcW w:w="88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Weighted average shares for adjusted EPS</w:t>
            </w:r>
            <w:r>
              <w:rPr>
                <w:rFonts w:ascii="Arial" w:cs="Arial" w:eastAsia="Arial" w:hAnsi="Arial"/>
                <w:sz w:val="16"/>
                <w:szCs w:val="16"/>
                <w:color w:val="auto"/>
                <w:vertAlign w:val="superscript"/>
              </w:rPr>
              <w:t>(2)</w:t>
            </w:r>
          </w:p>
        </w:tc>
        <w:tc>
          <w:tcPr>
            <w:tcW w:w="1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216</w:t>
            </w:r>
          </w:p>
        </w:tc>
      </w:tr>
      <w:tr>
        <w:trPr>
          <w:trHeight w:val="241"/>
        </w:trPr>
        <w:tc>
          <w:tcPr>
            <w:tcW w:w="8860" w:type="dxa"/>
            <w:vAlign w:val="bottom"/>
            <w:gridSpan w:val="2"/>
          </w:tcPr>
          <w:p>
            <w:pPr>
              <w:ind w:left="20"/>
              <w:spacing w:after="0"/>
              <w:rPr>
                <w:sz w:val="20"/>
                <w:szCs w:val="20"/>
                <w:color w:val="auto"/>
              </w:rPr>
            </w:pPr>
            <w:r>
              <w:rPr>
                <w:rFonts w:ascii="Arial" w:cs="Arial" w:eastAsia="Arial" w:hAnsi="Arial"/>
                <w:sz w:val="13"/>
                <w:szCs w:val="13"/>
                <w:color w:val="auto"/>
              </w:rPr>
              <w:t>Fully diluted shares at June 30, 2020</w:t>
            </w:r>
            <w:r>
              <w:rPr>
                <w:rFonts w:ascii="Arial" w:cs="Arial" w:eastAsia="Arial" w:hAnsi="Arial"/>
                <w:sz w:val="16"/>
                <w:szCs w:val="16"/>
                <w:color w:val="auto"/>
                <w:vertAlign w:val="superscript"/>
              </w:rPr>
              <w:t>(3)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216</w:t>
            </w:r>
          </w:p>
        </w:tc>
      </w:tr>
    </w:tbl>
    <w:p>
      <w:pPr>
        <w:spacing w:after="0" w:line="27"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15" w:lineRule="exact"/>
        <w:rPr>
          <w:sz w:val="20"/>
          <w:szCs w:val="20"/>
          <w:color w:val="auto"/>
        </w:rPr>
      </w:pPr>
    </w:p>
    <w:p>
      <w:pPr>
        <w:ind w:left="285" w:hanging="285"/>
        <w:spacing w:after="0"/>
        <w:tabs>
          <w:tab w:leader="none" w:pos="285"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Net income and EPS from continuing operations attributable to Xerox Holdings.</w:t>
      </w:r>
    </w:p>
    <w:p>
      <w:pPr>
        <w:ind w:left="285" w:hanging="285"/>
        <w:spacing w:after="0" w:line="204" w:lineRule="auto"/>
        <w:tabs>
          <w:tab w:leader="none" w:pos="279"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Average shares for the calculation of adjusted diluted EPS for 2020 exclude 7 million shares associated with our Series A convertible preferred stock and therefore earnings include the preferred stock dividend.</w:t>
      </w:r>
    </w:p>
    <w:p>
      <w:pPr>
        <w:ind w:left="285" w:hanging="285"/>
        <w:spacing w:after="0" w:line="211" w:lineRule="auto"/>
        <w:tabs>
          <w:tab w:leader="none" w:pos="279"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Represents common shares outstanding at June 30, 2020 plus potential dilutive common shares as used for the calculation of adjusted diluted EPS for the second quarter 2020. The amount excludes shares associated with our Series A convertible preferred stock as they are expected to be anti-dilutive for the year.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5"/>
          </w:cols>
          <w:pgMar w:left="315" w:top="891" w:right="319" w:bottom="1440" w:gutter="0" w:footer="0" w:header="0"/>
        </w:sectPr>
      </w:pPr>
    </w:p>
    <w:bookmarkStart w:id="32" w:name="page33"/>
    <w:bookmarkEnd w:id="32"/>
    <w:p>
      <w:pPr>
        <w:ind w:left="5"/>
        <w:spacing w:after="0"/>
        <w:rPr>
          <w:sz w:val="20"/>
          <w:szCs w:val="20"/>
          <w:color w:val="auto"/>
        </w:rPr>
      </w:pPr>
      <w:r>
        <w:rPr>
          <w:rFonts w:ascii="Arial" w:cs="Arial" w:eastAsia="Arial" w:hAnsi="Arial"/>
          <w:sz w:val="16"/>
          <w:szCs w:val="16"/>
          <w:i w:val="1"/>
          <w:iCs w:val="1"/>
          <w:u w:val="single" w:color="auto"/>
          <w:color w:val="auto"/>
        </w:rPr>
        <w:t>Effective Tax Rate reconciliation</w:t>
      </w:r>
    </w:p>
    <w:p>
      <w:pPr>
        <w:spacing w:after="0" w:line="148"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w w:val="97"/>
              </w:rPr>
              <w:t>Three Months Ended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w w:val="98"/>
              </w:rPr>
              <w:t>Three Months Ended</w:t>
            </w:r>
          </w:p>
        </w:tc>
        <w:tc>
          <w:tcPr>
            <w:tcW w:w="1220" w:type="dxa"/>
            <w:vAlign w:val="bottom"/>
          </w:tcPr>
          <w:p>
            <w:pPr>
              <w:spacing w:after="0"/>
              <w:rPr>
                <w:sz w:val="13"/>
                <w:szCs w:val="13"/>
                <w:color w:val="auto"/>
              </w:rPr>
            </w:pPr>
          </w:p>
        </w:tc>
      </w:tr>
      <w:tr>
        <w:trPr>
          <w:trHeight w:val="157"/>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w w:val="98"/>
              </w:rPr>
              <w:t>September 30, 2020</w:t>
            </w: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w w:val="98"/>
              </w:rPr>
              <w:t>September 30, 2019</w:t>
            </w:r>
          </w:p>
        </w:tc>
        <w:tc>
          <w:tcPr>
            <w:tcW w:w="1220" w:type="dxa"/>
            <w:vAlign w:val="bottom"/>
            <w:tcBorders>
              <w:bottom w:val="single" w:sz="8" w:color="auto"/>
            </w:tcBorders>
          </w:tcPr>
          <w:p>
            <w:pPr>
              <w:spacing w:after="0"/>
              <w:rPr>
                <w:sz w:val="13"/>
                <w:szCs w:val="13"/>
                <w:color w:val="auto"/>
              </w:rPr>
            </w:pPr>
          </w:p>
        </w:tc>
      </w:tr>
      <w:tr>
        <w:trPr>
          <w:trHeight w:val="166"/>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Income Tax</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Income Tax</w:t>
            </w:r>
          </w:p>
        </w:tc>
        <w:tc>
          <w:tcPr>
            <w:tcW w:w="1220" w:type="dxa"/>
            <w:vAlign w:val="bottom"/>
          </w:tcPr>
          <w:p>
            <w:pPr>
              <w:spacing w:after="0"/>
              <w:rPr>
                <w:sz w:val="14"/>
                <w:szCs w:val="14"/>
                <w:color w:val="auto"/>
              </w:rPr>
            </w:pPr>
          </w:p>
        </w:tc>
      </w:tr>
      <w:tr>
        <w:trPr>
          <w:trHeight w:val="157"/>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2"/>
              </w:rPr>
              <w:t>Pre-Tax Income</w:t>
            </w:r>
          </w:p>
        </w:tc>
        <w:tc>
          <w:tcPr>
            <w:tcW w:w="100" w:type="dxa"/>
            <w:vAlign w:val="bottom"/>
            <w:tcBorders>
              <w:bottom w:val="single" w:sz="8" w:color="E5E5E5"/>
            </w:tcBorders>
          </w:tcPr>
          <w:p>
            <w:pPr>
              <w:spacing w:after="0"/>
              <w:rPr>
                <w:sz w:val="13"/>
                <w:szCs w:val="13"/>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Expense (Benefit)</w:t>
            </w:r>
          </w:p>
        </w:tc>
        <w:tc>
          <w:tcPr>
            <w:tcW w:w="100" w:type="dxa"/>
            <w:vAlign w:val="bottom"/>
            <w:tcBorders>
              <w:bottom w:val="single" w:sz="8" w:color="E5E5E5"/>
            </w:tcBorders>
          </w:tcPr>
          <w:p>
            <w:pPr>
              <w:spacing w:after="0"/>
              <w:rPr>
                <w:sz w:val="13"/>
                <w:szCs w:val="13"/>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Effective Tax Rate</w:t>
            </w:r>
          </w:p>
        </w:tc>
        <w:tc>
          <w:tcPr>
            <w:tcW w:w="100" w:type="dxa"/>
            <w:vAlign w:val="bottom"/>
            <w:tcBorders>
              <w:bottom w:val="single" w:sz="8" w:color="E5E5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5"/>
              </w:rPr>
              <w:t>Pre-Tax Income</w:t>
            </w:r>
          </w:p>
        </w:tc>
        <w:tc>
          <w:tcPr>
            <w:tcW w:w="100" w:type="dxa"/>
            <w:vAlign w:val="bottom"/>
            <w:tcBorders>
              <w:bottom w:val="single" w:sz="8" w:color="E5E5E5"/>
            </w:tcBorders>
          </w:tcPr>
          <w:p>
            <w:pPr>
              <w:spacing w:after="0"/>
              <w:rPr>
                <w:sz w:val="13"/>
                <w:szCs w:val="13"/>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Expense (Benefit)</w:t>
            </w:r>
          </w:p>
        </w:tc>
        <w:tc>
          <w:tcPr>
            <w:tcW w:w="120" w:type="dxa"/>
            <w:vAlign w:val="bottom"/>
            <w:tcBorders>
              <w:bottom w:val="single" w:sz="8" w:color="E5E5E5"/>
            </w:tcBorders>
          </w:tcPr>
          <w:p>
            <w:pPr>
              <w:spacing w:after="0"/>
              <w:rPr>
                <w:sz w:val="13"/>
                <w:szCs w:val="13"/>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Effective Tax Rate</w:t>
            </w:r>
          </w:p>
        </w:tc>
      </w:tr>
      <w:tr>
        <w:trPr>
          <w:trHeight w:val="185"/>
        </w:trPr>
        <w:tc>
          <w:tcPr>
            <w:tcW w:w="376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6"/>
                <w:szCs w:val="16"/>
                <w:b w:val="1"/>
                <w:bCs w:val="1"/>
                <w:color w:val="auto"/>
                <w:vertAlign w:val="superscript"/>
              </w:rPr>
              <w:t>(1)</w:t>
            </w:r>
          </w:p>
        </w:tc>
        <w:tc>
          <w:tcPr>
            <w:tcW w:w="100" w:type="dxa"/>
            <w:vAlign w:val="bottom"/>
            <w:shd w:val="clear" w:color="auto" w:fill="E5E5E5"/>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E5E5E5"/>
          </w:tcPr>
          <w:p>
            <w:pPr>
              <w:spacing w:after="0"/>
              <w:rPr>
                <w:sz w:val="16"/>
                <w:szCs w:val="16"/>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24.4 %</w:t>
            </w: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66</w:t>
            </w:r>
          </w:p>
        </w:tc>
        <w:tc>
          <w:tcPr>
            <w:tcW w:w="120" w:type="dxa"/>
            <w:vAlign w:val="bottom"/>
            <w:shd w:val="clear" w:color="auto" w:fill="E5E5E5"/>
          </w:tcPr>
          <w:p>
            <w:pPr>
              <w:spacing w:after="0"/>
              <w:rPr>
                <w:sz w:val="16"/>
                <w:szCs w:val="16"/>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29.6 %</w:t>
            </w: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3"/>
                <w:szCs w:val="13"/>
                <w:color w:val="auto"/>
              </w:rPr>
              <w:t>Non-GAAP Adjustments</w:t>
            </w:r>
            <w:r>
              <w:rPr>
                <w:rFonts w:ascii="Arial" w:cs="Arial" w:eastAsia="Arial" w:hAnsi="Arial"/>
                <w:sz w:val="16"/>
                <w:szCs w:val="16"/>
                <w:color w:val="auto"/>
                <w:vertAlign w:val="superscript"/>
              </w:rPr>
              <w:t>(2)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4"/>
        </w:trPr>
        <w:tc>
          <w:tcPr>
            <w:tcW w:w="37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Tax Act</w:t>
            </w:r>
          </w:p>
        </w:tc>
        <w:tc>
          <w:tcPr>
            <w:tcW w:w="10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E5E5E5"/>
          </w:tcPr>
          <w:p>
            <w:pPr>
              <w:spacing w:after="0"/>
              <w:rPr>
                <w:sz w:val="16"/>
                <w:szCs w:val="16"/>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E5E5E5"/>
          </w:tcPr>
          <w:p>
            <w:pPr>
              <w:spacing w:after="0"/>
              <w:rPr>
                <w:sz w:val="16"/>
                <w:szCs w:val="16"/>
                <w:color w:val="auto"/>
              </w:rPr>
            </w:pPr>
          </w:p>
        </w:tc>
        <w:tc>
          <w:tcPr>
            <w:tcW w:w="1220" w:type="dxa"/>
            <w:vAlign w:val="bottom"/>
            <w:shd w:val="clear" w:color="auto" w:fill="E5E5E5"/>
          </w:tcPr>
          <w:p>
            <w:pPr>
              <w:spacing w:after="0"/>
              <w:rPr>
                <w:sz w:val="16"/>
                <w:szCs w:val="16"/>
                <w:color w:val="auto"/>
              </w:rPr>
            </w:pPr>
          </w:p>
        </w:tc>
      </w:tr>
      <w:tr>
        <w:trPr>
          <w:trHeight w:val="185"/>
        </w:trPr>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Adjusted</w:t>
            </w:r>
            <w:r>
              <w:rPr>
                <w:rFonts w:ascii="Arial" w:cs="Arial" w:eastAsia="Arial" w:hAnsi="Arial"/>
                <w:sz w:val="16"/>
                <w:szCs w:val="16"/>
                <w:b w:val="1"/>
                <w:bCs w:val="1"/>
                <w:color w:val="auto"/>
                <w:vertAlign w:val="superscript"/>
              </w:rPr>
              <w:t>(3)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21.1 %</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27.3 %</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44"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74" w:lineRule="exact"/>
        <w:rPr>
          <w:sz w:val="20"/>
          <w:szCs w:val="20"/>
          <w:color w:val="auto"/>
        </w:rPr>
      </w:pPr>
    </w:p>
    <w:p>
      <w:pPr>
        <w:ind w:left="125" w:hanging="125"/>
        <w:spacing w:after="0"/>
        <w:tabs>
          <w:tab w:leader="none" w:pos="125" w:val="left"/>
        </w:tabs>
        <w:numPr>
          <w:ilvl w:val="0"/>
          <w:numId w:val="36"/>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Pre-tax income and income tax expense from continuing operations.</w:t>
      </w:r>
    </w:p>
    <w:p>
      <w:pPr>
        <w:ind w:left="125" w:hanging="125"/>
        <w:spacing w:after="0" w:line="197" w:lineRule="auto"/>
        <w:tabs>
          <w:tab w:leader="none" w:pos="125" w:val="left"/>
        </w:tabs>
        <w:numPr>
          <w:ilvl w:val="0"/>
          <w:numId w:val="36"/>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Refer to Net Income and EPS reconciliation for details.</w:t>
      </w:r>
    </w:p>
    <w:p>
      <w:pPr>
        <w:ind w:left="5" w:right="3540" w:hanging="5"/>
        <w:spacing w:after="0" w:line="227" w:lineRule="auto"/>
        <w:tabs>
          <w:tab w:leader="none" w:pos="128" w:val="left"/>
        </w:tabs>
        <w:numPr>
          <w:ilvl w:val="0"/>
          <w:numId w:val="36"/>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tax impact on Adjusted Pre-Tax Income from continuing operations is calculated under the same accounting principles applied to the Reported Pre-Tax Income under ASC 740, which employs an annual effective tax rate method to the results.</w:t>
      </w:r>
    </w:p>
    <w:p>
      <w:pPr>
        <w:spacing w:after="0" w:line="200" w:lineRule="exact"/>
        <w:rPr>
          <w:sz w:val="20"/>
          <w:szCs w:val="20"/>
          <w:color w:val="auto"/>
        </w:rPr>
      </w:pPr>
    </w:p>
    <w:p>
      <w:pPr>
        <w:spacing w:after="0" w:line="265" w:lineRule="exact"/>
        <w:rPr>
          <w:sz w:val="20"/>
          <w:szCs w:val="20"/>
          <w:color w:val="auto"/>
        </w:rPr>
      </w:pPr>
    </w:p>
    <w:p>
      <w:pPr>
        <w:ind w:left="5"/>
        <w:spacing w:after="0"/>
        <w:rPr>
          <w:sz w:val="20"/>
          <w:szCs w:val="20"/>
          <w:color w:val="auto"/>
        </w:rPr>
      </w:pPr>
      <w:r>
        <w:rPr>
          <w:rFonts w:ascii="Arial" w:cs="Arial" w:eastAsia="Arial" w:hAnsi="Arial"/>
          <w:sz w:val="16"/>
          <w:szCs w:val="16"/>
          <w:i w:val="1"/>
          <w:iCs w:val="1"/>
          <w:u w:val="single" w:color="auto"/>
          <w:color w:val="auto"/>
        </w:rPr>
        <w:t>Operating Income / Margin reconciliation</w:t>
      </w:r>
    </w:p>
    <w:p>
      <w:pPr>
        <w:spacing w:after="0" w:line="20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w w:val="98"/>
              </w:rPr>
              <w:t>Three Months Ended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w w:val="98"/>
              </w:rPr>
              <w:t>Three Months Ended</w:t>
            </w:r>
          </w:p>
        </w:tc>
        <w:tc>
          <w:tcPr>
            <w:tcW w:w="1220" w:type="dxa"/>
            <w:vAlign w:val="bottom"/>
          </w:tcPr>
          <w:p>
            <w:pPr>
              <w:spacing w:after="0"/>
              <w:rPr>
                <w:sz w:val="13"/>
                <w:szCs w:val="13"/>
                <w:color w:val="auto"/>
              </w:rPr>
            </w:pPr>
          </w:p>
        </w:tc>
      </w:tr>
      <w:tr>
        <w:trPr>
          <w:trHeight w:val="157"/>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w w:val="98"/>
              </w:rPr>
              <w:t>September 30, 2020</w:t>
            </w: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w w:val="98"/>
              </w:rPr>
              <w:t>September 30, 2019</w:t>
            </w:r>
          </w:p>
        </w:tc>
        <w:tc>
          <w:tcPr>
            <w:tcW w:w="1220" w:type="dxa"/>
            <w:vAlign w:val="bottom"/>
            <w:tcBorders>
              <w:bottom w:val="single" w:sz="8" w:color="auto"/>
            </w:tcBorders>
          </w:tcPr>
          <w:p>
            <w:pPr>
              <w:spacing w:after="0"/>
              <w:rPr>
                <w:sz w:val="13"/>
                <w:szCs w:val="13"/>
                <w:color w:val="auto"/>
              </w:rPr>
            </w:pPr>
          </w:p>
        </w:tc>
      </w:tr>
      <w:tr>
        <w:trPr>
          <w:trHeight w:val="18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E5E5E5"/>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Profit</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Revenue</w:t>
            </w:r>
          </w:p>
        </w:tc>
        <w:tc>
          <w:tcPr>
            <w:tcW w:w="100" w:type="dxa"/>
            <w:vAlign w:val="bottom"/>
            <w:tcBorders>
              <w:bottom w:val="single" w:sz="8" w:color="E5E5E5"/>
            </w:tcBorders>
          </w:tcPr>
          <w:p>
            <w:pPr>
              <w:spacing w:after="0"/>
              <w:rPr>
                <w:sz w:val="15"/>
                <w:szCs w:val="15"/>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Margin</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Profit</w:t>
            </w:r>
          </w:p>
        </w:tc>
        <w:tc>
          <w:tcPr>
            <w:tcW w:w="10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Revenue</w:t>
            </w:r>
          </w:p>
        </w:tc>
        <w:tc>
          <w:tcPr>
            <w:tcW w:w="100" w:type="dxa"/>
            <w:vAlign w:val="bottom"/>
            <w:tcBorders>
              <w:bottom w:val="single" w:sz="8" w:color="E5E5E5"/>
            </w:tcBorders>
          </w:tcPr>
          <w:p>
            <w:pPr>
              <w:spacing w:after="0"/>
              <w:rPr>
                <w:sz w:val="15"/>
                <w:szCs w:val="15"/>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Margin</w:t>
            </w:r>
          </w:p>
        </w:tc>
      </w:tr>
      <w:tr>
        <w:trPr>
          <w:trHeight w:val="185"/>
        </w:trPr>
        <w:tc>
          <w:tcPr>
            <w:tcW w:w="376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6"/>
                <w:szCs w:val="16"/>
                <w:b w:val="1"/>
                <w:bCs w:val="1"/>
                <w:color w:val="auto"/>
                <w:vertAlign w:val="superscript"/>
              </w:rPr>
              <w:t>(1)</w:t>
            </w:r>
          </w:p>
        </w:tc>
        <w:tc>
          <w:tcPr>
            <w:tcW w:w="760" w:type="dxa"/>
            <w:vAlign w:val="bottom"/>
            <w:shd w:val="clear" w:color="auto" w:fill="E5E5E5"/>
          </w:tcPr>
          <w:p>
            <w:pPr>
              <w:jc w:val="right"/>
              <w:ind w:right="61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1,767</w:t>
            </w:r>
          </w:p>
        </w:tc>
        <w:tc>
          <w:tcPr>
            <w:tcW w:w="100" w:type="dxa"/>
            <w:vAlign w:val="bottom"/>
            <w:shd w:val="clear" w:color="auto" w:fill="E5E5E5"/>
          </w:tcPr>
          <w:p>
            <w:pPr>
              <w:spacing w:after="0"/>
              <w:rPr>
                <w:sz w:val="16"/>
                <w:szCs w:val="16"/>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6.7 %</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2,179</w:t>
            </w:r>
          </w:p>
        </w:tc>
        <w:tc>
          <w:tcPr>
            <w:tcW w:w="100" w:type="dxa"/>
            <w:vAlign w:val="bottom"/>
            <w:shd w:val="clear" w:color="auto" w:fill="E5E5E5"/>
          </w:tcPr>
          <w:p>
            <w:pPr>
              <w:spacing w:after="0"/>
              <w:rPr>
                <w:sz w:val="16"/>
                <w:szCs w:val="16"/>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10.2 %</w:t>
            </w:r>
          </w:p>
        </w:tc>
      </w:tr>
      <w:tr>
        <w:trPr>
          <w:trHeight w:val="184"/>
        </w:trPr>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Adjustments:</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37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Restructuring and related costs</w:t>
            </w:r>
          </w:p>
        </w:tc>
        <w:tc>
          <w:tcPr>
            <w:tcW w:w="760" w:type="dxa"/>
            <w:vAlign w:val="bottom"/>
            <w:shd w:val="clear" w:color="auto" w:fill="E5E5E5"/>
          </w:tcPr>
          <w:p>
            <w:pPr>
              <w:spacing w:after="0"/>
              <w:rPr>
                <w:sz w:val="16"/>
                <w:szCs w:val="16"/>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20" w:type="dxa"/>
            <w:vAlign w:val="bottom"/>
            <w:shd w:val="clear" w:color="auto" w:fill="E5E5E5"/>
          </w:tcPr>
          <w:p>
            <w:pPr>
              <w:spacing w:after="0"/>
              <w:rPr>
                <w:sz w:val="16"/>
                <w:szCs w:val="16"/>
                <w:color w:val="auto"/>
              </w:rPr>
            </w:pPr>
          </w:p>
        </w:tc>
      </w:tr>
      <w:tr>
        <w:trPr>
          <w:trHeight w:val="184"/>
        </w:trPr>
        <w:tc>
          <w:tcPr>
            <w:tcW w:w="3760" w:type="dxa"/>
            <w:vAlign w:val="bottom"/>
            <w:gridSpan w:val="2"/>
          </w:tcPr>
          <w:p>
            <w:pPr>
              <w:ind w:left="20"/>
              <w:spacing w:after="0"/>
              <w:rPr>
                <w:sz w:val="20"/>
                <w:szCs w:val="20"/>
                <w:color w:val="auto"/>
              </w:rPr>
            </w:pPr>
            <w:r>
              <w:rPr>
                <w:rFonts w:ascii="Arial" w:cs="Arial" w:eastAsia="Arial" w:hAnsi="Arial"/>
                <w:sz w:val="13"/>
                <w:szCs w:val="13"/>
                <w:color w:val="auto"/>
              </w:rPr>
              <w:t>Amortization of intangible assets</w:t>
            </w: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376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Transaction and related costs, net</w:t>
            </w:r>
          </w:p>
        </w:tc>
        <w:tc>
          <w:tcPr>
            <w:tcW w:w="760" w:type="dxa"/>
            <w:vAlign w:val="bottom"/>
            <w:shd w:val="clear" w:color="auto" w:fill="E5E5E5"/>
          </w:tcPr>
          <w:p>
            <w:pPr>
              <w:spacing w:after="0"/>
              <w:rPr>
                <w:sz w:val="16"/>
                <w:szCs w:val="16"/>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20" w:type="dxa"/>
            <w:vAlign w:val="bottom"/>
            <w:shd w:val="clear" w:color="auto" w:fill="E5E5E5"/>
          </w:tcPr>
          <w:p>
            <w:pPr>
              <w:spacing w:after="0"/>
              <w:rPr>
                <w:sz w:val="16"/>
                <w:szCs w:val="16"/>
                <w:color w:val="auto"/>
              </w:rPr>
            </w:pPr>
          </w:p>
        </w:tc>
      </w:tr>
      <w:tr>
        <w:trPr>
          <w:trHeight w:val="184"/>
        </w:trPr>
        <w:tc>
          <w:tcPr>
            <w:tcW w:w="376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Other expenses, net</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2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220" w:type="dxa"/>
            <w:vAlign w:val="bottom"/>
            <w:tcBorders>
              <w:bottom w:val="single" w:sz="8" w:color="E5E5E5"/>
            </w:tcBorders>
          </w:tcPr>
          <w:p>
            <w:pPr>
              <w:spacing w:after="0"/>
              <w:rPr>
                <w:sz w:val="16"/>
                <w:szCs w:val="16"/>
                <w:color w:val="auto"/>
              </w:rPr>
            </w:pPr>
          </w:p>
        </w:tc>
      </w:tr>
      <w:tr>
        <w:trPr>
          <w:trHeight w:val="210"/>
        </w:trPr>
        <w:tc>
          <w:tcPr>
            <w:tcW w:w="37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Adjusted</w:t>
            </w:r>
          </w:p>
        </w:tc>
        <w:tc>
          <w:tcPr>
            <w:tcW w:w="760" w:type="dxa"/>
            <w:vAlign w:val="bottom"/>
            <w:tcBorders>
              <w:bottom w:val="single" w:sz="8" w:color="auto"/>
            </w:tcBorders>
            <w:shd w:val="clear" w:color="auto" w:fill="E5E5E5"/>
          </w:tcPr>
          <w:p>
            <w:pPr>
              <w:jc w:val="right"/>
              <w:ind w:right="61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1,767</w:t>
            </w:r>
          </w:p>
        </w:tc>
        <w:tc>
          <w:tcPr>
            <w:tcW w:w="100" w:type="dxa"/>
            <w:vAlign w:val="bottom"/>
            <w:tcBorders>
              <w:bottom w:val="single" w:sz="8" w:color="E5E5E5"/>
            </w:tcBorders>
            <w:shd w:val="clear" w:color="auto" w:fill="E5E5E5"/>
          </w:tcPr>
          <w:p>
            <w:pPr>
              <w:spacing w:after="0"/>
              <w:rPr>
                <w:sz w:val="17"/>
                <w:szCs w:val="17"/>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7.4 %</w:t>
            </w:r>
          </w:p>
        </w:tc>
        <w:tc>
          <w:tcPr>
            <w:tcW w:w="100" w:type="dxa"/>
            <w:vAlign w:val="bottom"/>
            <w:tcBorders>
              <w:bottom w:val="single" w:sz="8" w:color="E5E5E5"/>
            </w:tcBorders>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262</w:t>
            </w:r>
          </w:p>
        </w:tc>
        <w:tc>
          <w:tcPr>
            <w:tcW w:w="10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2,179</w:t>
            </w:r>
          </w:p>
        </w:tc>
        <w:tc>
          <w:tcPr>
            <w:tcW w:w="100" w:type="dxa"/>
            <w:vAlign w:val="bottom"/>
            <w:tcBorders>
              <w:bottom w:val="single" w:sz="8" w:color="E5E5E5"/>
            </w:tcBorders>
            <w:shd w:val="clear" w:color="auto" w:fill="E5E5E5"/>
          </w:tcPr>
          <w:p>
            <w:pPr>
              <w:spacing w:after="0"/>
              <w:rPr>
                <w:sz w:val="17"/>
                <w:szCs w:val="17"/>
                <w:color w:val="auto"/>
              </w:rPr>
            </w:pPr>
          </w:p>
        </w:tc>
        <w:tc>
          <w:tcPr>
            <w:tcW w:w="12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12.0 %</w:t>
            </w:r>
          </w:p>
        </w:tc>
      </w:tr>
      <w:tr>
        <w:trPr>
          <w:trHeight w:val="20"/>
        </w:trPr>
        <w:tc>
          <w:tcPr>
            <w:tcW w:w="36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60" w:type="dxa"/>
            <w:vAlign w:val="bottom"/>
            <w:tcBorders>
              <w:top w:val="single" w:sz="8" w:color="E5E5E5"/>
              <w:bottom w:val="single" w:sz="8" w:color="auto"/>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9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20" w:type="dxa"/>
            <w:vAlign w:val="bottom"/>
            <w:tcBorders>
              <w:top w:val="single" w:sz="8" w:color="E5E5E5"/>
            </w:tcBorders>
          </w:tcPr>
          <w:p>
            <w:pPr>
              <w:spacing w:after="0" w:line="20" w:lineRule="exact"/>
              <w:rPr>
                <w:sz w:val="1"/>
                <w:szCs w:val="1"/>
                <w:color w:val="auto"/>
              </w:rPr>
            </w:pPr>
          </w:p>
        </w:tc>
      </w:tr>
    </w:tbl>
    <w:p>
      <w:pPr>
        <w:spacing w:after="0" w:line="139"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w:t>
      </w:r>
    </w:p>
    <w:p>
      <w:pPr>
        <w:spacing w:after="0" w:line="84" w:lineRule="exact"/>
        <w:rPr>
          <w:sz w:val="20"/>
          <w:szCs w:val="20"/>
          <w:color w:val="auto"/>
        </w:rPr>
      </w:pPr>
    </w:p>
    <w:p>
      <w:pPr>
        <w:ind w:left="125" w:hanging="125"/>
        <w:spacing w:after="0"/>
        <w:tabs>
          <w:tab w:leader="none" w:pos="125" w:val="left"/>
        </w:tabs>
        <w:numPr>
          <w:ilvl w:val="0"/>
          <w:numId w:val="3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Pre-tax Income and revenue from continuing operations.</w:t>
      </w:r>
    </w:p>
    <w:p>
      <w:pPr>
        <w:spacing w:after="0" w:line="200" w:lineRule="exact"/>
        <w:rPr>
          <w:sz w:val="20"/>
          <w:szCs w:val="20"/>
          <w:color w:val="auto"/>
        </w:rPr>
      </w:pPr>
    </w:p>
    <w:p>
      <w:pPr>
        <w:spacing w:after="0" w:line="326"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spacing w:after="0"/>
              <w:rPr>
                <w:sz w:val="20"/>
                <w:szCs w:val="20"/>
                <w:color w:val="auto"/>
              </w:rPr>
            </w:pPr>
            <w:r>
              <w:rPr>
                <w:rFonts w:ascii="Arial" w:cs="Arial" w:eastAsia="Arial" w:hAnsi="Arial"/>
                <w:sz w:val="13"/>
                <w:szCs w:val="13"/>
                <w:color w:val="auto"/>
              </w:rPr>
              <w:t>Three Months Ended</w:t>
            </w:r>
          </w:p>
        </w:tc>
        <w:tc>
          <w:tcPr>
            <w:tcW w:w="1240" w:type="dxa"/>
            <w:vAlign w:val="bottom"/>
          </w:tcPr>
          <w:p>
            <w:pPr>
              <w:spacing w:after="0"/>
              <w:rPr>
                <w:sz w:val="12"/>
                <w:szCs w:val="12"/>
                <w:color w:val="auto"/>
              </w:rPr>
            </w:pPr>
          </w:p>
        </w:tc>
      </w:tr>
      <w:tr>
        <w:trPr>
          <w:trHeight w:val="157"/>
        </w:trPr>
        <w:tc>
          <w:tcPr>
            <w:tcW w:w="7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June 30, 2020</w:t>
            </w:r>
          </w:p>
        </w:tc>
        <w:tc>
          <w:tcPr>
            <w:tcW w:w="1240" w:type="dxa"/>
            <w:vAlign w:val="bottom"/>
            <w:tcBorders>
              <w:bottom w:val="single" w:sz="8" w:color="auto"/>
            </w:tcBorders>
          </w:tcPr>
          <w:p>
            <w:pPr>
              <w:spacing w:after="0"/>
              <w:rPr>
                <w:sz w:val="13"/>
                <w:szCs w:val="13"/>
                <w:color w:val="auto"/>
              </w:rPr>
            </w:pPr>
          </w:p>
        </w:tc>
      </w:tr>
      <w:tr>
        <w:trPr>
          <w:trHeight w:val="181"/>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E5E5E5"/>
            </w:tcBorders>
          </w:tcPr>
          <w:p>
            <w:pPr>
              <w:spacing w:after="0"/>
              <w:rPr>
                <w:sz w:val="15"/>
                <w:szCs w:val="15"/>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Profit</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Revenue</w:t>
            </w:r>
          </w:p>
        </w:tc>
        <w:tc>
          <w:tcPr>
            <w:tcW w:w="120" w:type="dxa"/>
            <w:vAlign w:val="bottom"/>
            <w:tcBorders>
              <w:bottom w:val="single" w:sz="8" w:color="E5E5E5"/>
            </w:tcBorders>
          </w:tcPr>
          <w:p>
            <w:pPr>
              <w:spacing w:after="0"/>
              <w:rPr>
                <w:sz w:val="15"/>
                <w:szCs w:val="15"/>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Margin</w:t>
            </w:r>
          </w:p>
        </w:tc>
      </w:tr>
      <w:tr>
        <w:trPr>
          <w:trHeight w:val="185"/>
        </w:trPr>
        <w:tc>
          <w:tcPr>
            <w:tcW w:w="754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6"/>
                <w:szCs w:val="16"/>
                <w:b w:val="1"/>
                <w:bCs w:val="1"/>
                <w:color w:val="auto"/>
                <w:vertAlign w:val="superscript"/>
              </w:rPr>
              <w:t>(1)</w:t>
            </w:r>
          </w:p>
        </w:tc>
        <w:tc>
          <w:tcPr>
            <w:tcW w:w="820" w:type="dxa"/>
            <w:vAlign w:val="bottom"/>
            <w:shd w:val="clear" w:color="auto" w:fill="E5E5E5"/>
          </w:tcPr>
          <w:p>
            <w:pPr>
              <w:jc w:val="right"/>
              <w:ind w:right="67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20"/>
                <w:szCs w:val="20"/>
                <w:color w:val="auto"/>
              </w:rPr>
            </w:pPr>
            <w:r>
              <w:rPr>
                <w:rFonts w:ascii="Arial" w:cs="Arial" w:eastAsia="Arial" w:hAnsi="Arial"/>
                <w:sz w:val="13"/>
                <w:szCs w:val="13"/>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1,465</w:t>
            </w:r>
          </w:p>
        </w:tc>
        <w:tc>
          <w:tcPr>
            <w:tcW w:w="12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2.4 %</w:t>
            </w:r>
          </w:p>
        </w:tc>
      </w:tr>
      <w:tr>
        <w:trPr>
          <w:trHeight w:val="184"/>
        </w:trPr>
        <w:tc>
          <w:tcPr>
            <w:tcW w:w="7540" w:type="dxa"/>
            <w:vAlign w:val="bottom"/>
            <w:gridSpan w:val="2"/>
          </w:tcPr>
          <w:p>
            <w:pPr>
              <w:ind w:left="20"/>
              <w:spacing w:after="0"/>
              <w:rPr>
                <w:sz w:val="20"/>
                <w:szCs w:val="20"/>
                <w:color w:val="auto"/>
              </w:rPr>
            </w:pPr>
            <w:r>
              <w:rPr>
                <w:rFonts w:ascii="Arial" w:cs="Arial" w:eastAsia="Arial" w:hAnsi="Arial"/>
                <w:sz w:val="13"/>
                <w:szCs w:val="13"/>
                <w:b w:val="1"/>
                <w:bCs w:val="1"/>
                <w:color w:val="auto"/>
              </w:rPr>
              <w:t>Adjustments: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4"/>
        </w:trPr>
        <w:tc>
          <w:tcPr>
            <w:tcW w:w="754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Restructuring and related costs</w:t>
            </w:r>
          </w:p>
        </w:tc>
        <w:tc>
          <w:tcPr>
            <w:tcW w:w="820" w:type="dxa"/>
            <w:vAlign w:val="bottom"/>
            <w:shd w:val="clear" w:color="auto" w:fill="E5E5E5"/>
          </w:tcPr>
          <w:p>
            <w:pPr>
              <w:spacing w:after="0"/>
              <w:rPr>
                <w:sz w:val="16"/>
                <w:szCs w:val="16"/>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40" w:type="dxa"/>
            <w:vAlign w:val="bottom"/>
            <w:shd w:val="clear" w:color="auto" w:fill="E5E5E5"/>
          </w:tcPr>
          <w:p>
            <w:pPr>
              <w:spacing w:after="0"/>
              <w:rPr>
                <w:sz w:val="16"/>
                <w:szCs w:val="16"/>
                <w:color w:val="auto"/>
              </w:rPr>
            </w:pPr>
          </w:p>
        </w:tc>
      </w:tr>
      <w:tr>
        <w:trPr>
          <w:trHeight w:val="184"/>
        </w:trPr>
        <w:tc>
          <w:tcPr>
            <w:tcW w:w="7540" w:type="dxa"/>
            <w:vAlign w:val="bottom"/>
            <w:gridSpan w:val="2"/>
          </w:tcPr>
          <w:p>
            <w:pPr>
              <w:ind w:left="20"/>
              <w:spacing w:after="0"/>
              <w:rPr>
                <w:sz w:val="20"/>
                <w:szCs w:val="20"/>
                <w:color w:val="auto"/>
              </w:rPr>
            </w:pPr>
            <w:r>
              <w:rPr>
                <w:rFonts w:ascii="Arial" w:cs="Arial" w:eastAsia="Arial" w:hAnsi="Arial"/>
                <w:sz w:val="13"/>
                <w:szCs w:val="13"/>
                <w:color w:val="auto"/>
              </w:rPr>
              <w:t>Amortization of intangible assets</w:t>
            </w:r>
          </w:p>
        </w:tc>
        <w:tc>
          <w:tcPr>
            <w:tcW w:w="8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4"/>
        </w:trPr>
        <w:tc>
          <w:tcPr>
            <w:tcW w:w="754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Transaction and related costs, net</w:t>
            </w:r>
          </w:p>
        </w:tc>
        <w:tc>
          <w:tcPr>
            <w:tcW w:w="820" w:type="dxa"/>
            <w:vAlign w:val="bottom"/>
            <w:shd w:val="clear" w:color="auto" w:fill="E5E5E5"/>
          </w:tcPr>
          <w:p>
            <w:pPr>
              <w:spacing w:after="0"/>
              <w:rPr>
                <w:sz w:val="16"/>
                <w:szCs w:val="16"/>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40" w:type="dxa"/>
            <w:vAlign w:val="bottom"/>
            <w:shd w:val="clear" w:color="auto" w:fill="E5E5E5"/>
          </w:tcPr>
          <w:p>
            <w:pPr>
              <w:spacing w:after="0"/>
              <w:rPr>
                <w:sz w:val="16"/>
                <w:szCs w:val="16"/>
                <w:color w:val="auto"/>
              </w:rPr>
            </w:pPr>
          </w:p>
        </w:tc>
      </w:tr>
      <w:tr>
        <w:trPr>
          <w:trHeight w:val="184"/>
        </w:trPr>
        <w:tc>
          <w:tcPr>
            <w:tcW w:w="7540" w:type="dxa"/>
            <w:vAlign w:val="bottom"/>
            <w:tcBorders>
              <w:bottom w:val="single" w:sz="8" w:color="E5E5E5"/>
            </w:tcBorders>
            <w:gridSpan w:val="2"/>
          </w:tcPr>
          <w:p>
            <w:pPr>
              <w:ind w:left="20"/>
              <w:spacing w:after="0"/>
              <w:rPr>
                <w:sz w:val="20"/>
                <w:szCs w:val="20"/>
                <w:color w:val="auto"/>
              </w:rPr>
            </w:pPr>
            <w:r>
              <w:rPr>
                <w:rFonts w:ascii="Arial" w:cs="Arial" w:eastAsia="Arial" w:hAnsi="Arial"/>
                <w:sz w:val="13"/>
                <w:szCs w:val="13"/>
                <w:color w:val="auto"/>
              </w:rPr>
              <w:t>Other expenses, net</w:t>
            </w: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1240" w:type="dxa"/>
            <w:vAlign w:val="bottom"/>
            <w:tcBorders>
              <w:bottom w:val="single" w:sz="8" w:color="E5E5E5"/>
            </w:tcBorders>
          </w:tcPr>
          <w:p>
            <w:pPr>
              <w:spacing w:after="0"/>
              <w:rPr>
                <w:sz w:val="16"/>
                <w:szCs w:val="16"/>
                <w:color w:val="auto"/>
              </w:rPr>
            </w:pPr>
          </w:p>
        </w:tc>
      </w:tr>
      <w:tr>
        <w:trPr>
          <w:trHeight w:val="210"/>
        </w:trPr>
        <w:tc>
          <w:tcPr>
            <w:tcW w:w="75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Adjusted</w:t>
            </w:r>
          </w:p>
        </w:tc>
        <w:tc>
          <w:tcPr>
            <w:tcW w:w="820" w:type="dxa"/>
            <w:vAlign w:val="bottom"/>
            <w:tcBorders>
              <w:bottom w:val="single" w:sz="8" w:color="auto"/>
            </w:tcBorders>
            <w:shd w:val="clear" w:color="auto" w:fill="E5E5E5"/>
          </w:tcPr>
          <w:p>
            <w:pPr>
              <w:jc w:val="right"/>
              <w:ind w:right="67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E5E5E5"/>
            </w:tcBorders>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1,465</w:t>
            </w:r>
          </w:p>
        </w:tc>
        <w:tc>
          <w:tcPr>
            <w:tcW w:w="120" w:type="dxa"/>
            <w:vAlign w:val="bottom"/>
            <w:tcBorders>
              <w:bottom w:val="single" w:sz="8" w:color="E5E5E5"/>
            </w:tcBorders>
            <w:shd w:val="clear" w:color="auto" w:fill="E5E5E5"/>
          </w:tcPr>
          <w:p>
            <w:pPr>
              <w:spacing w:after="0"/>
              <w:rPr>
                <w:sz w:val="17"/>
                <w:szCs w:val="17"/>
                <w:color w:val="auto"/>
              </w:rPr>
            </w:pP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4.2 %</w:t>
            </w:r>
          </w:p>
        </w:tc>
      </w:tr>
      <w:tr>
        <w:trPr>
          <w:trHeight w:val="20"/>
        </w:trPr>
        <w:tc>
          <w:tcPr>
            <w:tcW w:w="74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9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240" w:type="dxa"/>
            <w:vAlign w:val="bottom"/>
            <w:tcBorders>
              <w:top w:val="single" w:sz="8" w:color="E5E5E5"/>
            </w:tcBorders>
          </w:tcPr>
          <w:p>
            <w:pPr>
              <w:spacing w:after="0" w:line="20" w:lineRule="exact"/>
              <w:rPr>
                <w:sz w:val="1"/>
                <w:szCs w:val="1"/>
                <w:color w:val="auto"/>
              </w:rPr>
            </w:pPr>
          </w:p>
        </w:tc>
      </w:tr>
    </w:tbl>
    <w:p>
      <w:pPr>
        <w:spacing w:after="0" w:line="139"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w:t>
      </w:r>
    </w:p>
    <w:p>
      <w:pPr>
        <w:spacing w:after="0" w:line="84" w:lineRule="exact"/>
        <w:rPr>
          <w:sz w:val="20"/>
          <w:szCs w:val="20"/>
          <w:color w:val="auto"/>
        </w:rPr>
      </w:pPr>
    </w:p>
    <w:p>
      <w:pPr>
        <w:ind w:left="125" w:hanging="125"/>
        <w:spacing w:after="0"/>
        <w:tabs>
          <w:tab w:leader="none" w:pos="125" w:val="left"/>
        </w:tabs>
        <w:numPr>
          <w:ilvl w:val="0"/>
          <w:numId w:val="3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Pre-tax Income and revenue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5"/>
          </w:cols>
          <w:pgMar w:left="315" w:top="796" w:right="319" w:bottom="1440" w:gutter="0" w:footer="0" w:header="0"/>
        </w:sectPr>
      </w:pPr>
    </w:p>
    <w:bookmarkStart w:id="33" w:name="page34"/>
    <w:bookmarkEnd w:id="33"/>
    <w:p>
      <w:pPr>
        <w:ind w:left="5"/>
        <w:spacing w:after="0"/>
        <w:rPr>
          <w:sz w:val="20"/>
          <w:szCs w:val="20"/>
          <w:color w:val="auto"/>
        </w:rPr>
      </w:pPr>
      <w:r>
        <w:rPr>
          <w:rFonts w:ascii="Arial" w:cs="Arial" w:eastAsia="Arial" w:hAnsi="Arial"/>
          <w:sz w:val="16"/>
          <w:szCs w:val="16"/>
          <w:i w:val="1"/>
          <w:iCs w:val="1"/>
          <w:u w:val="single" w:color="auto"/>
          <w:color w:val="auto"/>
        </w:rPr>
        <w:t>Free Cash Flow reconciliation</w:t>
      </w:r>
    </w:p>
    <w:p>
      <w:pPr>
        <w:spacing w:after="0" w:line="200" w:lineRule="exact"/>
        <w:rPr>
          <w:sz w:val="20"/>
          <w:szCs w:val="20"/>
          <w:color w:val="auto"/>
        </w:rPr>
      </w:pPr>
    </w:p>
    <w:p>
      <w:pPr>
        <w:spacing w:after="0" w:line="360" w:lineRule="exact"/>
        <w:rPr>
          <w:sz w:val="20"/>
          <w:szCs w:val="20"/>
          <w:color w:val="auto"/>
        </w:rPr>
      </w:pPr>
    </w:p>
    <w:p>
      <w:pPr>
        <w:ind w:left="25"/>
        <w:spacing w:after="0"/>
        <w:rPr>
          <w:sz w:val="20"/>
          <w:szCs w:val="20"/>
          <w:color w:val="auto"/>
        </w:rPr>
      </w:pPr>
      <w:r>
        <w:rPr>
          <w:rFonts w:ascii="Arial" w:cs="Arial" w:eastAsia="Arial" w:hAnsi="Arial"/>
          <w:sz w:val="11"/>
          <w:szCs w:val="1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9465" cy="127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35" w:lineRule="exact"/>
        <w:rPr>
          <w:sz w:val="20"/>
          <w:szCs w:val="20"/>
          <w:color w:val="auto"/>
        </w:rPr>
      </w:pPr>
    </w:p>
    <w:p>
      <w:pPr>
        <w:ind w:left="25"/>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6"/>
          <w:szCs w:val="16"/>
          <w:b w:val="1"/>
          <w:bCs w:val="1"/>
          <w:color w:val="auto"/>
          <w:vertAlign w:val="superscript"/>
        </w:rPr>
        <w:t>(1)</w:t>
      </w:r>
    </w:p>
    <w:p>
      <w:pPr>
        <w:spacing w:after="0" w:line="11" w:lineRule="exact"/>
        <w:rPr>
          <w:sz w:val="20"/>
          <w:szCs w:val="20"/>
          <w:color w:val="auto"/>
        </w:rPr>
      </w:pPr>
    </w:p>
    <w:p>
      <w:pPr>
        <w:ind w:left="25"/>
        <w:spacing w:after="0"/>
        <w:rPr>
          <w:sz w:val="20"/>
          <w:szCs w:val="20"/>
          <w:color w:val="auto"/>
        </w:rPr>
      </w:pPr>
      <w:r>
        <w:rPr>
          <w:rFonts w:ascii="Arial" w:cs="Arial" w:eastAsia="Arial" w:hAnsi="Arial"/>
          <w:sz w:val="13"/>
          <w:szCs w:val="13"/>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9465" cy="142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42240"/>
                    </a:xfrm>
                    <a:prstGeom prst="rect">
                      <a:avLst/>
                    </a:prstGeom>
                    <a:noFill/>
                  </pic:spPr>
                </pic:pic>
              </a:graphicData>
            </a:graphic>
          </wp:anchor>
        </w:drawing>
      </w:r>
    </w:p>
    <w:p>
      <w:pPr>
        <w:spacing w:after="0" w:line="39" w:lineRule="exact"/>
        <w:rPr>
          <w:sz w:val="20"/>
          <w:szCs w:val="20"/>
          <w:color w:val="auto"/>
        </w:rPr>
      </w:pPr>
    </w:p>
    <w:p>
      <w:pPr>
        <w:ind w:left="25"/>
        <w:spacing w:after="0"/>
        <w:rPr>
          <w:sz w:val="20"/>
          <w:szCs w:val="20"/>
          <w:color w:val="auto"/>
        </w:rPr>
      </w:pPr>
      <w:r>
        <w:rPr>
          <w:rFonts w:ascii="Arial" w:cs="Arial" w:eastAsia="Arial" w:hAnsi="Arial"/>
          <w:sz w:val="13"/>
          <w:szCs w:val="13"/>
          <w:b w:val="1"/>
          <w:bCs w:val="1"/>
          <w:color w:val="auto"/>
        </w:rPr>
        <w:t>Free Cash Flow</w:t>
      </w:r>
    </w:p>
    <w:p>
      <w:pPr>
        <w:spacing w:after="0" w:line="119"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25" w:lineRule="exact"/>
        <w:rPr>
          <w:sz w:val="20"/>
          <w:szCs w:val="20"/>
          <w:color w:val="auto"/>
        </w:rPr>
      </w:pPr>
    </w:p>
    <w:p>
      <w:pPr>
        <w:ind w:left="285" w:hanging="285"/>
        <w:spacing w:after="0"/>
        <w:tabs>
          <w:tab w:leader="none" w:pos="285" w:val="left"/>
        </w:tabs>
        <w:numPr>
          <w:ilvl w:val="0"/>
          <w:numId w:val="3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Net cash provided by operating activities of continuing operations.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5"/>
        <w:spacing w:after="0"/>
        <w:rPr>
          <w:sz w:val="20"/>
          <w:szCs w:val="20"/>
          <w:color w:val="auto"/>
        </w:rPr>
      </w:pPr>
      <w:r>
        <w:rPr>
          <w:rFonts w:ascii="Arial" w:cs="Arial" w:eastAsia="Arial" w:hAnsi="Arial"/>
          <w:sz w:val="11"/>
          <w:szCs w:val="1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9465" cy="127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35" w:lineRule="exact"/>
        <w:rPr>
          <w:sz w:val="20"/>
          <w:szCs w:val="20"/>
          <w:color w:val="auto"/>
        </w:rPr>
      </w:pPr>
    </w:p>
    <w:p>
      <w:pPr>
        <w:ind w:left="25"/>
        <w:spacing w:after="0"/>
        <w:rPr>
          <w:sz w:val="20"/>
          <w:szCs w:val="20"/>
          <w:color w:val="auto"/>
        </w:rPr>
      </w:pPr>
      <w:r>
        <w:rPr>
          <w:rFonts w:ascii="Arial" w:cs="Arial" w:eastAsia="Arial" w:hAnsi="Arial"/>
          <w:sz w:val="13"/>
          <w:szCs w:val="13"/>
          <w:b w:val="1"/>
          <w:bCs w:val="1"/>
          <w:color w:val="auto"/>
        </w:rPr>
        <w:t>Reported</w:t>
      </w:r>
      <w:r>
        <w:rPr>
          <w:rFonts w:ascii="Arial" w:cs="Arial" w:eastAsia="Arial" w:hAnsi="Arial"/>
          <w:sz w:val="16"/>
          <w:szCs w:val="16"/>
          <w:b w:val="1"/>
          <w:bCs w:val="1"/>
          <w:color w:val="auto"/>
          <w:vertAlign w:val="superscript"/>
        </w:rPr>
        <w:t>(1)</w:t>
      </w:r>
    </w:p>
    <w:p>
      <w:pPr>
        <w:spacing w:after="0" w:line="11" w:lineRule="exact"/>
        <w:rPr>
          <w:sz w:val="20"/>
          <w:szCs w:val="20"/>
          <w:color w:val="auto"/>
        </w:rPr>
      </w:pPr>
    </w:p>
    <w:p>
      <w:pPr>
        <w:ind w:left="25"/>
        <w:spacing w:after="0"/>
        <w:rPr>
          <w:sz w:val="20"/>
          <w:szCs w:val="20"/>
          <w:color w:val="auto"/>
        </w:rPr>
      </w:pPr>
      <w:r>
        <w:rPr>
          <w:rFonts w:ascii="Arial" w:cs="Arial" w:eastAsia="Arial" w:hAnsi="Arial"/>
          <w:sz w:val="13"/>
          <w:szCs w:val="13"/>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9465" cy="142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42240"/>
                    </a:xfrm>
                    <a:prstGeom prst="rect">
                      <a:avLst/>
                    </a:prstGeom>
                    <a:noFill/>
                  </pic:spPr>
                </pic:pic>
              </a:graphicData>
            </a:graphic>
          </wp:anchor>
        </w:drawing>
      </w:r>
    </w:p>
    <w:p>
      <w:pPr>
        <w:spacing w:after="0" w:line="39" w:lineRule="exact"/>
        <w:rPr>
          <w:sz w:val="20"/>
          <w:szCs w:val="20"/>
          <w:color w:val="auto"/>
        </w:rPr>
      </w:pPr>
    </w:p>
    <w:p>
      <w:pPr>
        <w:ind w:left="25"/>
        <w:spacing w:after="0"/>
        <w:rPr>
          <w:sz w:val="20"/>
          <w:szCs w:val="20"/>
          <w:color w:val="auto"/>
        </w:rPr>
      </w:pPr>
      <w:r>
        <w:rPr>
          <w:rFonts w:ascii="Arial" w:cs="Arial" w:eastAsia="Arial" w:hAnsi="Arial"/>
          <w:sz w:val="13"/>
          <w:szCs w:val="13"/>
          <w:b w:val="1"/>
          <w:bCs w:val="1"/>
          <w:color w:val="auto"/>
        </w:rPr>
        <w:t>Free Cash Flow</w:t>
      </w:r>
    </w:p>
    <w:p>
      <w:pPr>
        <w:spacing w:after="0" w:line="131" w:lineRule="exact"/>
        <w:rPr>
          <w:sz w:val="20"/>
          <w:szCs w:val="20"/>
          <w:color w:val="auto"/>
        </w:rPr>
      </w:pPr>
    </w:p>
    <w:p>
      <w:pPr>
        <w:ind w:left="5"/>
        <w:spacing w:after="0"/>
        <w:rPr>
          <w:sz w:val="20"/>
          <w:szCs w:val="20"/>
          <w:color w:val="auto"/>
        </w:rPr>
      </w:pPr>
      <w:r>
        <w:rPr>
          <w:rFonts w:ascii="Arial" w:cs="Arial" w:eastAsia="Arial" w:hAnsi="Arial"/>
          <w:sz w:val="9"/>
          <w:szCs w:val="9"/>
          <w:color w:val="auto"/>
        </w:rPr>
        <w:t>____________________________</w:t>
      </w:r>
    </w:p>
    <w:p>
      <w:pPr>
        <w:spacing w:after="0" w:line="25" w:lineRule="exact"/>
        <w:rPr>
          <w:sz w:val="20"/>
          <w:szCs w:val="20"/>
          <w:color w:val="auto"/>
        </w:rPr>
      </w:pPr>
    </w:p>
    <w:p>
      <w:pPr>
        <w:ind w:left="285" w:hanging="285"/>
        <w:spacing w:after="0"/>
        <w:tabs>
          <w:tab w:leader="none" w:pos="285" w:val="left"/>
        </w:tabs>
        <w:numPr>
          <w:ilvl w:val="0"/>
          <w:numId w:val="4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Net cash provided by operating activities of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19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Three Months Ended</w:t>
      </w:r>
    </w:p>
    <w:p>
      <w:pPr>
        <w:ind w:left="1000"/>
        <w:spacing w:after="0"/>
        <w:rPr>
          <w:sz w:val="20"/>
          <w:szCs w:val="20"/>
          <w:color w:val="auto"/>
        </w:rPr>
      </w:pPr>
      <w:r>
        <w:rPr>
          <w:rFonts w:ascii="Arial" w:cs="Arial" w:eastAsia="Arial" w:hAnsi="Arial"/>
          <w:sz w:val="13"/>
          <w:szCs w:val="13"/>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18230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3085" cy="7620"/>
                    </a:xfrm>
                    <a:prstGeom prst="rect">
                      <a:avLst/>
                    </a:prstGeom>
                    <a:noFill/>
                  </pic:spPr>
                </pic:pic>
              </a:graphicData>
            </a:graphic>
          </wp:anchor>
        </w:drawing>
      </w:r>
    </w:p>
    <w:p>
      <w:pPr>
        <w:spacing w:after="0" w:line="31"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13"/>
          <w:szCs w:val="13"/>
          <w:color w:val="auto"/>
        </w:rPr>
        <w:t>2020</w:t>
      </w:r>
      <w:r>
        <w:rPr>
          <w:sz w:val="20"/>
          <w:szCs w:val="20"/>
          <w:color w:val="auto"/>
        </w:rPr>
        <w:tab/>
      </w:r>
      <w:r>
        <w:rPr>
          <w:rFonts w:ascii="Arial" w:cs="Arial" w:eastAsia="Arial" w:hAnsi="Arial"/>
          <w:sz w:val="13"/>
          <w:szCs w:val="13"/>
          <w:color w:val="auto"/>
        </w:rPr>
        <w:t>2019</w:t>
      </w:r>
    </w:p>
    <w:p>
      <w:pPr>
        <w:spacing w:after="0" w:line="51" w:lineRule="exact"/>
        <w:rPr>
          <w:sz w:val="20"/>
          <w:szCs w:val="20"/>
          <w:color w:val="auto"/>
        </w:rPr>
      </w:pPr>
    </w:p>
    <w:p>
      <w:pPr>
        <w:spacing w:after="0"/>
        <w:tabs>
          <w:tab w:leader="none" w:pos="1060" w:val="left"/>
          <w:tab w:leader="none" w:pos="1460" w:val="left"/>
          <w:tab w:leader="none" w:pos="25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106</w:t>
        <w:tab/>
        <w:t>$</w:t>
      </w:r>
      <w:r>
        <w:rPr>
          <w:sz w:val="20"/>
          <w:szCs w:val="20"/>
          <w:color w:val="auto"/>
        </w:rPr>
        <w:tab/>
      </w:r>
      <w:r>
        <w:rPr>
          <w:rFonts w:ascii="Arial" w:cs="Arial" w:eastAsia="Arial" w:hAnsi="Arial"/>
          <w:sz w:val="10"/>
          <w:szCs w:val="10"/>
          <w:color w:val="auto"/>
        </w:rPr>
        <w:t>348</w:t>
      </w:r>
    </w:p>
    <w:p>
      <w:pPr>
        <w:spacing w:after="0" w:line="40" w:lineRule="exact"/>
        <w:rPr>
          <w:sz w:val="20"/>
          <w:szCs w:val="20"/>
          <w:color w:val="auto"/>
        </w:rPr>
      </w:pPr>
    </w:p>
    <w:p>
      <w:pPr>
        <w:ind w:left="2600" w:hanging="1494"/>
        <w:spacing w:after="0"/>
        <w:tabs>
          <w:tab w:leader="none" w:pos="2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(17)</w:t>
      </w:r>
    </w:p>
    <w:p>
      <w:pPr>
        <w:spacing w:after="0" w:line="51" w:lineRule="exact"/>
        <w:rPr>
          <w:sz w:val="20"/>
          <w:szCs w:val="20"/>
          <w:color w:val="auto"/>
        </w:rPr>
      </w:pPr>
    </w:p>
    <w:p>
      <w:pPr>
        <w:spacing w:after="0"/>
        <w:tabs>
          <w:tab w:leader="none" w:pos="1140" w:val="left"/>
          <w:tab w:leader="none" w:pos="1460" w:val="left"/>
          <w:tab w:leader="none" w:pos="25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88</w:t>
        <w:tab/>
        <w:t>$</w:t>
      </w:r>
      <w:r>
        <w:rPr>
          <w:sz w:val="20"/>
          <w:szCs w:val="20"/>
          <w:color w:val="auto"/>
        </w:rPr>
        <w:tab/>
      </w:r>
      <w:r>
        <w:rPr>
          <w:rFonts w:ascii="Arial" w:cs="Arial" w:eastAsia="Arial" w:hAnsi="Arial"/>
          <w:sz w:val="10"/>
          <w:szCs w:val="10"/>
          <w:color w:val="auto"/>
        </w:rPr>
        <w:t>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18230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30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4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620" w:type="dxa"/>
            <w:vAlign w:val="bottom"/>
          </w:tcPr>
          <w:p>
            <w:pPr>
              <w:jc w:val="right"/>
              <w:ind w:right="277"/>
              <w:spacing w:after="0"/>
              <w:rPr>
                <w:sz w:val="20"/>
                <w:szCs w:val="20"/>
                <w:color w:val="auto"/>
              </w:rPr>
            </w:pPr>
            <w:r>
              <w:rPr>
                <w:rFonts w:ascii="Arial" w:cs="Arial" w:eastAsia="Arial" w:hAnsi="Arial"/>
                <w:sz w:val="13"/>
                <w:szCs w:val="13"/>
                <w:color w:val="auto"/>
              </w:rPr>
              <w:t>Three Months Ended</w:t>
            </w:r>
          </w:p>
        </w:tc>
      </w:tr>
      <w:tr>
        <w:trPr>
          <w:trHeight w:val="157"/>
        </w:trPr>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June 30, 2020</w:t>
            </w:r>
          </w:p>
        </w:tc>
      </w:tr>
      <w:tr>
        <w:trPr>
          <w:trHeight w:val="176"/>
        </w:trPr>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34</w:t>
            </w:r>
          </w:p>
        </w:tc>
      </w:tr>
      <w:tr>
        <w:trPr>
          <w:trHeight w:val="194"/>
        </w:trPr>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181"/>
        </w:trPr>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685" w:space="720"/>
            <w:col w:w="2860"/>
          </w:cols>
          <w:pgMar w:left="315" w:top="1292" w:right="3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22"/>
          <w:szCs w:val="22"/>
          <w:b w:val="1"/>
          <w:bCs w:val="1"/>
          <w:color w:val="DA2031"/>
        </w:rPr>
        <w:t>APPENDIX I</w:t>
      </w:r>
    </w:p>
    <w:p>
      <w:pPr>
        <w:spacing w:after="0" w:line="205"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DA2031"/>
        </w:rPr>
        <w:t>Xerox Holdings Corporation</w:t>
      </w:r>
    </w:p>
    <w:p>
      <w:pPr>
        <w:spacing w:after="0" w:line="30"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DA2031"/>
        </w:rPr>
        <w:t>Earnings per Common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color w:val="auto"/>
                <w:w w:val="95"/>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color w:val="auto"/>
              </w:rPr>
              <w:t>Nine Months Ended</w:t>
            </w:r>
          </w:p>
        </w:tc>
        <w:tc>
          <w:tcPr>
            <w:tcW w:w="900" w:type="dxa"/>
            <w:vAlign w:val="bottom"/>
          </w:tcPr>
          <w:p>
            <w:pPr>
              <w:spacing w:after="0"/>
              <w:rPr>
                <w:sz w:val="13"/>
                <w:szCs w:val="13"/>
                <w:color w:val="auto"/>
              </w:rPr>
            </w:pPr>
          </w:p>
        </w:tc>
      </w:tr>
      <w:tr>
        <w:trPr>
          <w:trHeight w:val="157"/>
        </w:trPr>
        <w:tc>
          <w:tcPr>
            <w:tcW w:w="5220" w:type="dxa"/>
            <w:vAlign w:val="bottom"/>
            <w:gridSpan w:val="2"/>
          </w:tcPr>
          <w:p>
            <w:pPr>
              <w:ind w:left="20"/>
              <w:spacing w:after="0"/>
              <w:rPr>
                <w:sz w:val="20"/>
                <w:szCs w:val="20"/>
                <w:color w:val="auto"/>
              </w:rPr>
            </w:pPr>
            <w:r>
              <w:rPr>
                <w:rFonts w:ascii="Arial" w:cs="Arial" w:eastAsia="Arial" w:hAnsi="Arial"/>
                <w:sz w:val="11"/>
                <w:szCs w:val="11"/>
                <w:color w:val="auto"/>
              </w:rPr>
              <w:t>(in millions, except per-share data, shares in thousands)</w:t>
            </w:r>
          </w:p>
        </w:tc>
        <w:tc>
          <w:tcPr>
            <w:tcW w:w="860" w:type="dxa"/>
            <w:vAlign w:val="bottom"/>
          </w:tcPr>
          <w:p>
            <w:pPr>
              <w:spacing w:after="0"/>
              <w:rPr>
                <w:sz w:val="13"/>
                <w:szCs w:val="13"/>
                <w:color w:val="auto"/>
              </w:rPr>
            </w:pPr>
          </w:p>
        </w:tc>
        <w:tc>
          <w:tcPr>
            <w:tcW w:w="1220" w:type="dxa"/>
            <w:vAlign w:val="bottom"/>
            <w:gridSpan w:val="3"/>
          </w:tcPr>
          <w:p>
            <w:pPr>
              <w:jc w:val="right"/>
              <w:ind w:right="117"/>
              <w:spacing w:after="0"/>
              <w:rPr>
                <w:sz w:val="20"/>
                <w:szCs w:val="20"/>
                <w:color w:val="auto"/>
              </w:rPr>
            </w:pPr>
            <w:r>
              <w:rPr>
                <w:rFonts w:ascii="Arial" w:cs="Arial" w:eastAsia="Arial" w:hAnsi="Arial"/>
                <w:sz w:val="13"/>
                <w:szCs w:val="13"/>
                <w:color w:val="auto"/>
              </w:rPr>
              <w:t>September 30,</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ind w:right="117"/>
              <w:spacing w:after="0"/>
              <w:rPr>
                <w:sz w:val="20"/>
                <w:szCs w:val="20"/>
                <w:color w:val="auto"/>
              </w:rPr>
            </w:pPr>
            <w:r>
              <w:rPr>
                <w:rFonts w:ascii="Arial" w:cs="Arial" w:eastAsia="Arial" w:hAnsi="Arial"/>
                <w:sz w:val="13"/>
                <w:szCs w:val="13"/>
                <w:color w:val="auto"/>
              </w:rPr>
              <w:t>September 30,</w:t>
            </w:r>
          </w:p>
        </w:tc>
        <w:tc>
          <w:tcPr>
            <w:tcW w:w="900" w:type="dxa"/>
            <w:vAlign w:val="bottom"/>
          </w:tcPr>
          <w:p>
            <w:pPr>
              <w:spacing w:after="0"/>
              <w:rPr>
                <w:sz w:val="13"/>
                <w:szCs w:val="13"/>
                <w:color w:val="auto"/>
              </w:rPr>
            </w:pPr>
          </w:p>
        </w:tc>
      </w:tr>
      <w:tr>
        <w:trPr>
          <w:trHeight w:val="181"/>
        </w:trPr>
        <w:tc>
          <w:tcPr>
            <w:tcW w:w="5120" w:type="dxa"/>
            <w:vAlign w:val="bottom"/>
            <w:tcBorders>
              <w:top w:val="single" w:sz="8" w:color="auto"/>
              <w:bottom w:val="single" w:sz="8" w:color="E5E5E5"/>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E5E5E5"/>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color w:val="auto"/>
                <w:w w:val="96"/>
              </w:rPr>
              <w:t>2019</w:t>
            </w:r>
          </w:p>
        </w:tc>
        <w:tc>
          <w:tcPr>
            <w:tcW w:w="100" w:type="dxa"/>
            <w:vAlign w:val="bottom"/>
            <w:tcBorders>
              <w:bottom w:val="single" w:sz="8" w:color="E5E5E5"/>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color w:val="auto"/>
              </w:rPr>
              <w:t>2020</w:t>
            </w:r>
          </w:p>
        </w:tc>
        <w:tc>
          <w:tcPr>
            <w:tcW w:w="100" w:type="dxa"/>
            <w:vAlign w:val="bottom"/>
            <w:tcBorders>
              <w:top w:val="single" w:sz="8" w:color="auto"/>
              <w:bottom w:val="single" w:sz="8" w:color="E5E5E5"/>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color w:val="auto"/>
              </w:rPr>
              <w:t>2019</w:t>
            </w:r>
          </w:p>
        </w:tc>
      </w:tr>
      <w:tr>
        <w:trPr>
          <w:trHeight w:val="174"/>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Basic Earnings per Share:</w:t>
            </w:r>
          </w:p>
        </w:tc>
        <w:tc>
          <w:tcPr>
            <w:tcW w:w="8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184"/>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Net Income from continuing operations attributable to Xerox Holdings</w:t>
            </w: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6"/>
                <w:szCs w:val="16"/>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6"/>
                <w:szCs w:val="16"/>
                <w:color w:val="auto"/>
              </w:rPr>
            </w:pP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382</w:t>
            </w:r>
          </w:p>
        </w:tc>
      </w:tr>
      <w:tr>
        <w:trPr>
          <w:trHeight w:val="189"/>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Accrued dividends on preferred stock</w:t>
            </w:r>
          </w:p>
        </w:tc>
        <w:tc>
          <w:tcPr>
            <w:tcW w:w="860" w:type="dxa"/>
            <w:vAlign w:val="bottom"/>
            <w:tcBorders>
              <w:bottom w:val="single" w:sz="8" w:color="auto"/>
            </w:tcBorders>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E5E5E5"/>
          </w:tcPr>
          <w:p>
            <w:pPr>
              <w:spacing w:after="0"/>
              <w:rPr>
                <w:sz w:val="16"/>
                <w:szCs w:val="16"/>
                <w:color w:val="auto"/>
              </w:rPr>
            </w:pPr>
          </w:p>
        </w:tc>
        <w:tc>
          <w:tcPr>
            <w:tcW w:w="540" w:type="dxa"/>
            <w:vAlign w:val="bottom"/>
            <w:tcBorders>
              <w:bottom w:val="single" w:sz="8" w:color="auto"/>
            </w:tcBorders>
            <w:shd w:val="clear" w:color="auto" w:fill="E5E5E5"/>
          </w:tcPr>
          <w:p>
            <w:pPr>
              <w:spacing w:after="0"/>
              <w:rPr>
                <w:sz w:val="16"/>
                <w:szCs w:val="16"/>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E5E5E5"/>
          </w:tcPr>
          <w:p>
            <w:pPr>
              <w:spacing w:after="0"/>
              <w:rPr>
                <w:sz w:val="16"/>
                <w:szCs w:val="16"/>
                <w:color w:val="auto"/>
              </w:rPr>
            </w:pPr>
          </w:p>
        </w:tc>
        <w:tc>
          <w:tcPr>
            <w:tcW w:w="340" w:type="dxa"/>
            <w:vAlign w:val="bottom"/>
            <w:tcBorders>
              <w:bottom w:val="single" w:sz="8" w:color="auto"/>
            </w:tcBorders>
            <w:shd w:val="clear" w:color="auto" w:fill="E5E5E5"/>
          </w:tcPr>
          <w:p>
            <w:pPr>
              <w:spacing w:after="0"/>
              <w:rPr>
                <w:sz w:val="16"/>
                <w:szCs w:val="16"/>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E5E5E5"/>
          </w:tcPr>
          <w:p>
            <w:pPr>
              <w:spacing w:after="0"/>
              <w:rPr>
                <w:sz w:val="16"/>
                <w:szCs w:val="16"/>
                <w:color w:val="auto"/>
              </w:rPr>
            </w:pPr>
          </w:p>
        </w:tc>
        <w:tc>
          <w:tcPr>
            <w:tcW w:w="54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(11)</w:t>
            </w:r>
          </w:p>
        </w:tc>
      </w:tr>
      <w:tr>
        <w:trPr>
          <w:trHeight w:val="181"/>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Adjusted net income from continuing operations available to common shareholders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371</w:t>
            </w:r>
          </w:p>
        </w:tc>
      </w:tr>
      <w:tr>
        <w:trPr>
          <w:trHeight w:val="189"/>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Income from discontinued operations attributable to Xerox Holdings, net of tax</w:t>
            </w:r>
          </w:p>
        </w:tc>
        <w:tc>
          <w:tcPr>
            <w:tcW w:w="8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153</w:t>
            </w:r>
          </w:p>
        </w:tc>
      </w:tr>
      <w:tr>
        <w:trPr>
          <w:trHeight w:val="185"/>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Adjusted net income available to common shareholders</w:t>
            </w: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524</w:t>
            </w: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6"/>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860" w:type="dxa"/>
            <w:vAlign w:val="bottom"/>
            <w:shd w:val="clear" w:color="auto" w:fill="E5E5E5"/>
          </w:tcPr>
          <w:p>
            <w:pPr>
              <w:spacing w:after="0"/>
              <w:rPr>
                <w:sz w:val="15"/>
                <w:szCs w:val="15"/>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211,169</w:t>
            </w:r>
          </w:p>
        </w:tc>
        <w:tc>
          <w:tcPr>
            <w:tcW w:w="12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220,269</w:t>
            </w: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212,163</w:t>
            </w: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224,257</w:t>
            </w:r>
          </w:p>
        </w:tc>
      </w:tr>
      <w:tr>
        <w:trPr>
          <w:trHeight w:val="189"/>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Basic Earnings per Share:</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r>
      <w:tr>
        <w:trPr>
          <w:trHeight w:val="184"/>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16"/>
                <w:szCs w:val="16"/>
                <w:color w:val="auto"/>
              </w:rPr>
            </w:pP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0.70</w:t>
            </w:r>
          </w:p>
        </w:tc>
        <w:tc>
          <w:tcPr>
            <w:tcW w:w="100" w:type="dxa"/>
            <w:vAlign w:val="bottom"/>
          </w:tcPr>
          <w:p>
            <w:pPr>
              <w:spacing w:after="0"/>
              <w:rPr>
                <w:sz w:val="16"/>
                <w:szCs w:val="16"/>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6"/>
                <w:szCs w:val="16"/>
                <w:color w:val="auto"/>
              </w:rPr>
            </w:pP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1.66</w:t>
            </w:r>
          </w:p>
        </w:tc>
      </w:tr>
      <w:tr>
        <w:trPr>
          <w:trHeight w:val="189"/>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Discontinued operations</w:t>
            </w:r>
          </w:p>
        </w:tc>
        <w:tc>
          <w:tcPr>
            <w:tcW w:w="8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0.68</w:t>
            </w:r>
          </w:p>
        </w:tc>
      </w:tr>
      <w:tr>
        <w:trPr>
          <w:trHeight w:val="185"/>
        </w:trPr>
        <w:tc>
          <w:tcPr>
            <w:tcW w:w="5220" w:type="dxa"/>
            <w:vAlign w:val="bottom"/>
            <w:gridSpan w:val="2"/>
          </w:tcPr>
          <w:p>
            <w:pPr>
              <w:ind w:left="20"/>
              <w:spacing w:after="0"/>
              <w:rPr>
                <w:sz w:val="20"/>
                <w:szCs w:val="20"/>
                <w:color w:val="auto"/>
              </w:rPr>
            </w:pPr>
            <w:r>
              <w:rPr>
                <w:rFonts w:ascii="Arial" w:cs="Arial" w:eastAsia="Arial" w:hAnsi="Arial"/>
                <w:sz w:val="13"/>
                <w:szCs w:val="13"/>
                <w:b w:val="1"/>
                <w:bCs w:val="1"/>
                <w:color w:val="auto"/>
              </w:rPr>
              <w:t>Basic Earnings per Share</w:t>
            </w: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0.99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2.34</w:t>
            </w: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3"/>
        </w:trPr>
        <w:tc>
          <w:tcPr>
            <w:tcW w:w="51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11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r>
      <w:tr>
        <w:trPr>
          <w:trHeight w:val="184"/>
        </w:trPr>
        <w:tc>
          <w:tcPr>
            <w:tcW w:w="5220" w:type="dxa"/>
            <w:vAlign w:val="bottom"/>
            <w:gridSpan w:val="2"/>
          </w:tcPr>
          <w:p>
            <w:pPr>
              <w:ind w:left="20"/>
              <w:spacing w:after="0"/>
              <w:rPr>
                <w:sz w:val="20"/>
                <w:szCs w:val="20"/>
                <w:color w:val="auto"/>
              </w:rPr>
            </w:pPr>
            <w:r>
              <w:rPr>
                <w:rFonts w:ascii="Arial" w:cs="Arial" w:eastAsia="Arial" w:hAnsi="Arial"/>
                <w:sz w:val="13"/>
                <w:szCs w:val="13"/>
                <w:b w:val="1"/>
                <w:bCs w:val="1"/>
                <w:color w:val="auto"/>
              </w:rPr>
              <w:t>Diluted Earnings per Share:</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Net Income from continuing operations attributable to Xerox Holdings</w:t>
            </w:r>
          </w:p>
        </w:tc>
        <w:tc>
          <w:tcPr>
            <w:tcW w:w="860" w:type="dxa"/>
            <w:vAlign w:val="bottom"/>
            <w:shd w:val="clear" w:color="auto" w:fill="E5E5E5"/>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382</w:t>
            </w:r>
          </w:p>
        </w:tc>
      </w:tr>
      <w:tr>
        <w:trPr>
          <w:trHeight w:val="184"/>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Accrued dividends on preferred stock</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85"/>
        </w:trPr>
        <w:tc>
          <w:tcPr>
            <w:tcW w:w="522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color w:val="auto"/>
              </w:rPr>
              <w:t>Adjusted net income from continuing operations available to common shareholders</w:t>
            </w:r>
          </w:p>
        </w:tc>
        <w:tc>
          <w:tcPr>
            <w:tcW w:w="860" w:type="dxa"/>
            <w:vAlign w:val="bottom"/>
            <w:tcBorders>
              <w:top w:val="single" w:sz="8" w:color="auto"/>
            </w:tcBorders>
            <w:shd w:val="clear" w:color="auto" w:fill="E5E5E5"/>
          </w:tcPr>
          <w:p>
            <w:pPr>
              <w:spacing w:after="0"/>
              <w:rPr>
                <w:sz w:val="16"/>
                <w:szCs w:val="16"/>
                <w:color w:val="auto"/>
              </w:rPr>
            </w:pP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86</w:t>
            </w:r>
          </w:p>
        </w:tc>
        <w:tc>
          <w:tcPr>
            <w:tcW w:w="12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spacing w:after="0"/>
              <w:rPr>
                <w:sz w:val="16"/>
                <w:szCs w:val="16"/>
                <w:color w:val="auto"/>
              </w:rPr>
            </w:pP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Borders>
              <w:top w:val="single" w:sz="8" w:color="E5E5E5"/>
            </w:tcBorders>
            <w:shd w:val="clear" w:color="auto" w:fill="E5E5E5"/>
          </w:tcPr>
          <w:p>
            <w:pPr>
              <w:spacing w:after="0"/>
              <w:rPr>
                <w:sz w:val="16"/>
                <w:szCs w:val="16"/>
                <w:color w:val="auto"/>
              </w:rPr>
            </w:pPr>
          </w:p>
        </w:tc>
        <w:tc>
          <w:tcPr>
            <w:tcW w:w="340" w:type="dxa"/>
            <w:vAlign w:val="bottom"/>
            <w:tcBorders>
              <w:top w:val="single" w:sz="8" w:color="auto"/>
            </w:tcBorders>
            <w:shd w:val="clear" w:color="auto" w:fill="E5E5E5"/>
          </w:tcPr>
          <w:p>
            <w:pPr>
              <w:spacing w:after="0"/>
              <w:rPr>
                <w:sz w:val="16"/>
                <w:szCs w:val="16"/>
                <w:color w:val="auto"/>
              </w:rPr>
            </w:pPr>
          </w:p>
        </w:tc>
        <w:tc>
          <w:tcPr>
            <w:tcW w:w="110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104</w:t>
            </w:r>
          </w:p>
        </w:tc>
        <w:tc>
          <w:tcPr>
            <w:tcW w:w="10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spacing w:after="0"/>
              <w:rPr>
                <w:sz w:val="16"/>
                <w:szCs w:val="16"/>
                <w:color w:val="auto"/>
              </w:rPr>
            </w:pPr>
          </w:p>
        </w:tc>
        <w:tc>
          <w:tcPr>
            <w:tcW w:w="90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382</w:t>
            </w:r>
          </w:p>
        </w:tc>
      </w:tr>
      <w:tr>
        <w:trPr>
          <w:trHeight w:val="184"/>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Income from discontinued operations attributable to Xerox Holdings, net of tax</w:t>
            </w:r>
          </w:p>
        </w:tc>
        <w:tc>
          <w:tcPr>
            <w:tcW w:w="8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153</w:t>
            </w:r>
          </w:p>
        </w:tc>
      </w:tr>
      <w:tr>
        <w:trPr>
          <w:trHeight w:val="210"/>
        </w:trPr>
        <w:tc>
          <w:tcPr>
            <w:tcW w:w="522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color w:val="auto"/>
              </w:rPr>
              <w:t>Adjusted net income available to common shareholders</w:t>
            </w:r>
          </w:p>
        </w:tc>
        <w:tc>
          <w:tcPr>
            <w:tcW w:w="860" w:type="dxa"/>
            <w:vAlign w:val="bottom"/>
            <w:tcBorders>
              <w:top w:val="single" w:sz="8" w:color="auto"/>
              <w:bottom w:val="single" w:sz="8" w:color="auto"/>
            </w:tcBorders>
            <w:shd w:val="clear" w:color="auto" w:fill="E5E5E5"/>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86</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540" w:type="dxa"/>
            <w:vAlign w:val="bottom"/>
            <w:tcBorders>
              <w:top w:val="single" w:sz="8" w:color="auto"/>
              <w:bottom w:val="single" w:sz="8" w:color="auto"/>
            </w:tcBorders>
            <w:shd w:val="clear" w:color="auto" w:fill="E5E5E5"/>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340" w:type="dxa"/>
            <w:vAlign w:val="bottom"/>
            <w:tcBorders>
              <w:top w:val="single" w:sz="8" w:color="auto"/>
              <w:bottom w:val="single" w:sz="8" w:color="auto"/>
            </w:tcBorders>
            <w:shd w:val="clear" w:color="auto" w:fill="E5E5E5"/>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104</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540" w:type="dxa"/>
            <w:vAlign w:val="bottom"/>
            <w:tcBorders>
              <w:top w:val="single" w:sz="8" w:color="auto"/>
              <w:bottom w:val="single" w:sz="8" w:color="auto"/>
            </w:tcBorders>
            <w:shd w:val="clear" w:color="auto" w:fill="E5E5E5"/>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535</w:t>
            </w:r>
          </w:p>
        </w:tc>
      </w:tr>
      <w:tr>
        <w:trPr>
          <w:trHeight w:val="20"/>
        </w:trPr>
        <w:tc>
          <w:tcPr>
            <w:tcW w:w="5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r>
      <w:tr>
        <w:trPr>
          <w:trHeight w:val="152"/>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211,169</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220,269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212,163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224,257</w:t>
            </w:r>
          </w:p>
        </w:tc>
      </w:tr>
      <w:tr>
        <w:trPr>
          <w:trHeight w:val="194"/>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Common shares issuable with respect to:</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r>
      <w:tr>
        <w:trPr>
          <w:trHeight w:val="184"/>
        </w:trPr>
        <w:tc>
          <w:tcPr>
            <w:tcW w:w="5220" w:type="dxa"/>
            <w:vAlign w:val="bottom"/>
            <w:gridSpan w:val="2"/>
          </w:tcPr>
          <w:p>
            <w:pPr>
              <w:ind w:left="100"/>
              <w:spacing w:after="0"/>
              <w:rPr>
                <w:sz w:val="20"/>
                <w:szCs w:val="20"/>
                <w:color w:val="auto"/>
              </w:rPr>
            </w:pPr>
            <w:r>
              <w:rPr>
                <w:rFonts w:ascii="Arial" w:cs="Arial" w:eastAsia="Arial" w:hAnsi="Arial"/>
                <w:sz w:val="13"/>
                <w:szCs w:val="13"/>
                <w:color w:val="auto"/>
              </w:rPr>
              <w:t>Stock Options</w:t>
            </w:r>
          </w:p>
        </w:tc>
        <w:tc>
          <w:tcPr>
            <w:tcW w:w="8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94"/>
        </w:trPr>
        <w:tc>
          <w:tcPr>
            <w:tcW w:w="5220" w:type="dxa"/>
            <w:vAlign w:val="bottom"/>
            <w:gridSpan w:val="2"/>
            <w:shd w:val="clear" w:color="auto" w:fill="E5E5E5"/>
          </w:tcPr>
          <w:p>
            <w:pPr>
              <w:ind w:left="100"/>
              <w:spacing w:after="0"/>
              <w:rPr>
                <w:sz w:val="20"/>
                <w:szCs w:val="20"/>
                <w:color w:val="auto"/>
              </w:rPr>
            </w:pPr>
            <w:r>
              <w:rPr>
                <w:rFonts w:ascii="Arial" w:cs="Arial" w:eastAsia="Arial" w:hAnsi="Arial"/>
                <w:sz w:val="13"/>
                <w:szCs w:val="13"/>
                <w:color w:val="auto"/>
              </w:rPr>
              <w:t>Restricted stock and performance shares</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1,538</w:t>
            </w: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4,014</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4,429</w:t>
            </w:r>
          </w:p>
        </w:tc>
      </w:tr>
      <w:tr>
        <w:trPr>
          <w:trHeight w:val="184"/>
        </w:trPr>
        <w:tc>
          <w:tcPr>
            <w:tcW w:w="5220" w:type="dxa"/>
            <w:vAlign w:val="bottom"/>
            <w:gridSpan w:val="2"/>
          </w:tcPr>
          <w:p>
            <w:pPr>
              <w:ind w:left="100"/>
              <w:spacing w:after="0"/>
              <w:rPr>
                <w:sz w:val="20"/>
                <w:szCs w:val="20"/>
                <w:color w:val="auto"/>
              </w:rPr>
            </w:pPr>
            <w:r>
              <w:rPr>
                <w:rFonts w:ascii="Arial" w:cs="Arial" w:eastAsia="Arial" w:hAnsi="Arial"/>
                <w:sz w:val="13"/>
                <w:szCs w:val="13"/>
                <w:color w:val="auto"/>
              </w:rPr>
              <w:t>Convertible preferred stock</w:t>
            </w:r>
          </w:p>
        </w:tc>
        <w:tc>
          <w:tcPr>
            <w:tcW w:w="8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6,742</w:t>
            </w:r>
          </w:p>
        </w:tc>
      </w:tr>
      <w:tr>
        <w:trPr>
          <w:trHeight w:val="210"/>
        </w:trPr>
        <w:tc>
          <w:tcPr>
            <w:tcW w:w="522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3"/>
                <w:szCs w:val="13"/>
                <w:color w:val="auto"/>
              </w:rPr>
              <w:t>Adjusted weighted average common shares outstanding</w:t>
            </w:r>
          </w:p>
        </w:tc>
        <w:tc>
          <w:tcPr>
            <w:tcW w:w="860" w:type="dxa"/>
            <w:vAlign w:val="bottom"/>
            <w:tcBorders>
              <w:top w:val="single" w:sz="8" w:color="auto"/>
              <w:bottom w:val="single" w:sz="8" w:color="auto"/>
            </w:tcBorders>
            <w:shd w:val="clear" w:color="auto" w:fill="E5E5E5"/>
          </w:tcPr>
          <w:p>
            <w:pPr>
              <w:spacing w:after="0"/>
              <w:rPr>
                <w:sz w:val="17"/>
                <w:szCs w:val="17"/>
                <w:color w:val="auto"/>
              </w:rPr>
            </w:pP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212,707</w:t>
            </w:r>
          </w:p>
        </w:tc>
        <w:tc>
          <w:tcPr>
            <w:tcW w:w="120" w:type="dxa"/>
            <w:vAlign w:val="bottom"/>
            <w:tcBorders>
              <w:top w:val="single" w:sz="8" w:color="E5E5E5"/>
              <w:bottom w:val="single" w:sz="8" w:color="E5E5E5"/>
            </w:tcBorders>
            <w:shd w:val="clear" w:color="auto" w:fill="E5E5E5"/>
          </w:tcPr>
          <w:p>
            <w:pPr>
              <w:spacing w:after="0"/>
              <w:rPr>
                <w:sz w:val="17"/>
                <w:szCs w:val="17"/>
                <w:color w:val="auto"/>
              </w:rPr>
            </w:pPr>
          </w:p>
        </w:tc>
        <w:tc>
          <w:tcPr>
            <w:tcW w:w="540" w:type="dxa"/>
            <w:vAlign w:val="bottom"/>
            <w:tcBorders>
              <w:top w:val="single" w:sz="8" w:color="auto"/>
              <w:bottom w:val="single" w:sz="8" w:color="auto"/>
            </w:tcBorders>
            <w:shd w:val="clear" w:color="auto" w:fill="E5E5E5"/>
          </w:tcPr>
          <w:p>
            <w:pPr>
              <w:spacing w:after="0"/>
              <w:rPr>
                <w:sz w:val="17"/>
                <w:szCs w:val="17"/>
                <w:color w:val="auto"/>
              </w:rPr>
            </w:pPr>
          </w:p>
        </w:tc>
        <w:tc>
          <w:tcPr>
            <w:tcW w:w="8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231,067</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340" w:type="dxa"/>
            <w:vAlign w:val="bottom"/>
            <w:tcBorders>
              <w:top w:val="single" w:sz="8" w:color="auto"/>
              <w:bottom w:val="single" w:sz="8" w:color="auto"/>
            </w:tcBorders>
            <w:shd w:val="clear" w:color="auto" w:fill="E5E5E5"/>
          </w:tcPr>
          <w:p>
            <w:pPr>
              <w:spacing w:after="0"/>
              <w:rPr>
                <w:sz w:val="17"/>
                <w:szCs w:val="17"/>
                <w:color w:val="auto"/>
              </w:rPr>
            </w:pPr>
          </w:p>
        </w:tc>
        <w:tc>
          <w:tcPr>
            <w:tcW w:w="110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214,783</w:t>
            </w:r>
          </w:p>
        </w:tc>
        <w:tc>
          <w:tcPr>
            <w:tcW w:w="100" w:type="dxa"/>
            <w:vAlign w:val="bottom"/>
            <w:tcBorders>
              <w:top w:val="single" w:sz="8" w:color="E5E5E5"/>
              <w:bottom w:val="single" w:sz="8" w:color="E5E5E5"/>
            </w:tcBorders>
            <w:shd w:val="clear" w:color="auto" w:fill="E5E5E5"/>
          </w:tcPr>
          <w:p>
            <w:pPr>
              <w:spacing w:after="0"/>
              <w:rPr>
                <w:sz w:val="17"/>
                <w:szCs w:val="17"/>
                <w:color w:val="auto"/>
              </w:rPr>
            </w:pPr>
          </w:p>
        </w:tc>
        <w:tc>
          <w:tcPr>
            <w:tcW w:w="540" w:type="dxa"/>
            <w:vAlign w:val="bottom"/>
            <w:tcBorders>
              <w:top w:val="single" w:sz="8" w:color="auto"/>
              <w:bottom w:val="single" w:sz="8" w:color="auto"/>
            </w:tcBorders>
            <w:shd w:val="clear" w:color="auto" w:fill="E5E5E5"/>
          </w:tcPr>
          <w:p>
            <w:pPr>
              <w:spacing w:after="0"/>
              <w:rPr>
                <w:sz w:val="17"/>
                <w:szCs w:val="17"/>
                <w:color w:val="auto"/>
              </w:rPr>
            </w:pPr>
          </w:p>
        </w:tc>
        <w:tc>
          <w:tcPr>
            <w:tcW w:w="900" w:type="dxa"/>
            <w:vAlign w:val="bottom"/>
            <w:tcBorders>
              <w:top w:val="single" w:sz="8" w:color="auto"/>
              <w:bottom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235,465</w:t>
            </w:r>
          </w:p>
        </w:tc>
      </w:tr>
      <w:tr>
        <w:trPr>
          <w:trHeight w:val="20"/>
        </w:trPr>
        <w:tc>
          <w:tcPr>
            <w:tcW w:w="5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r>
      <w:tr>
        <w:trPr>
          <w:trHeight w:val="133"/>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9"/>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Diluted Earnings per Share:</w:t>
            </w:r>
          </w:p>
        </w:tc>
        <w:tc>
          <w:tcPr>
            <w:tcW w:w="8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r>
      <w:tr>
        <w:trPr>
          <w:trHeight w:val="184"/>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860" w:type="dxa"/>
            <w:vAlign w:val="bottom"/>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16"/>
                <w:szCs w:val="16"/>
                <w:color w:val="auto"/>
              </w:rPr>
            </w:pP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0.68</w:t>
            </w:r>
          </w:p>
        </w:tc>
        <w:tc>
          <w:tcPr>
            <w:tcW w:w="100" w:type="dxa"/>
            <w:vAlign w:val="bottom"/>
          </w:tcPr>
          <w:p>
            <w:pPr>
              <w:spacing w:after="0"/>
              <w:rPr>
                <w:sz w:val="16"/>
                <w:szCs w:val="16"/>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6"/>
                <w:szCs w:val="16"/>
                <w:color w:val="auto"/>
              </w:rPr>
            </w:pP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1.62</w:t>
            </w:r>
          </w:p>
        </w:tc>
      </w:tr>
      <w:tr>
        <w:trPr>
          <w:trHeight w:val="189"/>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3"/>
                <w:szCs w:val="13"/>
                <w:color w:val="auto"/>
              </w:rPr>
              <w:t>Discontinued operations</w:t>
            </w:r>
          </w:p>
        </w:tc>
        <w:tc>
          <w:tcPr>
            <w:tcW w:w="86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0.65</w:t>
            </w:r>
          </w:p>
        </w:tc>
      </w:tr>
      <w:tr>
        <w:trPr>
          <w:trHeight w:val="185"/>
        </w:trPr>
        <w:tc>
          <w:tcPr>
            <w:tcW w:w="5220" w:type="dxa"/>
            <w:vAlign w:val="bottom"/>
            <w:gridSpan w:val="2"/>
          </w:tcPr>
          <w:p>
            <w:pPr>
              <w:ind w:left="20"/>
              <w:spacing w:after="0"/>
              <w:rPr>
                <w:sz w:val="20"/>
                <w:szCs w:val="20"/>
                <w:color w:val="auto"/>
              </w:rPr>
            </w:pPr>
            <w:r>
              <w:rPr>
                <w:rFonts w:ascii="Arial" w:cs="Arial" w:eastAsia="Arial" w:hAnsi="Arial"/>
                <w:sz w:val="13"/>
                <w:szCs w:val="13"/>
                <w:b w:val="1"/>
                <w:bCs w:val="1"/>
                <w:color w:val="auto"/>
              </w:rPr>
              <w:t>Diluted Earnings per Share</w:t>
            </w: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0.96</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2.27</w:t>
            </w:r>
          </w:p>
        </w:tc>
      </w:tr>
      <w:tr>
        <w:trPr>
          <w:trHeight w:val="20"/>
        </w:trPr>
        <w:tc>
          <w:tcPr>
            <w:tcW w:w="51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3"/>
        </w:trPr>
        <w:tc>
          <w:tcPr>
            <w:tcW w:w="512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11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r>
    </w:tbl>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860" w:type="dxa"/>
            <w:vAlign w:val="bottom"/>
            <w:gridSpan w:val="11"/>
          </w:tcPr>
          <w:p>
            <w:pPr>
              <w:ind w:left="20"/>
              <w:spacing w:after="0"/>
              <w:rPr>
                <w:sz w:val="20"/>
                <w:szCs w:val="20"/>
                <w:color w:val="auto"/>
              </w:rPr>
            </w:pPr>
            <w:r>
              <w:rPr>
                <w:rFonts w:ascii="Arial" w:cs="Arial" w:eastAsia="Arial" w:hAnsi="Arial"/>
                <w:sz w:val="13"/>
                <w:szCs w:val="13"/>
                <w:color w:val="auto"/>
                <w:w w:val="96"/>
              </w:rPr>
              <w:t>The following securities were not included in the computation of diluted earnings per share as they were either contingently issuable shares or shares that if included would have been anti-dilutive:</w:t>
            </w:r>
          </w:p>
        </w:tc>
        <w:tc>
          <w:tcPr>
            <w:tcW w:w="400" w:type="dxa"/>
            <w:vAlign w:val="bottom"/>
          </w:tcPr>
          <w:p>
            <w:pPr>
              <w:spacing w:after="0"/>
              <w:rPr>
                <w:sz w:val="13"/>
                <w:szCs w:val="13"/>
                <w:color w:val="auto"/>
              </w:rPr>
            </w:pPr>
          </w:p>
        </w:tc>
      </w:tr>
      <w:tr>
        <w:trPr>
          <w:trHeight w:val="194"/>
        </w:trPr>
        <w:tc>
          <w:tcPr>
            <w:tcW w:w="5220" w:type="dxa"/>
            <w:vAlign w:val="bottom"/>
            <w:shd w:val="clear" w:color="auto" w:fill="E5E5E5"/>
          </w:tcPr>
          <w:p>
            <w:pPr>
              <w:ind w:left="20"/>
              <w:spacing w:after="0"/>
              <w:rPr>
                <w:sz w:val="20"/>
                <w:szCs w:val="20"/>
                <w:color w:val="auto"/>
              </w:rPr>
            </w:pPr>
            <w:r>
              <w:rPr>
                <w:rFonts w:ascii="Arial" w:cs="Arial" w:eastAsia="Arial" w:hAnsi="Arial"/>
                <w:sz w:val="13"/>
                <w:szCs w:val="13"/>
                <w:color w:val="auto"/>
              </w:rPr>
              <w:t>Stock options</w:t>
            </w:r>
          </w:p>
        </w:tc>
        <w:tc>
          <w:tcPr>
            <w:tcW w:w="52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808</w:t>
            </w:r>
          </w:p>
        </w:tc>
        <w:tc>
          <w:tcPr>
            <w:tcW w:w="1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4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847</w:t>
            </w:r>
          </w:p>
        </w:tc>
      </w:tr>
      <w:tr>
        <w:trPr>
          <w:trHeight w:val="184"/>
        </w:trPr>
        <w:tc>
          <w:tcPr>
            <w:tcW w:w="5220" w:type="dxa"/>
            <w:vAlign w:val="bottom"/>
          </w:tcPr>
          <w:p>
            <w:pPr>
              <w:ind w:left="20"/>
              <w:spacing w:after="0"/>
              <w:rPr>
                <w:sz w:val="20"/>
                <w:szCs w:val="20"/>
                <w:color w:val="auto"/>
              </w:rPr>
            </w:pPr>
            <w:r>
              <w:rPr>
                <w:rFonts w:ascii="Arial" w:cs="Arial" w:eastAsia="Arial" w:hAnsi="Arial"/>
                <w:sz w:val="13"/>
                <w:szCs w:val="13"/>
                <w:color w:val="auto"/>
              </w:rPr>
              <w:t>Restricted stock and performance shares</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3,118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2,055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w w:val="92"/>
              </w:rPr>
              <w:t>1,944</w:t>
            </w:r>
          </w:p>
        </w:tc>
      </w:tr>
      <w:tr>
        <w:trPr>
          <w:trHeight w:val="189"/>
        </w:trPr>
        <w:tc>
          <w:tcPr>
            <w:tcW w:w="5220" w:type="dxa"/>
            <w:vAlign w:val="bottom"/>
            <w:shd w:val="clear" w:color="auto" w:fill="E5E5E5"/>
          </w:tcPr>
          <w:p>
            <w:pPr>
              <w:ind w:left="20"/>
              <w:spacing w:after="0"/>
              <w:rPr>
                <w:sz w:val="20"/>
                <w:szCs w:val="20"/>
                <w:color w:val="auto"/>
              </w:rPr>
            </w:pPr>
            <w:r>
              <w:rPr>
                <w:rFonts w:ascii="Arial" w:cs="Arial" w:eastAsia="Arial" w:hAnsi="Arial"/>
                <w:sz w:val="13"/>
                <w:szCs w:val="13"/>
                <w:color w:val="auto"/>
              </w:rPr>
              <w:t>Convertible preferred stock</w:t>
            </w:r>
          </w:p>
        </w:tc>
        <w:tc>
          <w:tcPr>
            <w:tcW w:w="52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6,742</w:t>
            </w:r>
          </w:p>
        </w:tc>
        <w:tc>
          <w:tcPr>
            <w:tcW w:w="1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6,742</w:t>
            </w: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4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w:t>
            </w:r>
          </w:p>
        </w:tc>
      </w:tr>
      <w:tr>
        <w:trPr>
          <w:trHeight w:val="185"/>
        </w:trPr>
        <w:tc>
          <w:tcPr>
            <w:tcW w:w="5220" w:type="dxa"/>
            <w:vAlign w:val="bottom"/>
          </w:tcPr>
          <w:p>
            <w:pPr>
              <w:ind w:left="20"/>
              <w:spacing w:after="0"/>
              <w:rPr>
                <w:sz w:val="20"/>
                <w:szCs w:val="20"/>
                <w:color w:val="auto"/>
              </w:rPr>
            </w:pPr>
            <w:r>
              <w:rPr>
                <w:rFonts w:ascii="Arial" w:cs="Arial" w:eastAsia="Arial" w:hAnsi="Arial"/>
                <w:sz w:val="13"/>
                <w:szCs w:val="13"/>
                <w:color w:val="auto"/>
              </w:rPr>
              <w:t>Total Anti-Dilutive Securities</w:t>
            </w:r>
          </w:p>
        </w:tc>
        <w:tc>
          <w:tcPr>
            <w:tcW w:w="5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10,668</w:t>
            </w:r>
          </w:p>
        </w:tc>
        <w:tc>
          <w:tcPr>
            <w:tcW w:w="12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3,199</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9,585</w:t>
            </w:r>
          </w:p>
        </w:tc>
        <w:tc>
          <w:tcPr>
            <w:tcW w:w="100" w:type="dxa"/>
            <w:vAlign w:val="bottom"/>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2"/>
              </w:rPr>
              <w:t>2,791</w:t>
            </w:r>
          </w:p>
        </w:tc>
      </w:tr>
      <w:tr>
        <w:trPr>
          <w:trHeight w:val="20"/>
        </w:trPr>
        <w:tc>
          <w:tcPr>
            <w:tcW w:w="522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3"/>
        </w:trPr>
        <w:tc>
          <w:tcPr>
            <w:tcW w:w="522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3"/>
                <w:szCs w:val="13"/>
                <w:b w:val="1"/>
                <w:bCs w:val="1"/>
                <w:color w:val="auto"/>
              </w:rPr>
              <w:t>Dividends per Common Share</w:t>
            </w: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0.25</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0.25</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0.75</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0.75</w:t>
            </w:r>
          </w:p>
        </w:tc>
      </w:tr>
      <w:tr>
        <w:trPr>
          <w:trHeight w:val="20"/>
        </w:trPr>
        <w:tc>
          <w:tcPr>
            <w:tcW w:w="5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893"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DA2031"/>
        </w:rPr>
        <w:t>APPENDIX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DA2031"/>
        </w:rPr>
        <w:t>Xerox Holdings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DA2031"/>
        </w:rPr>
        <w:t>Geographic Sales Channels and Product/Offering Definitions</w:t>
      </w:r>
    </w:p>
    <w:p>
      <w:pPr>
        <w:spacing w:after="0" w:line="200" w:lineRule="exact"/>
        <w:rPr>
          <w:sz w:val="20"/>
          <w:szCs w:val="20"/>
          <w:color w:val="auto"/>
        </w:rPr>
      </w:pPr>
    </w:p>
    <w:p>
      <w:pPr>
        <w:spacing w:after="0" w:line="224"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Our business is aligned to a geographic focus and is primarily organized on the basis of go-to-market sales channels, which are structured to serve a range of customers for our products and services. In 2019 we changed our geographic structure to create a more streamlined, flatter and more effective organization, as follows:</w:t>
      </w:r>
    </w:p>
    <w:p>
      <w:pPr>
        <w:spacing w:after="0" w:line="89" w:lineRule="exact"/>
        <w:rPr>
          <w:sz w:val="20"/>
          <w:szCs w:val="20"/>
          <w:color w:val="auto"/>
        </w:rPr>
      </w:pPr>
    </w:p>
    <w:p>
      <w:pPr>
        <w:ind w:left="560" w:hanging="282"/>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Americas, which includes our sales channels in the U.S. and Canada, as well as Mexico, and Central and South America.</w:t>
      </w:r>
    </w:p>
    <w:p>
      <w:pPr>
        <w:spacing w:after="0" w:line="5" w:lineRule="exact"/>
        <w:rPr>
          <w:rFonts w:ascii="Arial" w:cs="Arial" w:eastAsia="Arial" w:hAnsi="Arial"/>
          <w:sz w:val="16"/>
          <w:szCs w:val="16"/>
          <w:color w:val="auto"/>
        </w:rPr>
      </w:pPr>
    </w:p>
    <w:p>
      <w:pPr>
        <w:ind w:left="560" w:hanging="282"/>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EMEA, which includes our sales channels in Europe, the Middle East, Africa and India.</w:t>
      </w:r>
    </w:p>
    <w:p>
      <w:pPr>
        <w:spacing w:after="0" w:line="5" w:lineRule="exact"/>
        <w:rPr>
          <w:rFonts w:ascii="Arial" w:cs="Arial" w:eastAsia="Arial" w:hAnsi="Arial"/>
          <w:sz w:val="16"/>
          <w:szCs w:val="16"/>
          <w:color w:val="auto"/>
        </w:rPr>
      </w:pPr>
    </w:p>
    <w:p>
      <w:pPr>
        <w:ind w:left="560" w:hanging="282"/>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primarily includes sales to and royalties from Fuji Xerox, and our licensing revenue.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Our products and offerings include:</w:t>
      </w:r>
    </w:p>
    <w:p>
      <w:pPr>
        <w:spacing w:after="0" w:line="100" w:lineRule="exact"/>
        <w:rPr>
          <w:sz w:val="20"/>
          <w:szCs w:val="20"/>
          <w:color w:val="auto"/>
        </w:rPr>
      </w:pPr>
    </w:p>
    <w:p>
      <w:pPr>
        <w:ind w:left="560" w:hanging="282"/>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“Entry”, which includes A4 devices and desktop printers. Prices in this product group can range from approximately $150 to $3,000.</w:t>
      </w:r>
    </w:p>
    <w:p>
      <w:pPr>
        <w:spacing w:after="0" w:line="5" w:lineRule="exact"/>
        <w:rPr>
          <w:rFonts w:ascii="Arial" w:cs="Arial" w:eastAsia="Arial" w:hAnsi="Arial"/>
          <w:sz w:val="16"/>
          <w:szCs w:val="16"/>
          <w:color w:val="auto"/>
        </w:rPr>
      </w:pPr>
    </w:p>
    <w:p>
      <w:pPr>
        <w:ind w:left="560" w:right="20" w:hanging="282"/>
        <w:spacing w:after="0" w:line="246"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“Mid-Range”, which includes A3 Office and Light Production devices that generally serve workgroup environments in mid to large enterprises. Prices in this product group can range from approximately $2,000 to $75,000+.</w:t>
      </w:r>
    </w:p>
    <w:p>
      <w:pPr>
        <w:ind w:left="560" w:right="20" w:hanging="282"/>
        <w:spacing w:after="0" w:line="246"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“High-End”, which includes production printing and publishing systems that generally serve the graphic communications marketplace and large enterprises. Prices for these systems can range from approximately $30,000 to $1,000,000+.</w:t>
      </w:r>
    </w:p>
    <w:p>
      <w:pPr>
        <w:jc w:val="both"/>
        <w:ind w:left="560" w:hanging="282"/>
        <w:spacing w:after="0" w:line="249" w:lineRule="auto"/>
        <w:tabs>
          <w:tab w:leader="none" w:pos="5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Xerox Services, includes solutions and services that span from managing print to automating processes to managing content. Our primary offerings are Intelligent Workplace Services (IWS), as well as Digital and Cloud Print Services (including centralized print services) and Communication and Marketing Solutions.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sectPr>
      <w:pgSz w:w="11900" w:h="16838" w:orient="portrait"/>
      <w:cols w:equalWidth="0" w:num="1">
        <w:col w:w="11260"/>
      </w:cols>
      <w:pgMar w:left="320" w:top="89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lvl w:ilvl="1">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8"/>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2020-10-27T05:50:55Z</dcterms:created>
  <dcterms:modified xsi:type="dcterms:W3CDTF">2020-10-27T05:50:55Z</dcterms:modified>
</cp:coreProperties>
</file>