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______________________________________________________________________________________________________</w:t>
      </w:r>
    </w:p>
    <w:p>
      <w:pPr>
        <w:spacing w:after="0" w:line="9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4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color w:val="7F160E"/>
        </w:rPr>
        <w:t>_____________________________________________________________________________________________________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October 29, 2026</w:t>
      </w:r>
    </w:p>
    <w:p>
      <w:pPr>
        <w:spacing w:after="0" w:line="3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183515</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XEROX HOLDINGS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XEROX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002" w:right="339" w:bottom="1440" w:gutter="0" w:footer="0" w:header="0"/>
        </w:sectPr>
      </w:pPr>
    </w:p>
    <w:p>
      <w:pPr>
        <w:spacing w:after="0" w:line="142"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New York</w:t>
      </w:r>
    </w:p>
    <w:p>
      <w:pPr>
        <w:spacing w:after="0" w:line="50"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001-39013</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001-04471</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83-3933743</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16-0468020</w:t>
      </w:r>
    </w:p>
    <w:p>
      <w:pPr>
        <w:spacing w:after="0" w:line="32" w:lineRule="exact"/>
        <w:rPr>
          <w:sz w:val="24"/>
          <w:szCs w:val="24"/>
          <w:color w:val="auto"/>
        </w:rPr>
      </w:pPr>
    </w:p>
    <w:p>
      <w:pPr>
        <w:sectPr>
          <w:pgSz w:w="11900" w:h="16838" w:orient="portrait"/>
          <w:cols w:equalWidth="0" w:num="3">
            <w:col w:w="3780" w:space="720"/>
            <w:col w:w="2500" w:space="720"/>
            <w:col w:w="3520"/>
          </w:cols>
          <w:pgMar w:left="320" w:top="1002"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color w:val="auto"/>
        </w:rPr>
        <w:t>(State or other jurisdiction of incorporation or</w:t>
      </w:r>
    </w:p>
    <w:p>
      <w:pPr>
        <w:jc w:val="center"/>
        <w:ind w:right="40"/>
        <w:spacing w:after="0"/>
        <w:rPr>
          <w:sz w:val="20"/>
          <w:szCs w:val="20"/>
          <w:color w:val="auto"/>
        </w:rPr>
      </w:pPr>
      <w:r>
        <w:rPr>
          <w:rFonts w:ascii="Arial" w:cs="Arial" w:eastAsia="Arial" w:hAnsi="Arial"/>
          <w:sz w:val="14"/>
          <w:szCs w:val="14"/>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Arial" w:cs="Arial" w:eastAsia="Arial" w:hAnsi="Arial"/>
          <w:sz w:val="14"/>
          <w:szCs w:val="14"/>
          <w:color w:val="auto"/>
        </w:rPr>
        <w:t>(IRS Employer</w:t>
      </w:r>
    </w:p>
    <w:p>
      <w:pPr>
        <w:jc w:val="center"/>
        <w:ind w:right="2520"/>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3">
            <w:col w:w="3320" w:space="720"/>
            <w:col w:w="2840" w:space="720"/>
            <w:col w:w="3640"/>
          </w:cols>
          <w:pgMar w:left="320" w:top="1002" w:right="3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4505, 401 Merritt 7</w:t>
      </w:r>
    </w:p>
    <w:p>
      <w:pPr>
        <w:jc w:val="center"/>
        <w:spacing w:after="0"/>
        <w:rPr>
          <w:sz w:val="20"/>
          <w:szCs w:val="20"/>
          <w:color w:val="auto"/>
        </w:rPr>
      </w:pPr>
      <w:r>
        <w:rPr>
          <w:rFonts w:ascii="Arial" w:cs="Arial" w:eastAsia="Arial" w:hAnsi="Arial"/>
          <w:sz w:val="16"/>
          <w:szCs w:val="16"/>
          <w:b w:val="1"/>
          <w:bCs w:val="1"/>
          <w:color w:val="auto"/>
        </w:rPr>
        <w:t>Norwalk, Connecticut 06851-1059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and Zip Code)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201 Merritt 7, Norwalk, CT 06851-1056</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address of principal executive offices)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(203) 849-5216</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1002" w:right="339" w:bottom="1440" w:gutter="0" w:footer="0" w:header="0"/>
          <w:type w:val="continuous"/>
        </w:sectPr>
      </w:pPr>
    </w:p>
    <w:p>
      <w:pPr>
        <w:spacing w:after="0" w:line="35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02" w:right="339" w:bottom="1440" w:gutter="0" w:footer="0" w:header="0"/>
          <w:type w:val="continuous"/>
        </w:sectPr>
      </w:pP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Title of each class</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Xerox Holdings Corporation Common Stock, $1 par value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right="840" w:hanging="397"/>
        <w:spacing w:after="0" w:line="321" w:lineRule="auto"/>
        <w:rPr>
          <w:sz w:val="20"/>
          <w:szCs w:val="20"/>
          <w:color w:val="auto"/>
        </w:rPr>
      </w:pPr>
      <w:r>
        <w:rPr>
          <w:rFonts w:ascii="Arial" w:cs="Arial" w:eastAsia="Arial" w:hAnsi="Arial"/>
          <w:sz w:val="16"/>
          <w:szCs w:val="16"/>
          <w:color w:val="auto"/>
        </w:rPr>
        <w:t>Trading Symbol</w:t>
      </w:r>
      <w:r>
        <w:rPr>
          <w:sz w:val="20"/>
          <w:szCs w:val="20"/>
          <w:color w:val="auto"/>
        </w:rPr>
        <w:t xml:space="preserve"> </w:t>
      </w:r>
      <w:r>
        <w:rPr>
          <w:rFonts w:ascii="Arial" w:cs="Arial" w:eastAsia="Arial" w:hAnsi="Arial"/>
          <w:sz w:val="16"/>
          <w:szCs w:val="16"/>
          <w:color w:val="auto"/>
        </w:rPr>
        <w:t>Name of each exchange on which registered XRX Nasdaq Global Select Market</w:t>
      </w:r>
    </w:p>
    <w:p>
      <w:pPr>
        <w:spacing w:after="0" w:line="48" w:lineRule="exact"/>
        <w:rPr>
          <w:sz w:val="24"/>
          <w:szCs w:val="24"/>
          <w:color w:val="auto"/>
        </w:rPr>
      </w:pPr>
    </w:p>
    <w:p>
      <w:pPr>
        <w:sectPr>
          <w:pgSz w:w="11900" w:h="16838" w:orient="portrait"/>
          <w:cols w:equalWidth="0" w:num="2">
            <w:col w:w="4720" w:space="720"/>
            <w:col w:w="5800"/>
          </w:cols>
          <w:pgMar w:left="320" w:top="1002"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type w:val="continuous"/>
        </w:sectPr>
      </w:pPr>
    </w:p>
    <w:bookmarkStart w:id="1" w:name="page2"/>
    <w:bookmarkEnd w:id="1"/>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ectPr>
          <w:pgSz w:w="11900" w:h="16838" w:orient="portrait"/>
          <w:cols w:equalWidth="0" w:num="1">
            <w:col w:w="11240"/>
          </w:cols>
          <w:pgMar w:left="320" w:top="904" w:right="3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Xerox Holdings Corporation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Xerox Corporation</w:t>
      </w:r>
    </w:p>
    <w:p>
      <w:pPr>
        <w:spacing w:after="0" w:line="83" w:lineRule="exact"/>
        <w:rPr>
          <w:sz w:val="20"/>
          <w:szCs w:val="20"/>
          <w:color w:val="auto"/>
        </w:rPr>
      </w:pPr>
    </w:p>
    <w:p>
      <w:pPr>
        <w:sectPr>
          <w:pgSz w:w="11900" w:h="16838" w:orient="portrait"/>
          <w:cols w:equalWidth="0" w:num="2">
            <w:col w:w="3240" w:space="720"/>
            <w:col w:w="7280"/>
          </w:cols>
          <w:pgMar w:left="320" w:top="904" w:right="33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3"/>
          <w:szCs w:val="13"/>
          <w:color w:val="auto"/>
        </w:rPr>
        <w:t>☐</w:t>
      </w:r>
    </w:p>
    <w:p>
      <w:pPr>
        <w:spacing w:after="0" w:line="200" w:lineRule="exact"/>
        <w:rPr>
          <w:sz w:val="20"/>
          <w:szCs w:val="20"/>
          <w:color w:val="auto"/>
        </w:rPr>
      </w:pPr>
    </w:p>
    <w:p>
      <w:pPr>
        <w:sectPr>
          <w:pgSz w:w="11900" w:h="16838" w:orient="portrait"/>
          <w:cols w:equalWidth="0" w:num="2">
            <w:col w:w="2880" w:space="720"/>
            <w:col w:w="7640"/>
          </w:cols>
          <w:pgMar w:left="320" w:top="904" w:right="339" w:bottom="1440" w:gutter="0" w:footer="0" w:header="0"/>
          <w:type w:val="continuous"/>
        </w:sectPr>
      </w:pP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0" w:lineRule="exact"/>
        <w:rPr>
          <w:sz w:val="20"/>
          <w:szCs w:val="20"/>
          <w:color w:val="auto"/>
        </w:rPr>
      </w:pPr>
    </w:p>
    <w:p>
      <w:pPr>
        <w:spacing w:after="0" w:line="230" w:lineRule="exact"/>
        <w:tabs>
          <w:tab w:leader="none" w:pos="3920" w:val="left"/>
        </w:tabs>
        <w:rPr>
          <w:sz w:val="20"/>
          <w:szCs w:val="20"/>
          <w:color w:val="auto"/>
        </w:rPr>
      </w:pPr>
      <w:r>
        <w:rPr>
          <w:rFonts w:ascii="Arial" w:cs="Arial" w:eastAsia="Arial" w:hAnsi="Arial"/>
          <w:sz w:val="20"/>
          <w:szCs w:val="20"/>
          <w:b w:val="1"/>
          <w:bCs w:val="1"/>
          <w:color w:val="auto"/>
        </w:rPr>
        <w:t xml:space="preserve">Xerox Holdings Corporation </w:t>
      </w:r>
      <w:r>
        <w:rPr>
          <w:rFonts w:ascii="MS PGothic" w:cs="MS PGothic" w:eastAsia="MS PGothic" w:hAnsi="MS PGothic"/>
          <w:sz w:val="14"/>
          <w:szCs w:val="14"/>
          <w:color w:val="auto"/>
        </w:rPr>
        <w:t>☐</w:t>
      </w:r>
      <w:r>
        <w:rPr>
          <w:sz w:val="20"/>
          <w:szCs w:val="20"/>
          <w:color w:val="auto"/>
        </w:rPr>
        <w:tab/>
      </w:r>
      <w:r>
        <w:rPr>
          <w:rFonts w:ascii="Arial" w:cs="Arial" w:eastAsia="Arial" w:hAnsi="Arial"/>
          <w:sz w:val="19"/>
          <w:szCs w:val="19"/>
          <w:b w:val="1"/>
          <w:bCs w:val="1"/>
          <w:color w:val="auto"/>
        </w:rPr>
        <w:t xml:space="preserve">Xerox Corporation </w:t>
      </w:r>
      <w:r>
        <w:rPr>
          <w:rFonts w:ascii="MS PGothic" w:cs="MS PGothic" w:eastAsia="MS PGothic" w:hAnsi="MS PGothic"/>
          <w:sz w:val="13"/>
          <w:szCs w:val="13"/>
          <w:color w:val="auto"/>
        </w:rPr>
        <w:t>☐</w:t>
      </w: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29, 2026, Xerox Holdings Corporation and Xerox Corporation (together, the "Registrants") issued a press release announcing their combined third quarter 2026 earnings. A copy of the press release is furnished herewith as Exhibit 99.1 and incorporated herein by reference.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99.1 to this current Report contains certain financial measures that are considered “non-GAAP financial measures” as defined in the SEC rules. Exhibit 99.1 to this current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contained in Item 2.02 of this Current Report and in Exhibit 99.1 hereto is being furnished and shall not be deemed to be "filed" for purposes of the Securities Exchange Act of 1934, as amended (the "Exchange Act"), nor shall it be deemed incorporated into any registration statement or other filing under the Securities Act of 1933, as amended, or the Exchange Act, except as shall be expressly set forth by specific reference to such filing.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80" w:type="dxa"/>
            <w:vAlign w:val="bottom"/>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1260" w:type="dxa"/>
            <w:vAlign w:val="bottom"/>
            <w:gridSpan w:val="3"/>
          </w:tcPr>
          <w:p>
            <w:pPr>
              <w:ind w:left="20"/>
              <w:spacing w:after="0" w:line="195"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9980" w:type="dxa"/>
            <w:vAlign w:val="bottom"/>
          </w:tcPr>
          <w:p>
            <w:pPr>
              <w:ind w:left="280"/>
              <w:spacing w:after="0" w:line="195" w:lineRule="exact"/>
              <w:rPr>
                <w:sz w:val="20"/>
                <w:szCs w:val="20"/>
                <w:color w:val="auto"/>
              </w:rPr>
            </w:pPr>
            <w:r>
              <w:rPr>
                <w:rFonts w:ascii="Arial" w:cs="Arial" w:eastAsia="Arial" w:hAnsi="Arial"/>
                <w:sz w:val="18"/>
                <w:szCs w:val="18"/>
                <w:color w:val="auto"/>
              </w:rPr>
              <w:t>Registrants' third quarter 2026 earnings press release dated October 29, 2026</w:t>
            </w:r>
          </w:p>
        </w:tc>
      </w:tr>
      <w:tr>
        <w:trPr>
          <w:trHeight w:val="1350"/>
        </w:trPr>
        <w:tc>
          <w:tcPr>
            <w:tcW w:w="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HOLDINGS CORPORATION</w:t>
      </w:r>
    </w:p>
    <w:p>
      <w:pPr>
        <w:ind w:left="20"/>
        <w:spacing w:after="0"/>
        <w:rPr>
          <w:sz w:val="20"/>
          <w:szCs w:val="20"/>
          <w:color w:val="auto"/>
        </w:rPr>
      </w:pPr>
      <w:r>
        <w:rPr>
          <w:rFonts w:ascii="Arial" w:cs="Arial" w:eastAsia="Arial" w:hAnsi="Arial"/>
          <w:sz w:val="18"/>
          <w:szCs w:val="18"/>
          <w:color w:val="auto"/>
        </w:rPr>
        <w:t>(Registrant)</w:t>
      </w:r>
    </w:p>
    <w:p>
      <w:pPr>
        <w:spacing w:after="0" w:line="72"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William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William Twomey</w:t>
      </w:r>
    </w:p>
    <w:p>
      <w:pPr>
        <w:ind w:left="540"/>
        <w:spacing w:after="0" w:line="223" w:lineRule="auto"/>
        <w:rPr>
          <w:sz w:val="20"/>
          <w:szCs w:val="20"/>
          <w:color w:val="auto"/>
        </w:rPr>
      </w:pPr>
      <w:r>
        <w:rPr>
          <w:rFonts w:ascii="Arial" w:cs="Arial" w:eastAsia="Arial" w:hAnsi="Arial"/>
          <w:sz w:val="14"/>
          <w:szCs w:val="14"/>
          <w:b w:val="1"/>
          <w:bCs w:val="1"/>
          <w:color w:val="auto"/>
        </w:rPr>
        <w:t>Vice President and</w:t>
      </w:r>
    </w:p>
    <w:p>
      <w:pPr>
        <w:ind w:left="540"/>
        <w:spacing w:after="0" w:line="201" w:lineRule="auto"/>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CORPORATION</w:t>
      </w:r>
    </w:p>
    <w:p>
      <w:pPr>
        <w:ind w:left="2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William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William Twomey</w:t>
      </w:r>
    </w:p>
    <w:p>
      <w:pPr>
        <w:ind w:left="540"/>
        <w:spacing w:after="0" w:line="203" w:lineRule="auto"/>
        <w:rPr>
          <w:sz w:val="20"/>
          <w:szCs w:val="20"/>
          <w:color w:val="auto"/>
        </w:rPr>
      </w:pPr>
      <w:r>
        <w:rPr>
          <w:rFonts w:ascii="Arial" w:cs="Arial" w:eastAsia="Arial" w:hAnsi="Arial"/>
          <w:sz w:val="14"/>
          <w:szCs w:val="14"/>
          <w:b w:val="1"/>
          <w:bCs w:val="1"/>
          <w:color w:val="auto"/>
        </w:rPr>
        <w:t>Vice President and</w:t>
      </w:r>
    </w:p>
    <w:p>
      <w:pPr>
        <w:ind w:left="540"/>
        <w:spacing w:after="0" w:line="221" w:lineRule="auto"/>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3"/>
        </w:trPr>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580" w:type="dxa"/>
            <w:vAlign w:val="bottom"/>
          </w:tcPr>
          <w:p>
            <w:pPr>
              <w:ind w:left="3240"/>
              <w:spacing w:after="0"/>
              <w:rPr>
                <w:sz w:val="20"/>
                <w:szCs w:val="20"/>
                <w:color w:val="auto"/>
              </w:rPr>
            </w:pPr>
            <w:r>
              <w:rPr>
                <w:rFonts w:ascii="Arial" w:cs="Arial" w:eastAsia="Arial" w:hAnsi="Arial"/>
                <w:sz w:val="20"/>
                <w:szCs w:val="20"/>
                <w:b w:val="1"/>
                <w:bCs w:val="1"/>
                <w:color w:val="auto"/>
              </w:rPr>
              <w:t>EXHIBIT INDEX</w:t>
            </w:r>
          </w:p>
        </w:tc>
      </w:tr>
      <w:tr>
        <w:trPr>
          <w:trHeight w:val="547"/>
        </w:trPr>
        <w:tc>
          <w:tcPr>
            <w:tcW w:w="166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95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5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Registrants' third quarter 2026 earnings press release dated October 29, 2026</w:t>
            </w:r>
          </w:p>
        </w:tc>
      </w:tr>
      <w:tr>
        <w:trPr>
          <w:trHeight w:val="245"/>
        </w:trPr>
        <w:tc>
          <w:tcPr>
            <w:tcW w:w="500" w:type="dxa"/>
            <w:vAlign w:val="bottom"/>
            <w:gridSpan w:val="2"/>
          </w:tcPr>
          <w:p>
            <w:pPr>
              <w:ind w:left="140"/>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39"/>
        </w:trPr>
        <w:tc>
          <w:tcPr>
            <w:tcW w:w="50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ectPr>
          <w:pgSz w:w="11900" w:h="16838" w:orient="portrait"/>
          <w:cols w:equalWidth="0" w:num="1">
            <w:col w:w="11240"/>
          </w:cols>
          <w:pgMar w:left="320" w:top="1250" w:right="339" w:bottom="1440" w:gutter="0" w:footer="0" w:header="0"/>
        </w:sectPr>
      </w:pPr>
    </w:p>
    <w:bookmarkStart w:id="5" w:name="page6"/>
    <w:bookmarkEnd w:id="5"/>
    <w:p>
      <w:pPr>
        <w:ind w:left="778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159385</wp:posOffset>
            </wp:positionV>
            <wp:extent cx="123444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color w:val="auto"/>
        </w:rPr>
        <w:t>News from Xerox Holdings Corporation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Xerox Releases Third-Quarter Results</w:t>
      </w:r>
    </w:p>
    <w:p>
      <w:pPr>
        <w:spacing w:after="0" w:line="1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i w:val="1"/>
          <w:iCs w:val="1"/>
          <w:color w:val="auto"/>
        </w:rPr>
        <w:t>Revenue Trajectory and Adjusted</w:t>
      </w:r>
      <w:r>
        <w:rPr>
          <w:rFonts w:ascii="Arial" w:cs="Arial" w:eastAsia="Arial" w:hAnsi="Arial"/>
          <w:sz w:val="25"/>
          <w:szCs w:val="25"/>
          <w:color w:val="auto"/>
          <w:vertAlign w:val="superscript"/>
        </w:rPr>
        <w:t>1</w:t>
      </w:r>
      <w:r>
        <w:rPr>
          <w:rFonts w:ascii="Arial" w:cs="Arial" w:eastAsia="Arial" w:hAnsi="Arial"/>
          <w:sz w:val="20"/>
          <w:szCs w:val="20"/>
          <w:i w:val="1"/>
          <w:iCs w:val="1"/>
          <w:color w:val="auto"/>
        </w:rPr>
        <w:t xml:space="preserve"> Operating Income Improve; Higher Input Costs and Market Headwinds Weigh on Full-Year Outlook</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Summary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Q3 2026</w:t>
      </w:r>
    </w:p>
    <w:p>
      <w:pPr>
        <w:spacing w:after="0" w:line="4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Revenue of $1.87 billion, down 4.7 percent, or down 4.5 percent in constant currency</w:t>
      </w:r>
      <w:r>
        <w:rPr>
          <w:rFonts w:ascii="Arial" w:cs="Arial" w:eastAsia="Arial" w:hAnsi="Arial"/>
          <w:sz w:val="11"/>
          <w:szCs w:val="11"/>
          <w:color w:val="auto"/>
        </w:rPr>
        <w:t>1</w:t>
      </w:r>
      <w:r>
        <w:rPr>
          <w:rFonts w:ascii="Arial" w:cs="Arial" w:eastAsia="Arial" w:hAnsi="Arial"/>
          <w:sz w:val="20"/>
          <w:szCs w:val="20"/>
          <w:color w:val="auto"/>
        </w:rPr>
        <w:t>.</w:t>
      </w:r>
    </w:p>
    <w:p>
      <w:pPr>
        <w:spacing w:after="0" w:line="11" w:lineRule="exact"/>
        <w:rPr>
          <w:rFonts w:ascii="Arial" w:cs="Arial" w:eastAsia="Arial" w:hAnsi="Arial"/>
          <w:sz w:val="22"/>
          <w:szCs w:val="22"/>
          <w:color w:val="auto"/>
        </w:rPr>
      </w:pPr>
    </w:p>
    <w:p>
      <w:pPr>
        <w:ind w:left="660" w:right="840" w:hanging="328"/>
        <w:spacing w:after="0" w:line="246"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0"/>
          <w:szCs w:val="20"/>
          <w:color w:val="auto"/>
        </w:rPr>
        <w:t>GAAP net (loss)</w:t>
      </w:r>
      <w:r>
        <w:rPr>
          <w:rFonts w:ascii="Arial" w:cs="Arial" w:eastAsia="Arial" w:hAnsi="Arial"/>
          <w:sz w:val="11"/>
          <w:szCs w:val="11"/>
          <w:color w:val="auto"/>
        </w:rPr>
        <w:t>2</w:t>
      </w:r>
      <w:r>
        <w:rPr>
          <w:rFonts w:ascii="Arial" w:cs="Arial" w:eastAsia="Arial" w:hAnsi="Arial"/>
          <w:sz w:val="20"/>
          <w:szCs w:val="20"/>
          <w:color w:val="auto"/>
        </w:rPr>
        <w:t xml:space="preserve"> of $(1,015) million, or $(7.73) per share, down $255 million or $1.72 per share, year-over-year, respectively.</w:t>
      </w:r>
    </w:p>
    <w:p>
      <w:pPr>
        <w:spacing w:after="0" w:line="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19"/>
          <w:szCs w:val="19"/>
          <w:color w:val="auto"/>
        </w:rPr>
        <w:t>Adjusted</w:t>
      </w:r>
      <w:r>
        <w:rPr>
          <w:rFonts w:ascii="Arial" w:cs="Arial" w:eastAsia="Arial" w:hAnsi="Arial"/>
          <w:sz w:val="11"/>
          <w:szCs w:val="11"/>
          <w:color w:val="auto"/>
        </w:rPr>
        <w:t>1</w:t>
      </w:r>
      <w:r>
        <w:rPr>
          <w:rFonts w:ascii="Arial" w:cs="Arial" w:eastAsia="Arial" w:hAnsi="Arial"/>
          <w:sz w:val="19"/>
          <w:szCs w:val="19"/>
          <w:color w:val="auto"/>
        </w:rPr>
        <w:t xml:space="preserve"> net income of $7 million, or $0.02 per share, down $20 million or $0.18 per share, year-over-year, respectively.</w:t>
      </w:r>
    </w:p>
    <w:p>
      <w:pPr>
        <w:spacing w:after="0" w:line="3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Adjusted</w:t>
      </w:r>
      <w:r>
        <w:rPr>
          <w:rFonts w:ascii="Arial" w:cs="Arial" w:eastAsia="Arial" w:hAnsi="Arial"/>
          <w:sz w:val="11"/>
          <w:szCs w:val="11"/>
          <w:color w:val="auto"/>
        </w:rPr>
        <w:t>1</w:t>
      </w:r>
      <w:r>
        <w:rPr>
          <w:rFonts w:ascii="Arial" w:cs="Arial" w:eastAsia="Arial" w:hAnsi="Arial"/>
          <w:sz w:val="20"/>
          <w:szCs w:val="20"/>
          <w:color w:val="auto"/>
        </w:rPr>
        <w:t xml:space="preserve"> operating income of $124 million, up $59 million year-over-year.</w:t>
      </w:r>
    </w:p>
    <w:p>
      <w:pPr>
        <w:spacing w:after="0" w:line="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Adjusted</w:t>
      </w:r>
      <w:r>
        <w:rPr>
          <w:rFonts w:ascii="Arial" w:cs="Arial" w:eastAsia="Arial" w:hAnsi="Arial"/>
          <w:sz w:val="11"/>
          <w:szCs w:val="11"/>
          <w:color w:val="auto"/>
        </w:rPr>
        <w:t>1</w:t>
      </w:r>
      <w:r>
        <w:rPr>
          <w:rFonts w:ascii="Arial" w:cs="Arial" w:eastAsia="Arial" w:hAnsi="Arial"/>
          <w:sz w:val="20"/>
          <w:szCs w:val="20"/>
          <w:color w:val="auto"/>
        </w:rPr>
        <w:t xml:space="preserve"> operating margin of 6.6 percent, up 330 basis points year-over-year.</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Operating cash flow of $30 million, down $86 million year-over year.</w:t>
      </w:r>
    </w:p>
    <w:p>
      <w:pPr>
        <w:spacing w:after="0" w:line="8"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0"/>
          <w:szCs w:val="20"/>
          <w:color w:val="auto"/>
        </w:rPr>
        <w:t>Free cash flow</w:t>
      </w:r>
      <w:r>
        <w:rPr>
          <w:rFonts w:ascii="Arial" w:cs="Arial" w:eastAsia="Arial" w:hAnsi="Arial"/>
          <w:sz w:val="11"/>
          <w:szCs w:val="11"/>
          <w:color w:val="auto"/>
        </w:rPr>
        <w:t>1</w:t>
      </w:r>
      <w:r>
        <w:rPr>
          <w:rFonts w:ascii="Arial" w:cs="Arial" w:eastAsia="Arial" w:hAnsi="Arial"/>
          <w:sz w:val="20"/>
          <w:szCs w:val="20"/>
          <w:color w:val="auto"/>
        </w:rPr>
        <w:t xml:space="preserve"> of $7 million, down $81 million year-over-year.</w:t>
      </w:r>
    </w:p>
    <w:p>
      <w:pPr>
        <w:spacing w:after="0" w:line="218" w:lineRule="exact"/>
        <w:rPr>
          <w:sz w:val="20"/>
          <w:szCs w:val="20"/>
          <w:color w:val="auto"/>
        </w:rPr>
      </w:pPr>
    </w:p>
    <w:p>
      <w:pPr>
        <w:ind w:right="500"/>
        <w:spacing w:after="0" w:line="288" w:lineRule="auto"/>
        <w:rPr>
          <w:sz w:val="20"/>
          <w:szCs w:val="20"/>
          <w:color w:val="auto"/>
        </w:rPr>
      </w:pPr>
      <w:r>
        <w:rPr>
          <w:rFonts w:ascii="Arial" w:cs="Arial" w:eastAsia="Arial" w:hAnsi="Arial"/>
          <w:sz w:val="20"/>
          <w:szCs w:val="20"/>
          <w:b w:val="1"/>
          <w:bCs w:val="1"/>
          <w:color w:val="auto"/>
        </w:rPr>
        <w:t xml:space="preserve">NORWALK, Conn., Oct. 29, 2026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467886"/>
        </w:rPr>
        <w:t>Xerox Holdings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(NASDAQ: XRX) today announced its 2026 third-quarter</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“This quarter, Print equipment revenue grew and adjusted operating margin doubled as we continued to execute against our three priorities: stabilize revenue, increase profitability and reduce leverage,” said Louie Pastor, chief executive officer at Xerox. “We are seeing results in the areas where we have focused our execution, but the headwinds affecting our outlook have intensified, creating greater near-term pressure than we expected. As a result, we are lowering our full-year adjusted operating income and free cash flow guidance. We’re responding with actions and cost measures to mitigate these pressures, improve profitability, and preserve cash, including the suspension of our common and preferred dividends, while maintaining our focus on reducing debt.”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Progress Against Strategic Priorities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Q3 2026</w:t>
      </w:r>
    </w:p>
    <w:p>
      <w:pPr>
        <w:spacing w:after="0" w:line="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Double-digit equipment revenue growth in both Entry and Production</w:t>
      </w:r>
    </w:p>
    <w:p>
      <w:pPr>
        <w:spacing w:after="0" w:line="10" w:lineRule="exact"/>
        <w:rPr>
          <w:rFonts w:ascii="Arial" w:cs="Arial" w:eastAsia="Arial" w:hAnsi="Arial"/>
          <w:sz w:val="22"/>
          <w:szCs w:val="22"/>
          <w:color w:val="auto"/>
        </w:rPr>
      </w:pPr>
    </w:p>
    <w:p>
      <w:pPr>
        <w:ind w:left="660" w:hanging="328"/>
        <w:spacing w:after="0" w:line="239"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0"/>
          <w:szCs w:val="20"/>
          <w:color w:val="auto"/>
        </w:rPr>
        <w:t>Announced three new Production devices at PRINTING United Expo, as well as a partnership with Xeikon to enter the Packaging and Labels market</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0"/>
          <w:szCs w:val="20"/>
          <w:color w:val="auto"/>
        </w:rPr>
        <w:t>$8 million non-cash debt reduction through our warrant program, retiring 2030 convertible notes</w:t>
      </w:r>
    </w:p>
    <w:p>
      <w:pPr>
        <w:spacing w:after="0" w:line="4" w:lineRule="exact"/>
        <w:rPr>
          <w:rFonts w:ascii="Arial" w:cs="Arial" w:eastAsia="Arial" w:hAnsi="Arial"/>
          <w:sz w:val="22"/>
          <w:szCs w:val="22"/>
          <w:color w:val="auto"/>
        </w:rPr>
      </w:pPr>
    </w:p>
    <w:p>
      <w:pPr>
        <w:ind w:left="660" w:hanging="328"/>
        <w:spacing w:after="0" w:line="226"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Announced Exchange of $174 million in 5.50% 2028 Senior Notes for:</w:t>
      </w:r>
    </w:p>
    <w:p>
      <w:pPr>
        <w:ind w:left="1360" w:hanging="380"/>
        <w:spacing w:after="0" w:line="230" w:lineRule="auto"/>
        <w:tabs>
          <w:tab w:leader="none" w:pos="1360"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$121 million of 10.25% 2030 Senior Secured Notes</w:t>
      </w:r>
    </w:p>
    <w:p>
      <w:pPr>
        <w:spacing w:after="0" w:line="13" w:lineRule="exact"/>
        <w:rPr>
          <w:rFonts w:ascii="Courier New" w:cs="Courier New" w:eastAsia="Courier New" w:hAnsi="Courier New"/>
          <w:sz w:val="22"/>
          <w:szCs w:val="22"/>
          <w:color w:val="auto"/>
        </w:rPr>
      </w:pPr>
    </w:p>
    <w:p>
      <w:pPr>
        <w:ind w:left="1280" w:hanging="300"/>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0"/>
          <w:szCs w:val="20"/>
          <w:color w:val="auto"/>
        </w:rPr>
        <w:t>$9 million in equity</w:t>
      </w:r>
    </w:p>
    <w:p>
      <w:pPr>
        <w:spacing w:after="0" w:line="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0"/>
          <w:szCs w:val="20"/>
          <w:b w:val="1"/>
          <w:bCs w:val="1"/>
          <w:color w:val="auto"/>
        </w:rPr>
        <w:t>Third-Quarter Key Financial Results</w:t>
      </w:r>
    </w:p>
    <w:p>
      <w:pPr>
        <w:spacing w:after="0" w:line="138" w:lineRule="exact"/>
        <w:rPr>
          <w:sz w:val="20"/>
          <w:szCs w:val="20"/>
          <w:color w:val="auto"/>
        </w:rPr>
      </w:pPr>
    </w:p>
    <w:p>
      <w:pPr>
        <w:ind w:left="9760"/>
        <w:spacing w:after="0"/>
        <w:rPr>
          <w:sz w:val="20"/>
          <w:szCs w:val="20"/>
          <w:color w:val="auto"/>
        </w:rPr>
      </w:pPr>
      <w:r>
        <w:rPr>
          <w:rFonts w:ascii="Arial" w:cs="Arial" w:eastAsia="Arial" w:hAnsi="Arial"/>
          <w:sz w:val="16"/>
          <w:szCs w:val="16"/>
          <w:b w:val="1"/>
          <w:bCs w:val="1"/>
          <w:color w:val="D92130"/>
        </w:rPr>
        <w:t>B/(W)</w:t>
      </w:r>
    </w:p>
    <w:tbl>
      <w:tblPr>
        <w:tblLayout w:type="fixed"/>
        <w:tblInd w:w="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D92130"/>
              </w:rPr>
              <w:t>(in millions, except per share data)</w:t>
            </w:r>
          </w:p>
        </w:tc>
        <w:tc>
          <w:tcPr>
            <w:tcW w:w="180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D92130"/>
              </w:rPr>
              <w:t>Q3 2026</w:t>
            </w:r>
          </w:p>
        </w:tc>
        <w:tc>
          <w:tcPr>
            <w:tcW w:w="180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D92130"/>
              </w:rPr>
              <w:t>Q3 2025</w:t>
            </w:r>
          </w:p>
        </w:tc>
        <w:tc>
          <w:tcPr>
            <w:tcW w:w="1720" w:type="dxa"/>
            <w:vAlign w:val="bottom"/>
          </w:tcPr>
          <w:p>
            <w:pPr>
              <w:jc w:val="center"/>
              <w:spacing w:after="0" w:line="160" w:lineRule="exact"/>
              <w:rPr>
                <w:sz w:val="20"/>
                <w:szCs w:val="20"/>
                <w:color w:val="auto"/>
              </w:rPr>
            </w:pPr>
            <w:r>
              <w:rPr>
                <w:rFonts w:ascii="Arial" w:cs="Arial" w:eastAsia="Arial" w:hAnsi="Arial"/>
                <w:sz w:val="16"/>
                <w:szCs w:val="16"/>
                <w:b w:val="1"/>
                <w:bCs w:val="1"/>
                <w:color w:val="D92130"/>
              </w:rPr>
              <w:t>YOY</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2380" w:type="dxa"/>
            <w:vAlign w:val="bottom"/>
            <w:tcBorders>
              <w:top w:val="single" w:sz="8" w:color="D92130"/>
              <w:bottom w:val="single" w:sz="8" w:color="E5E5E5"/>
            </w:tcBorders>
          </w:tcPr>
          <w:p>
            <w:pPr>
              <w:spacing w:after="0" w:line="20" w:lineRule="exact"/>
              <w:rPr>
                <w:sz w:val="1"/>
                <w:szCs w:val="1"/>
                <w:color w:val="auto"/>
              </w:rPr>
            </w:pPr>
          </w:p>
        </w:tc>
        <w:tc>
          <w:tcPr>
            <w:tcW w:w="3040" w:type="dxa"/>
            <w:vAlign w:val="bottom"/>
            <w:tcBorders>
              <w:bottom w:val="single" w:sz="8" w:color="E5E5E5"/>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E5E5E5"/>
          </w:tcPr>
          <w:p>
            <w:pPr>
              <w:spacing w:after="0"/>
              <w:rPr>
                <w:sz w:val="13"/>
                <w:szCs w:val="13"/>
                <w:color w:val="auto"/>
              </w:rPr>
            </w:pPr>
          </w:p>
        </w:tc>
        <w:tc>
          <w:tcPr>
            <w:tcW w:w="5420" w:type="dxa"/>
            <w:vAlign w:val="bottom"/>
            <w:gridSpan w:val="2"/>
            <w:vMerge w:val="restart"/>
            <w:shd w:val="clear" w:color="auto" w:fill="E5E5E5"/>
          </w:tcPr>
          <w:p>
            <w:pPr>
              <w:spacing w:after="0"/>
              <w:rPr>
                <w:sz w:val="20"/>
                <w:szCs w:val="20"/>
                <w:color w:val="auto"/>
              </w:rPr>
            </w:pPr>
            <w:r>
              <w:rPr>
                <w:rFonts w:ascii="Arial" w:cs="Arial" w:eastAsia="Arial" w:hAnsi="Arial"/>
                <w:sz w:val="16"/>
                <w:szCs w:val="16"/>
                <w:b w:val="1"/>
                <w:bCs w:val="1"/>
                <w:color w:val="auto"/>
              </w:rPr>
              <w:t>Revenue</w:t>
            </w: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8"/>
              </w:rPr>
              <w:t>$1,868</w:t>
            </w:r>
          </w:p>
        </w:tc>
        <w:tc>
          <w:tcPr>
            <w:tcW w:w="100" w:type="dxa"/>
            <w:vAlign w:val="bottom"/>
            <w:shd w:val="clear" w:color="auto" w:fill="E5E5E5"/>
          </w:tcPr>
          <w:p>
            <w:pPr>
              <w:spacing w:after="0"/>
              <w:rPr>
                <w:sz w:val="13"/>
                <w:szCs w:val="13"/>
                <w:color w:val="auto"/>
              </w:rPr>
            </w:pPr>
          </w:p>
        </w:tc>
        <w:tc>
          <w:tcPr>
            <w:tcW w:w="1700" w:type="dxa"/>
            <w:vAlign w:val="bottom"/>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$1,961</w:t>
            </w:r>
          </w:p>
        </w:tc>
        <w:tc>
          <w:tcPr>
            <w:tcW w:w="100" w:type="dxa"/>
            <w:vAlign w:val="bottom"/>
            <w:shd w:val="clear" w:color="auto" w:fill="E5E5E5"/>
          </w:tcPr>
          <w:p>
            <w:pPr>
              <w:spacing w:after="0"/>
              <w:rPr>
                <w:sz w:val="13"/>
                <w:szCs w:val="13"/>
                <w:color w:val="auto"/>
              </w:rPr>
            </w:pPr>
          </w:p>
        </w:tc>
        <w:tc>
          <w:tcPr>
            <w:tcW w:w="1720" w:type="dxa"/>
            <w:vAlign w:val="bottom"/>
            <w:shd w:val="clear" w:color="auto" w:fill="E5E5E5"/>
          </w:tcPr>
          <w:p>
            <w:pPr>
              <w:jc w:val="center"/>
              <w:spacing w:after="0" w:line="155" w:lineRule="exact"/>
              <w:rPr>
                <w:sz w:val="20"/>
                <w:szCs w:val="20"/>
                <w:color w:val="auto"/>
              </w:rPr>
            </w:pPr>
            <w:r>
              <w:rPr>
                <w:rFonts w:ascii="Arial" w:cs="Arial" w:eastAsia="Arial" w:hAnsi="Arial"/>
                <w:sz w:val="16"/>
                <w:szCs w:val="16"/>
                <w:b w:val="1"/>
                <w:bCs w:val="1"/>
                <w:color w:val="auto"/>
              </w:rPr>
              <w:t>(4.7)% AC</w:t>
            </w:r>
          </w:p>
        </w:tc>
        <w:tc>
          <w:tcPr>
            <w:tcW w:w="4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5420" w:type="dxa"/>
            <w:vAlign w:val="bottom"/>
            <w:gridSpan w:val="2"/>
            <w:vMerge w:val="continue"/>
            <w:shd w:val="clear" w:color="auto" w:fill="E5E5E5"/>
          </w:tcPr>
          <w:p>
            <w:pPr>
              <w:spacing w:after="0"/>
              <w:rPr>
                <w:sz w:val="18"/>
                <w:szCs w:val="18"/>
                <w:color w:val="auto"/>
              </w:rPr>
            </w:pPr>
          </w:p>
        </w:tc>
        <w:tc>
          <w:tcPr>
            <w:tcW w:w="1700" w:type="dxa"/>
            <w:vAlign w:val="bottom"/>
            <w:vMerge w:val="continue"/>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700" w:type="dxa"/>
            <w:vAlign w:val="bottom"/>
            <w:vMerge w:val="continue"/>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720" w:type="dxa"/>
            <w:vAlign w:val="bottom"/>
            <w:shd w:val="clear" w:color="auto" w:fill="E5E5E5"/>
          </w:tcPr>
          <w:p>
            <w:pPr>
              <w:jc w:val="center"/>
              <w:spacing w:after="0" w:line="216" w:lineRule="exact"/>
              <w:rPr>
                <w:sz w:val="20"/>
                <w:szCs w:val="20"/>
                <w:color w:val="auto"/>
              </w:rPr>
            </w:pPr>
            <w:r>
              <w:rPr>
                <w:rFonts w:ascii="Arial" w:cs="Arial" w:eastAsia="Arial" w:hAnsi="Arial"/>
                <w:sz w:val="16"/>
                <w:szCs w:val="16"/>
                <w:b w:val="1"/>
                <w:bCs w:val="1"/>
                <w:color w:val="auto"/>
                <w:w w:val="99"/>
              </w:rPr>
              <w:t>(4.5)% CC</w:t>
            </w:r>
            <w:r>
              <w:rPr>
                <w:rFonts w:ascii="Arial" w:cs="Arial" w:eastAsia="Arial" w:hAnsi="Arial"/>
                <w:sz w:val="21"/>
                <w:szCs w:val="21"/>
                <w:b w:val="1"/>
                <w:bCs w:val="1"/>
                <w:color w:val="auto"/>
                <w:w w:val="99"/>
                <w:vertAlign w:val="superscript"/>
              </w:rPr>
              <w:t>1</w:t>
            </w: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700" w:type="dxa"/>
            <w:vAlign w:val="bottom"/>
          </w:tcPr>
          <w:p>
            <w:pPr>
              <w:jc w:val="center"/>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$100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54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Gross Margin</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E5E5E5"/>
          </w:tcPr>
          <w:p>
            <w:pPr>
              <w:spacing w:after="0"/>
              <w:rPr>
                <w:sz w:val="18"/>
                <w:szCs w:val="18"/>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E5E5E5"/>
          </w:tcPr>
          <w:p>
            <w:pPr>
              <w:spacing w:after="0"/>
              <w:rPr>
                <w:sz w:val="18"/>
                <w:szCs w:val="18"/>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650</w:t>
            </w:r>
          </w:p>
        </w:tc>
        <w:tc>
          <w:tcPr>
            <w:tcW w:w="4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gridSpan w:val="2"/>
          </w:tcPr>
          <w:p>
            <w:pPr>
              <w:ind w:left="140"/>
              <w:spacing w:after="0"/>
              <w:rPr>
                <w:sz w:val="20"/>
                <w:szCs w:val="20"/>
                <w:color w:val="auto"/>
              </w:rPr>
            </w:pPr>
            <w:r>
              <w:rPr>
                <w:rFonts w:ascii="Arial" w:cs="Arial" w:eastAsia="Arial" w:hAnsi="Arial"/>
                <w:sz w:val="16"/>
                <w:szCs w:val="16"/>
                <w:color w:val="auto"/>
              </w:rPr>
              <w:t>RD&amp;E %</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3.8%</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80</w:t>
            </w:r>
          </w:p>
        </w:tc>
        <w:tc>
          <w:tcPr>
            <w:tcW w:w="480" w:type="dxa"/>
            <w:vAlign w:val="bottom"/>
          </w:tcPr>
          <w:p>
            <w:pPr>
              <w:ind w:left="100"/>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5420" w:type="dxa"/>
            <w:vAlign w:val="bottom"/>
            <w:gridSpan w:val="2"/>
            <w:shd w:val="clear" w:color="auto" w:fill="E5E5E5"/>
          </w:tcPr>
          <w:p>
            <w:pPr>
              <w:ind w:left="140"/>
              <w:spacing w:after="0"/>
              <w:rPr>
                <w:sz w:val="20"/>
                <w:szCs w:val="20"/>
                <w:color w:val="auto"/>
              </w:rPr>
            </w:pPr>
            <w:r>
              <w:rPr>
                <w:rFonts w:ascii="Arial" w:cs="Arial" w:eastAsia="Arial" w:hAnsi="Arial"/>
                <w:sz w:val="16"/>
                <w:szCs w:val="16"/>
                <w:color w:val="auto"/>
              </w:rPr>
              <w:t>SAG %</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E5E5E5"/>
          </w:tcPr>
          <w:p>
            <w:pPr>
              <w:spacing w:after="0"/>
              <w:rPr>
                <w:sz w:val="18"/>
                <w:szCs w:val="18"/>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E5E5E5"/>
          </w:tcPr>
          <w:p>
            <w:pPr>
              <w:spacing w:after="0"/>
              <w:rPr>
                <w:sz w:val="18"/>
                <w:szCs w:val="18"/>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430</w:t>
            </w:r>
          </w:p>
        </w:tc>
        <w:tc>
          <w:tcPr>
            <w:tcW w:w="4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Pre-Tax (Loss)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$(1,006)</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$(300)</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$(706)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54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Pre-Tax (Loss) Margin</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(53.9)%</w:t>
            </w:r>
          </w:p>
        </w:tc>
        <w:tc>
          <w:tcPr>
            <w:tcW w:w="100" w:type="dxa"/>
            <w:vAlign w:val="bottom"/>
            <w:shd w:val="clear" w:color="auto" w:fill="E5E5E5"/>
          </w:tcPr>
          <w:p>
            <w:pPr>
              <w:spacing w:after="0"/>
              <w:rPr>
                <w:sz w:val="18"/>
                <w:szCs w:val="18"/>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(15.3)%</w:t>
            </w:r>
          </w:p>
        </w:tc>
        <w:tc>
          <w:tcPr>
            <w:tcW w:w="100" w:type="dxa"/>
            <w:vAlign w:val="bottom"/>
            <w:shd w:val="clear" w:color="auto" w:fill="E5E5E5"/>
          </w:tcPr>
          <w:p>
            <w:pPr>
              <w:spacing w:after="0"/>
              <w:rPr>
                <w:sz w:val="18"/>
                <w:szCs w:val="18"/>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6"/>
              </w:rPr>
              <w:t>NM</w:t>
            </w: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line="216" w:lineRule="exact"/>
              <w:rPr>
                <w:sz w:val="20"/>
                <w:szCs w:val="20"/>
                <w:color w:val="auto"/>
              </w:rPr>
            </w:pPr>
            <w:r>
              <w:rPr>
                <w:rFonts w:ascii="Arial" w:cs="Arial" w:eastAsia="Arial" w:hAnsi="Arial"/>
                <w:sz w:val="16"/>
                <w:szCs w:val="16"/>
                <w:color w:val="auto"/>
              </w:rPr>
              <w:t>Gross Profit - Adjusted</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5420" w:type="dxa"/>
            <w:vAlign w:val="bottom"/>
            <w:gridSpan w:val="2"/>
            <w:shd w:val="clear" w:color="auto" w:fill="E5E5E5"/>
          </w:tcPr>
          <w:p>
            <w:pPr>
              <w:spacing w:after="0" w:line="216" w:lineRule="exact"/>
              <w:rPr>
                <w:sz w:val="20"/>
                <w:szCs w:val="20"/>
                <w:color w:val="auto"/>
              </w:rPr>
            </w:pPr>
            <w:r>
              <w:rPr>
                <w:rFonts w:ascii="Arial" w:cs="Arial" w:eastAsia="Arial" w:hAnsi="Arial"/>
                <w:sz w:val="16"/>
                <w:szCs w:val="16"/>
                <w:color w:val="auto"/>
              </w:rPr>
              <w:t>Gross Margin - Adjusted</w:t>
            </w:r>
            <w:r>
              <w:rPr>
                <w:rFonts w:ascii="Arial" w:cs="Arial" w:eastAsia="Arial" w:hAnsi="Arial"/>
                <w:sz w:val="21"/>
                <w:szCs w:val="21"/>
                <w:color w:val="auto"/>
                <w:vertAlign w:val="superscript"/>
              </w:rPr>
              <w:t>1</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E5E5E5"/>
          </w:tcPr>
          <w:p>
            <w:pPr>
              <w:spacing w:after="0"/>
              <w:rPr>
                <w:sz w:val="18"/>
                <w:szCs w:val="18"/>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E5E5E5"/>
          </w:tcPr>
          <w:p>
            <w:pPr>
              <w:spacing w:after="0"/>
              <w:rPr>
                <w:sz w:val="18"/>
                <w:szCs w:val="18"/>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w:t>
            </w:r>
          </w:p>
        </w:tc>
        <w:tc>
          <w:tcPr>
            <w:tcW w:w="4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Operating Income - Adjusted</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$65</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$59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E5E5E5"/>
          </w:tcPr>
          <w:p>
            <w:pPr>
              <w:spacing w:after="0"/>
              <w:rPr>
                <w:sz w:val="24"/>
                <w:szCs w:val="24"/>
                <w:color w:val="auto"/>
              </w:rPr>
            </w:pPr>
          </w:p>
        </w:tc>
        <w:tc>
          <w:tcPr>
            <w:tcW w:w="54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Operating Income Margin - Adjusted</w:t>
            </w:r>
            <w:r>
              <w:rPr>
                <w:rFonts w:ascii="Arial" w:cs="Arial" w:eastAsia="Arial" w:hAnsi="Arial"/>
                <w:sz w:val="21"/>
                <w:szCs w:val="21"/>
                <w:color w:val="auto"/>
                <w:vertAlign w:val="superscript"/>
              </w:rPr>
              <w:t>1</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6.6%</w:t>
            </w:r>
          </w:p>
        </w:tc>
        <w:tc>
          <w:tcPr>
            <w:tcW w:w="100" w:type="dxa"/>
            <w:vAlign w:val="bottom"/>
            <w:shd w:val="clear" w:color="auto" w:fill="E5E5E5"/>
          </w:tcPr>
          <w:p>
            <w:pPr>
              <w:spacing w:after="0"/>
              <w:rPr>
                <w:sz w:val="24"/>
                <w:szCs w:val="24"/>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3.3%</w:t>
            </w:r>
          </w:p>
        </w:tc>
        <w:tc>
          <w:tcPr>
            <w:tcW w:w="100" w:type="dxa"/>
            <w:vAlign w:val="bottom"/>
            <w:shd w:val="clear" w:color="auto" w:fill="E5E5E5"/>
          </w:tcPr>
          <w:p>
            <w:pPr>
              <w:spacing w:after="0"/>
              <w:rPr>
                <w:sz w:val="24"/>
                <w:szCs w:val="24"/>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330</w:t>
            </w:r>
          </w:p>
        </w:tc>
        <w:tc>
          <w:tcPr>
            <w:tcW w:w="4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GAAP Diluted (Loss) per Share</w:t>
            </w:r>
            <w:r>
              <w:rPr>
                <w:rFonts w:ascii="Arial" w:cs="Arial" w:eastAsia="Arial" w:hAnsi="Arial"/>
                <w:sz w:val="21"/>
                <w:szCs w:val="21"/>
                <w:b w:val="1"/>
                <w:bCs w:val="1"/>
                <w:color w:val="auto"/>
                <w:vertAlign w:val="superscript"/>
              </w:rPr>
              <w:t>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$(7.73)</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$(6.01)</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$(1.72)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E5E5E5"/>
          </w:tcPr>
          <w:p>
            <w:pPr>
              <w:spacing w:after="0"/>
              <w:rPr>
                <w:sz w:val="24"/>
                <w:szCs w:val="24"/>
                <w:color w:val="auto"/>
              </w:rPr>
            </w:pPr>
          </w:p>
        </w:tc>
        <w:tc>
          <w:tcPr>
            <w:tcW w:w="542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Diluted Earnings Per Share - Adjusted</w:t>
            </w:r>
            <w:r>
              <w:rPr>
                <w:rFonts w:ascii="Arial" w:cs="Arial" w:eastAsia="Arial" w:hAnsi="Arial"/>
                <w:sz w:val="21"/>
                <w:szCs w:val="21"/>
                <w:color w:val="auto"/>
                <w:vertAlign w:val="superscript"/>
              </w:rPr>
              <w:t>1</w:t>
            </w: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$0.02</w:t>
            </w:r>
          </w:p>
        </w:tc>
        <w:tc>
          <w:tcPr>
            <w:tcW w:w="100" w:type="dxa"/>
            <w:vAlign w:val="bottom"/>
            <w:shd w:val="clear" w:color="auto" w:fill="E5E5E5"/>
          </w:tcPr>
          <w:p>
            <w:pPr>
              <w:spacing w:after="0"/>
              <w:rPr>
                <w:sz w:val="24"/>
                <w:szCs w:val="24"/>
                <w:color w:val="auto"/>
              </w:rPr>
            </w:pPr>
          </w:p>
        </w:tc>
        <w:tc>
          <w:tcPr>
            <w:tcW w:w="17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$0.20</w:t>
            </w:r>
          </w:p>
        </w:tc>
        <w:tc>
          <w:tcPr>
            <w:tcW w:w="100" w:type="dxa"/>
            <w:vAlign w:val="bottom"/>
            <w:shd w:val="clear" w:color="auto" w:fill="E5E5E5"/>
          </w:tcPr>
          <w:p>
            <w:pPr>
              <w:spacing w:after="0"/>
              <w:rPr>
                <w:sz w:val="24"/>
                <w:szCs w:val="24"/>
                <w:color w:val="auto"/>
              </w:rPr>
            </w:pP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$(0.18)</w:t>
            </w:r>
          </w:p>
        </w:tc>
        <w:tc>
          <w:tcPr>
            <w:tcW w:w="48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Third-Quarter Segment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D92130"/>
              </w:rPr>
              <w:t>Q3 2026</w:t>
            </w: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D92130"/>
              </w:rPr>
              <w:t>Q3 2025</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D92130"/>
              </w:rPr>
              <w:t>B/(W)</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D92130"/>
              </w:rPr>
              <w:t>(in millions)</w:t>
            </w:r>
          </w:p>
        </w:tc>
        <w:tc>
          <w:tcPr>
            <w:tcW w:w="174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D92130"/>
              </w:rPr>
              <w:t>YOY</w:t>
            </w:r>
          </w:p>
        </w:tc>
        <w:tc>
          <w:tcPr>
            <w:tcW w:w="0" w:type="dxa"/>
            <w:vAlign w:val="bottom"/>
          </w:tcPr>
          <w:p>
            <w:pPr>
              <w:spacing w:after="0"/>
              <w:rPr>
                <w:sz w:val="1"/>
                <w:szCs w:val="1"/>
                <w:color w:val="auto"/>
              </w:rPr>
            </w:pP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820" w:type="dxa"/>
            <w:vAlign w:val="bottom"/>
            <w:tcBorders>
              <w:top w:val="single" w:sz="8" w:color="D92130"/>
              <w:bottom w:val="single" w:sz="8" w:color="E5E5E5"/>
            </w:tcBorders>
          </w:tcPr>
          <w:p>
            <w:pPr>
              <w:spacing w:after="0" w:line="20" w:lineRule="exact"/>
              <w:rPr>
                <w:sz w:val="1"/>
                <w:szCs w:val="1"/>
                <w:color w:val="auto"/>
              </w:rPr>
            </w:pPr>
          </w:p>
        </w:tc>
        <w:tc>
          <w:tcPr>
            <w:tcW w:w="5000" w:type="dxa"/>
            <w:vAlign w:val="bottom"/>
            <w:tcBorders>
              <w:bottom w:val="single" w:sz="8" w:color="E5E5E5"/>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58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Revenue</w:t>
            </w:r>
          </w:p>
        </w:tc>
        <w:tc>
          <w:tcPr>
            <w:tcW w:w="16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Arial" w:cs="Arial" w:eastAsia="Arial" w:hAnsi="Arial"/>
                <w:sz w:val="16"/>
                <w:szCs w:val="16"/>
                <w:color w:val="auto"/>
              </w:rPr>
              <w:t>Print and Other</w:t>
            </w:r>
          </w:p>
        </w:tc>
        <w:tc>
          <w:tcPr>
            <w:tcW w:w="1640" w:type="dxa"/>
            <w:vAlign w:val="bottom"/>
          </w:tcPr>
          <w:p>
            <w:pPr>
              <w:jc w:val="center"/>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8"/>
                <w:szCs w:val="18"/>
                <w:color w:val="auto"/>
              </w:rPr>
            </w:pPr>
          </w:p>
        </w:tc>
        <w:tc>
          <w:tcPr>
            <w:tcW w:w="1660" w:type="dxa"/>
            <w:vAlign w:val="bottom"/>
          </w:tcPr>
          <w:p>
            <w:pPr>
              <w:jc w:val="right"/>
              <w:ind w:right="5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5820" w:type="dxa"/>
            <w:vAlign w:val="bottom"/>
            <w:gridSpan w:val="2"/>
            <w:shd w:val="clear" w:color="auto" w:fill="E5E5E5"/>
          </w:tcPr>
          <w:p>
            <w:pPr>
              <w:ind w:left="180"/>
              <w:spacing w:after="0"/>
              <w:rPr>
                <w:sz w:val="20"/>
                <w:szCs w:val="20"/>
                <w:color w:val="auto"/>
              </w:rPr>
            </w:pPr>
            <w:r>
              <w:rPr>
                <w:rFonts w:ascii="Arial" w:cs="Arial" w:eastAsia="Arial" w:hAnsi="Arial"/>
                <w:sz w:val="16"/>
                <w:szCs w:val="16"/>
                <w:color w:val="auto"/>
              </w:rPr>
              <w:t>IT Solutions</w:t>
            </w:r>
          </w:p>
        </w:tc>
        <w:tc>
          <w:tcPr>
            <w:tcW w:w="16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E5E5E5"/>
          </w:tcPr>
          <w:p>
            <w:pPr>
              <w:spacing w:after="0"/>
              <w:rPr>
                <w:sz w:val="18"/>
                <w:szCs w:val="18"/>
                <w:color w:val="auto"/>
              </w:rPr>
            </w:pPr>
          </w:p>
        </w:tc>
        <w:tc>
          <w:tcPr>
            <w:tcW w:w="16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226</w:t>
            </w:r>
          </w:p>
        </w:tc>
        <w:tc>
          <w:tcPr>
            <w:tcW w:w="1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47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Intersegment Elimination</w:t>
            </w:r>
            <w:r>
              <w:rPr>
                <w:rFonts w:ascii="Arial" w:cs="Arial" w:eastAsia="Arial" w:hAnsi="Arial"/>
                <w:sz w:val="21"/>
                <w:szCs w:val="21"/>
                <w:color w:val="auto"/>
                <w:vertAlign w:val="superscript"/>
              </w:rPr>
              <w:t>3</w:t>
            </w:r>
          </w:p>
        </w:tc>
        <w:tc>
          <w:tcPr>
            <w:tcW w:w="164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6"/>
                <w:szCs w:val="16"/>
                <w:b w:val="1"/>
                <w:bCs w:val="1"/>
                <w:color w:val="auto"/>
              </w:rPr>
              <w:t>Total Revenue</w:t>
            </w:r>
          </w:p>
        </w:tc>
        <w:tc>
          <w:tcPr>
            <w:tcW w:w="1640" w:type="dxa"/>
            <w:vAlign w:val="bottom"/>
            <w:tcBorders>
              <w:top w:val="single" w:sz="8" w:color="auto"/>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$1,868</w:t>
            </w:r>
          </w:p>
        </w:tc>
        <w:tc>
          <w:tcPr>
            <w:tcW w:w="100" w:type="dxa"/>
            <w:vAlign w:val="bottom"/>
            <w:tcBorders>
              <w:top w:val="single" w:sz="8" w:color="E5E5E5"/>
              <w:bottom w:val="single" w:sz="8" w:color="E5E5E5"/>
            </w:tcBorders>
            <w:shd w:val="clear" w:color="auto" w:fill="E5E5E5"/>
          </w:tcPr>
          <w:p>
            <w:pPr>
              <w:spacing w:after="0"/>
              <w:rPr>
                <w:sz w:val="19"/>
                <w:szCs w:val="19"/>
                <w:color w:val="auto"/>
              </w:rPr>
            </w:pPr>
          </w:p>
        </w:tc>
        <w:tc>
          <w:tcPr>
            <w:tcW w:w="1660" w:type="dxa"/>
            <w:vAlign w:val="bottom"/>
            <w:tcBorders>
              <w:top w:val="single" w:sz="8" w:color="auto"/>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$1,961</w:t>
            </w:r>
          </w:p>
        </w:tc>
        <w:tc>
          <w:tcPr>
            <w:tcW w:w="100" w:type="dxa"/>
            <w:vAlign w:val="bottom"/>
            <w:tcBorders>
              <w:top w:val="single" w:sz="8" w:color="E5E5E5"/>
              <w:bottom w:val="single" w:sz="8" w:color="E5E5E5"/>
            </w:tcBorders>
            <w:shd w:val="clear" w:color="auto" w:fill="E5E5E5"/>
          </w:tcPr>
          <w:p>
            <w:pPr>
              <w:spacing w:after="0"/>
              <w:rPr>
                <w:sz w:val="19"/>
                <w:szCs w:val="19"/>
                <w:color w:val="auto"/>
              </w:rPr>
            </w:pPr>
          </w:p>
        </w:tc>
        <w:tc>
          <w:tcPr>
            <w:tcW w:w="1660" w:type="dxa"/>
            <w:vAlign w:val="bottom"/>
            <w:tcBorders>
              <w:top w:val="single" w:sz="8" w:color="auto"/>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0"/>
        </w:trPr>
        <w:tc>
          <w:tcPr>
            <w:tcW w:w="584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6"/>
                <w:szCs w:val="16"/>
                <w:b w:val="1"/>
                <w:bCs w:val="1"/>
                <w:color w:val="auto"/>
              </w:rPr>
              <w:t>Profit</w:t>
            </w:r>
          </w:p>
        </w:tc>
        <w:tc>
          <w:tcPr>
            <w:tcW w:w="16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4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Print and Other</w:t>
            </w:r>
          </w:p>
        </w:tc>
        <w:tc>
          <w:tcPr>
            <w:tcW w:w="16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E5E5E5"/>
          </w:tcPr>
          <w:p>
            <w:pPr>
              <w:spacing w:after="0"/>
              <w:rPr>
                <w:sz w:val="18"/>
                <w:szCs w:val="18"/>
                <w:color w:val="auto"/>
              </w:rPr>
            </w:pPr>
          </w:p>
        </w:tc>
        <w:tc>
          <w:tcPr>
            <w:tcW w:w="16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$64</w:t>
            </w:r>
          </w:p>
        </w:tc>
        <w:tc>
          <w:tcPr>
            <w:tcW w:w="100" w:type="dxa"/>
            <w:vAlign w:val="bottom"/>
            <w:shd w:val="clear" w:color="auto" w:fill="E5E5E5"/>
          </w:tcPr>
          <w:p>
            <w:pPr>
              <w:spacing w:after="0"/>
              <w:rPr>
                <w:sz w:val="18"/>
                <w:szCs w:val="18"/>
                <w:color w:val="auto"/>
              </w:rPr>
            </w:pPr>
          </w:p>
        </w:tc>
        <w:tc>
          <w:tcPr>
            <w:tcW w:w="16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112.5%</w:t>
            </w:r>
          </w:p>
        </w:tc>
        <w:tc>
          <w:tcPr>
            <w:tcW w:w="0" w:type="dxa"/>
            <w:vAlign w:val="bottom"/>
          </w:tcPr>
          <w:p>
            <w:pPr>
              <w:spacing w:after="0"/>
              <w:rPr>
                <w:sz w:val="1"/>
                <w:szCs w:val="1"/>
                <w:color w:val="auto"/>
              </w:rPr>
            </w:pPr>
          </w:p>
        </w:tc>
      </w:tr>
      <w:tr>
        <w:trPr>
          <w:trHeight w:val="215"/>
        </w:trPr>
        <w:tc>
          <w:tcPr>
            <w:tcW w:w="5840" w:type="dxa"/>
            <w:vAlign w:val="bottom"/>
          </w:tcPr>
          <w:p>
            <w:pPr>
              <w:ind w:left="160"/>
              <w:spacing w:after="0"/>
              <w:rPr>
                <w:sz w:val="20"/>
                <w:szCs w:val="20"/>
                <w:color w:val="auto"/>
              </w:rPr>
            </w:pPr>
            <w:r>
              <w:rPr>
                <w:rFonts w:ascii="Arial" w:cs="Arial" w:eastAsia="Arial" w:hAnsi="Arial"/>
                <w:sz w:val="16"/>
                <w:szCs w:val="16"/>
                <w:color w:val="auto"/>
              </w:rPr>
              <w:t>IT Solutions</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(55.6)%</w:t>
            </w:r>
          </w:p>
        </w:tc>
        <w:tc>
          <w:tcPr>
            <w:tcW w:w="0" w:type="dxa"/>
            <w:vAlign w:val="bottom"/>
          </w:tcPr>
          <w:p>
            <w:pPr>
              <w:spacing w:after="0"/>
              <w:rPr>
                <w:sz w:val="1"/>
                <w:szCs w:val="1"/>
                <w:color w:val="auto"/>
              </w:rPr>
            </w:pPr>
          </w:p>
        </w:tc>
      </w:tr>
      <w:tr>
        <w:trPr>
          <w:trHeight w:val="217"/>
        </w:trPr>
        <w:tc>
          <w:tcPr>
            <w:tcW w:w="5840" w:type="dxa"/>
            <w:vAlign w:val="bottom"/>
            <w:shd w:val="clear" w:color="auto" w:fill="E5E5E5"/>
          </w:tcPr>
          <w:p>
            <w:pPr>
              <w:ind w:left="160"/>
              <w:spacing w:after="0" w:line="217" w:lineRule="exact"/>
              <w:rPr>
                <w:sz w:val="20"/>
                <w:szCs w:val="20"/>
                <w:color w:val="auto"/>
              </w:rPr>
            </w:pPr>
            <w:r>
              <w:rPr>
                <w:rFonts w:ascii="Arial" w:cs="Arial" w:eastAsia="Arial" w:hAnsi="Arial"/>
                <w:sz w:val="16"/>
                <w:szCs w:val="16"/>
                <w:color w:val="auto"/>
              </w:rPr>
              <w:t>Corporate Other</w:t>
            </w:r>
            <w:r>
              <w:rPr>
                <w:rFonts w:ascii="Arial" w:cs="Arial" w:eastAsia="Arial" w:hAnsi="Arial"/>
                <w:sz w:val="21"/>
                <w:szCs w:val="21"/>
                <w:color w:val="auto"/>
                <w:vertAlign w:val="superscript"/>
              </w:rPr>
              <w:t>4</w:t>
            </w:r>
          </w:p>
        </w:tc>
        <w:tc>
          <w:tcPr>
            <w:tcW w:w="16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w w:val="98"/>
              </w:rPr>
              <w:t>(20)</w:t>
            </w:r>
          </w:p>
        </w:tc>
        <w:tc>
          <w:tcPr>
            <w:tcW w:w="100" w:type="dxa"/>
            <w:vAlign w:val="bottom"/>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Total Profit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$65</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90.8%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3"/>
                <w:szCs w:val="13"/>
                <w:color w:val="auto"/>
              </w:rPr>
              <w:t>_____________</w:t>
            </w: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84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20" w:hanging="332"/>
        <w:spacing w:after="0"/>
        <w:tabs>
          <w:tab w:leader="none" w:pos="4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of this release for a discussion of these non-GAAP measures and their reconciliation to the reported GAAP measures.</w:t>
      </w:r>
    </w:p>
    <w:p>
      <w:pPr>
        <w:spacing w:after="0" w:line="161" w:lineRule="exact"/>
        <w:rPr>
          <w:rFonts w:ascii="Arial" w:cs="Arial" w:eastAsia="Arial" w:hAnsi="Arial"/>
          <w:sz w:val="14"/>
          <w:szCs w:val="14"/>
          <w:i w:val="1"/>
          <w:iCs w:val="1"/>
          <w:color w:val="auto"/>
        </w:rPr>
      </w:pPr>
    </w:p>
    <w:p>
      <w:pPr>
        <w:jc w:val="both"/>
        <w:ind w:left="420" w:hanging="332"/>
        <w:spacing w:after="0" w:line="242" w:lineRule="auto"/>
        <w:tabs>
          <w:tab w:leader="none" w:pos="4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Third quarter 2026 includes an after-tax non-cash goodwill impairment charge of $955 million ($959 million pre-tax), or $6.87 per diluted share. Third quarter 2025 includes an inventory-related purchase accounting adjustment, related to the acquisition of Lexmark, of $85 million ($102 million pre-tax), or $0.67 per diluted share, as well as a tax expense charge of $467 million, or $3.69 per diluted share, related to the establishment of a valuation allowance against certain deferred tax assets to reflect their realizability.</w:t>
      </w:r>
    </w:p>
    <w:p>
      <w:pPr>
        <w:spacing w:after="0" w:line="160" w:lineRule="exact"/>
        <w:rPr>
          <w:rFonts w:ascii="Arial" w:cs="Arial" w:eastAsia="Arial" w:hAnsi="Arial"/>
          <w:sz w:val="14"/>
          <w:szCs w:val="14"/>
          <w:i w:val="1"/>
          <w:iCs w:val="1"/>
          <w:color w:val="auto"/>
        </w:rPr>
      </w:pPr>
    </w:p>
    <w:p>
      <w:pPr>
        <w:ind w:left="420" w:hanging="332"/>
        <w:spacing w:after="0"/>
        <w:tabs>
          <w:tab w:leader="none" w:pos="4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Reflects primarily IT hardware, software solutions and services, sold by the IT Solutions segment to the Print and Other segment.</w:t>
      </w:r>
    </w:p>
    <w:p>
      <w:pPr>
        <w:spacing w:after="0" w:line="1" w:lineRule="exact"/>
        <w:rPr>
          <w:rFonts w:ascii="Arial" w:cs="Arial" w:eastAsia="Arial" w:hAnsi="Arial"/>
          <w:sz w:val="14"/>
          <w:szCs w:val="14"/>
          <w:i w:val="1"/>
          <w:iCs w:val="1"/>
          <w:color w:val="auto"/>
        </w:rPr>
      </w:pPr>
    </w:p>
    <w:p>
      <w:pPr>
        <w:ind w:left="420" w:right="20" w:hanging="332"/>
        <w:spacing w:after="0" w:line="252" w:lineRule="auto"/>
        <w:tabs>
          <w:tab w:leader="none" w:pos="4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Corporate Other reflects certain administrative and general expenses, which primarily relate to corporate functions, and are not allocated to either of our reportable segments.</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Updated 2026 Guidance</w:t>
      </w:r>
    </w:p>
    <w:p>
      <w:pPr>
        <w:spacing w:after="0" w:line="30" w:lineRule="exact"/>
        <w:rPr>
          <w:sz w:val="20"/>
          <w:szCs w:val="20"/>
          <w:color w:val="auto"/>
        </w:rPr>
      </w:pPr>
    </w:p>
    <w:p>
      <w:pPr>
        <w:ind w:left="740" w:hanging="328"/>
        <w:spacing w:after="0"/>
        <w:tabs>
          <w:tab w:leader="none" w:pos="740" w:val="left"/>
        </w:tabs>
        <w:numPr>
          <w:ilvl w:val="0"/>
          <w:numId w:val="5"/>
        </w:numPr>
        <w:rPr>
          <w:rFonts w:ascii="Arial" w:cs="Arial" w:eastAsia="Arial" w:hAnsi="Arial"/>
          <w:sz w:val="22"/>
          <w:szCs w:val="22"/>
          <w:color w:val="auto"/>
        </w:rPr>
      </w:pPr>
      <w:r>
        <w:rPr>
          <w:rFonts w:ascii="Arial" w:cs="Arial" w:eastAsia="Arial" w:hAnsi="Arial"/>
          <w:sz w:val="20"/>
          <w:szCs w:val="20"/>
          <w:color w:val="auto"/>
        </w:rPr>
        <w:t>Revenue: Approximately $7.6 billion</w:t>
      </w:r>
    </w:p>
    <w:p>
      <w:pPr>
        <w:spacing w:after="0" w:line="10" w:lineRule="exact"/>
        <w:rPr>
          <w:rFonts w:ascii="Arial" w:cs="Arial" w:eastAsia="Arial" w:hAnsi="Arial"/>
          <w:sz w:val="22"/>
          <w:szCs w:val="22"/>
          <w:color w:val="auto"/>
        </w:rPr>
      </w:pPr>
    </w:p>
    <w:p>
      <w:pPr>
        <w:ind w:left="740" w:hanging="328"/>
        <w:spacing w:after="0"/>
        <w:tabs>
          <w:tab w:leader="none" w:pos="740" w:val="left"/>
        </w:tabs>
        <w:numPr>
          <w:ilvl w:val="0"/>
          <w:numId w:val="5"/>
        </w:numPr>
        <w:rPr>
          <w:rFonts w:ascii="Arial" w:cs="Arial" w:eastAsia="Arial" w:hAnsi="Arial"/>
          <w:sz w:val="22"/>
          <w:szCs w:val="22"/>
          <w:color w:val="auto"/>
        </w:rPr>
      </w:pPr>
      <w:r>
        <w:rPr>
          <w:rFonts w:ascii="Arial" w:cs="Arial" w:eastAsia="Arial" w:hAnsi="Arial"/>
          <w:sz w:val="20"/>
          <w:szCs w:val="20"/>
          <w:color w:val="auto"/>
        </w:rPr>
        <w:t>Adjusted</w:t>
      </w:r>
      <w:r>
        <w:rPr>
          <w:rFonts w:ascii="Arial" w:cs="Arial" w:eastAsia="Arial" w:hAnsi="Arial"/>
          <w:sz w:val="10"/>
          <w:szCs w:val="10"/>
          <w:color w:val="auto"/>
        </w:rPr>
        <w:t>1,2</w:t>
      </w:r>
      <w:r>
        <w:rPr>
          <w:rFonts w:ascii="Arial" w:cs="Arial" w:eastAsia="Arial" w:hAnsi="Arial"/>
          <w:sz w:val="20"/>
          <w:szCs w:val="20"/>
          <w:color w:val="auto"/>
        </w:rPr>
        <w:t xml:space="preserve"> Operating Income: $450-475 million</w:t>
      </w:r>
    </w:p>
    <w:p>
      <w:pPr>
        <w:spacing w:after="0" w:line="3" w:lineRule="exact"/>
        <w:rPr>
          <w:rFonts w:ascii="Arial" w:cs="Arial" w:eastAsia="Arial" w:hAnsi="Arial"/>
          <w:sz w:val="22"/>
          <w:szCs w:val="22"/>
          <w:color w:val="auto"/>
        </w:rPr>
      </w:pPr>
    </w:p>
    <w:p>
      <w:pPr>
        <w:ind w:left="740" w:hanging="328"/>
        <w:spacing w:after="0"/>
        <w:tabs>
          <w:tab w:leader="none" w:pos="740" w:val="left"/>
        </w:tabs>
        <w:numPr>
          <w:ilvl w:val="0"/>
          <w:numId w:val="5"/>
        </w:numPr>
        <w:rPr>
          <w:rFonts w:ascii="Arial" w:cs="Arial" w:eastAsia="Arial" w:hAnsi="Arial"/>
          <w:sz w:val="22"/>
          <w:szCs w:val="22"/>
          <w:color w:val="auto"/>
        </w:rPr>
      </w:pPr>
      <w:r>
        <w:rPr>
          <w:rFonts w:ascii="Arial" w:cs="Arial" w:eastAsia="Arial" w:hAnsi="Arial"/>
          <w:sz w:val="20"/>
          <w:szCs w:val="20"/>
          <w:color w:val="auto"/>
        </w:rPr>
        <w:t>Free Cash Flow</w:t>
      </w:r>
      <w:r>
        <w:rPr>
          <w:rFonts w:ascii="Arial" w:cs="Arial" w:eastAsia="Arial" w:hAnsi="Arial"/>
          <w:sz w:val="10"/>
          <w:szCs w:val="10"/>
          <w:color w:val="auto"/>
        </w:rPr>
        <w:t>1,2</w:t>
      </w:r>
      <w:r>
        <w:rPr>
          <w:rFonts w:ascii="Arial" w:cs="Arial" w:eastAsia="Arial" w:hAnsi="Arial"/>
          <w:sz w:val="20"/>
          <w:szCs w:val="20"/>
          <w:color w:val="auto"/>
        </w:rPr>
        <w:t>: $50-100 million</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Non-GAAP Measures</w:t>
      </w:r>
    </w:p>
    <w:p>
      <w:pPr>
        <w:spacing w:after="0" w:line="3" w:lineRule="exact"/>
        <w:rPr>
          <w:sz w:val="20"/>
          <w:szCs w:val="20"/>
          <w:color w:val="auto"/>
        </w:rPr>
      </w:pPr>
    </w:p>
    <w:p>
      <w:pPr>
        <w:ind w:left="80"/>
        <w:spacing w:after="0"/>
        <w:rPr>
          <w:sz w:val="20"/>
          <w:szCs w:val="20"/>
          <w:color w:val="auto"/>
        </w:rPr>
      </w:pPr>
      <w:r>
        <w:rPr>
          <w:rFonts w:ascii="Arial" w:cs="Arial" w:eastAsia="Arial" w:hAnsi="Arial"/>
          <w:sz w:val="20"/>
          <w:szCs w:val="20"/>
          <w:color w:val="auto"/>
        </w:rPr>
        <w:t>This release refers to the following non-GAAP financial measures:</w:t>
      </w:r>
    </w:p>
    <w:p>
      <w:pPr>
        <w:ind w:left="740" w:hanging="328"/>
        <w:spacing w:after="0" w:line="242" w:lineRule="auto"/>
        <w:tabs>
          <w:tab w:leader="none" w:pos="735" w:val="left"/>
        </w:tabs>
        <w:numPr>
          <w:ilvl w:val="0"/>
          <w:numId w:val="6"/>
        </w:numPr>
        <w:rPr>
          <w:rFonts w:ascii="Arial" w:cs="Arial" w:eastAsia="Arial" w:hAnsi="Arial"/>
          <w:sz w:val="22"/>
          <w:szCs w:val="22"/>
          <w:color w:val="auto"/>
        </w:rPr>
      </w:pPr>
      <w:r>
        <w:rPr>
          <w:rFonts w:ascii="Arial" w:cs="Arial" w:eastAsia="Arial" w:hAnsi="Arial"/>
          <w:sz w:val="20"/>
          <w:szCs w:val="20"/>
          <w:color w:val="auto"/>
        </w:rPr>
        <w:t>Adjusted</w:t>
      </w:r>
      <w:r>
        <w:rPr>
          <w:rFonts w:ascii="Arial" w:cs="Arial" w:eastAsia="Arial" w:hAnsi="Arial"/>
          <w:sz w:val="10"/>
          <w:szCs w:val="10"/>
          <w:color w:val="auto"/>
        </w:rPr>
        <w:t>1</w:t>
      </w:r>
      <w:r>
        <w:rPr>
          <w:rFonts w:ascii="Arial" w:cs="Arial" w:eastAsia="Arial" w:hAnsi="Arial"/>
          <w:sz w:val="20"/>
          <w:szCs w:val="20"/>
          <w:color w:val="auto"/>
        </w:rPr>
        <w:t xml:space="preserve"> EPS excludes Restructuring and related costs, net, Amortization of intangible assets, non-service retirement-related costs, Goodwill impairment charge, and other discrete adjustments from GAAP EPS, as applicable.</w:t>
      </w:r>
    </w:p>
    <w:p>
      <w:pPr>
        <w:spacing w:after="0" w:line="1" w:lineRule="exact"/>
        <w:rPr>
          <w:rFonts w:ascii="Arial" w:cs="Arial" w:eastAsia="Arial" w:hAnsi="Arial"/>
          <w:sz w:val="22"/>
          <w:szCs w:val="22"/>
          <w:color w:val="auto"/>
        </w:rPr>
      </w:pPr>
    </w:p>
    <w:p>
      <w:pPr>
        <w:jc w:val="both"/>
        <w:ind w:left="740" w:hanging="328"/>
        <w:spacing w:after="0" w:line="227" w:lineRule="auto"/>
        <w:tabs>
          <w:tab w:leader="none" w:pos="735" w:val="left"/>
        </w:tabs>
        <w:numPr>
          <w:ilvl w:val="0"/>
          <w:numId w:val="6"/>
        </w:numPr>
        <w:rPr>
          <w:rFonts w:ascii="Arial" w:cs="Arial" w:eastAsia="Arial" w:hAnsi="Arial"/>
          <w:sz w:val="22"/>
          <w:szCs w:val="22"/>
          <w:color w:val="auto"/>
        </w:rPr>
      </w:pPr>
      <w:r>
        <w:rPr>
          <w:rFonts w:ascii="Arial" w:cs="Arial" w:eastAsia="Arial" w:hAnsi="Arial"/>
          <w:sz w:val="20"/>
          <w:szCs w:val="20"/>
          <w:color w:val="auto"/>
        </w:rPr>
        <w:t>Adjusted</w:t>
      </w:r>
      <w:r>
        <w:rPr>
          <w:rFonts w:ascii="Arial" w:cs="Arial" w:eastAsia="Arial" w:hAnsi="Arial"/>
          <w:sz w:val="10"/>
          <w:szCs w:val="10"/>
          <w:color w:val="auto"/>
        </w:rPr>
        <w:t>1</w:t>
      </w:r>
      <w:r>
        <w:rPr>
          <w:rFonts w:ascii="Arial" w:cs="Arial" w:eastAsia="Arial" w:hAnsi="Arial"/>
          <w:sz w:val="20"/>
          <w:szCs w:val="20"/>
          <w:color w:val="auto"/>
        </w:rPr>
        <w:t xml:space="preserve"> operating income and margin, which exclude the EPS adjustments noted above, except the tax expense charge related to the establishment of a valuation allowance against certain deferred tax assets, as well as the remainder of Other expenses (income), net from pre-tax (loss) and margin.</w:t>
      </w:r>
    </w:p>
    <w:p>
      <w:pPr>
        <w:ind w:left="740" w:hanging="328"/>
        <w:spacing w:after="0" w:line="230" w:lineRule="auto"/>
        <w:tabs>
          <w:tab w:leader="none" w:pos="740" w:val="left"/>
        </w:tabs>
        <w:numPr>
          <w:ilvl w:val="0"/>
          <w:numId w:val="6"/>
        </w:numPr>
        <w:rPr>
          <w:rFonts w:ascii="Arial" w:cs="Arial" w:eastAsia="Arial" w:hAnsi="Arial"/>
          <w:sz w:val="22"/>
          <w:szCs w:val="22"/>
          <w:color w:val="auto"/>
        </w:rPr>
      </w:pPr>
      <w:r>
        <w:rPr>
          <w:rFonts w:ascii="Arial" w:cs="Arial" w:eastAsia="Arial" w:hAnsi="Arial"/>
          <w:sz w:val="20"/>
          <w:szCs w:val="20"/>
          <w:color w:val="auto"/>
        </w:rPr>
        <w:t>Constant currency</w:t>
      </w:r>
      <w:r>
        <w:rPr>
          <w:rFonts w:ascii="Arial" w:cs="Arial" w:eastAsia="Arial" w:hAnsi="Arial"/>
          <w:sz w:val="10"/>
          <w:szCs w:val="10"/>
          <w:color w:val="auto"/>
        </w:rPr>
        <w:t>1</w:t>
      </w:r>
      <w:r>
        <w:rPr>
          <w:rFonts w:ascii="Arial" w:cs="Arial" w:eastAsia="Arial" w:hAnsi="Arial"/>
          <w:sz w:val="20"/>
          <w:szCs w:val="20"/>
          <w:color w:val="auto"/>
        </w:rPr>
        <w:t xml:space="preserve"> (CC) revenue change, which excludes the effects of currency translation.</w:t>
      </w:r>
    </w:p>
    <w:p>
      <w:pPr>
        <w:ind w:left="740" w:hanging="328"/>
        <w:spacing w:after="0" w:line="212" w:lineRule="auto"/>
        <w:tabs>
          <w:tab w:leader="none" w:pos="740" w:val="left"/>
        </w:tabs>
        <w:numPr>
          <w:ilvl w:val="0"/>
          <w:numId w:val="6"/>
        </w:numPr>
        <w:rPr>
          <w:rFonts w:ascii="Arial" w:cs="Arial" w:eastAsia="Arial" w:hAnsi="Arial"/>
          <w:sz w:val="22"/>
          <w:szCs w:val="22"/>
          <w:color w:val="auto"/>
        </w:rPr>
      </w:pPr>
      <w:r>
        <w:rPr>
          <w:rFonts w:ascii="Arial" w:cs="Arial" w:eastAsia="Arial" w:hAnsi="Arial"/>
          <w:sz w:val="20"/>
          <w:szCs w:val="20"/>
          <w:color w:val="auto"/>
        </w:rPr>
        <w:t xml:space="preserve">Free cash flow </w:t>
      </w:r>
      <w:r>
        <w:rPr>
          <w:rFonts w:ascii="Arial" w:cs="Arial" w:eastAsia="Arial" w:hAnsi="Arial"/>
          <w:sz w:val="10"/>
          <w:szCs w:val="10"/>
          <w:color w:val="auto"/>
        </w:rPr>
        <w:t>1</w:t>
      </w:r>
      <w:r>
        <w:rPr>
          <w:rFonts w:ascii="Arial" w:cs="Arial" w:eastAsia="Arial" w:hAnsi="Arial"/>
          <w:sz w:val="20"/>
          <w:szCs w:val="20"/>
          <w:color w:val="auto"/>
        </w:rPr>
        <w:t>, which is operating cash flow less capital expenditures.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_____________</w:t>
      </w:r>
    </w:p>
    <w:p>
      <w:pPr>
        <w:ind w:left="420" w:hanging="332"/>
        <w:spacing w:after="0" w:line="234" w:lineRule="auto"/>
        <w:tabs>
          <w:tab w:leader="none" w:pos="4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of this release for a discussion of these non-GAAP measures and their reconciliation to the reported GAAP</w:t>
      </w:r>
    </w:p>
    <w:tbl>
      <w:tblPr>
        <w:tblLayout w:type="fixed"/>
        <w:tblInd w:w="420" w:type="dxa"/>
        <w:tblCellMar>
          <w:top w:w="0" w:type="dxa"/>
          <w:left w:w="0" w:type="dxa"/>
          <w:bottom w:w="0" w:type="dxa"/>
          <w:right w:w="0" w:type="dxa"/>
        </w:tblCellMar>
      </w:tblPr>
      <w:tr>
        <w:trPr>
          <w:trHeight w:val="239"/>
        </w:trPr>
        <w:tc>
          <w:tcPr>
            <w:tcW w:w="2860" w:type="dxa"/>
            <w:vAlign w:val="bottom"/>
          </w:tcPr>
          <w:p>
            <w:pPr>
              <w:spacing w:after="0"/>
              <w:rPr>
                <w:sz w:val="20"/>
                <w:szCs w:val="20"/>
                <w:color w:val="auto"/>
              </w:rPr>
            </w:pPr>
            <w:r>
              <w:rPr>
                <w:rFonts w:ascii="Arial" w:cs="Arial" w:eastAsia="Arial" w:hAnsi="Arial"/>
                <w:sz w:val="14"/>
                <w:szCs w:val="14"/>
                <w:i w:val="1"/>
                <w:iCs w:val="1"/>
                <w:color w:val="auto"/>
              </w:rPr>
              <w:t>measures.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615" w:right="339" w:bottom="1440" w:gutter="0" w:footer="0" w:header="0"/>
        </w:sectPr>
      </w:pPr>
    </w:p>
    <w:bookmarkStart w:id="7" w:name="page8"/>
    <w:bookmarkEnd w:id="7"/>
    <w:p>
      <w:pPr>
        <w:ind w:left="340" w:hanging="332"/>
        <w:spacing w:after="0" w:line="282" w:lineRule="auto"/>
        <w:tabs>
          <w:tab w:leader="none" w:pos="338"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Adjusted operating income guidance reflects a benefit from the recognition of a $105 million pre-tax IEEPA tariff receivable associated with the recent Supreme Court ruling on IEEPA tariffs. The benefit to free cash flow guidance, resulting from Xerox’s sale of the IEEPA tariff receivable to a third party, is $80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This presentation and other written or oral statements made from time to time by management contain “forward-looking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Such factors include but are not limited to: applicable market conditions; global macroeconomic conditions, including inflation, slower growth or recession, delays or disruptions in the global supply chain, higher interest rates, and wars and other conflicts, including the current conflict between Russia and Ukraine;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Reinvention;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w:t>
      </w:r>
    </w:p>
    <w:p>
      <w:pPr>
        <w:spacing w:after="0" w:line="200" w:lineRule="exact"/>
        <w:rPr>
          <w:sz w:val="20"/>
          <w:szCs w:val="20"/>
          <w:color w:val="auto"/>
        </w:rPr>
      </w:pPr>
    </w:p>
    <w:p>
      <w:pPr>
        <w:spacing w:after="0" w:line="236" w:lineRule="exact"/>
        <w:rPr>
          <w:sz w:val="20"/>
          <w:szCs w:val="20"/>
          <w:color w:val="auto"/>
        </w:rPr>
      </w:pPr>
    </w:p>
    <w:p>
      <w:pPr>
        <w:ind w:right="460"/>
        <w:spacing w:after="0" w:line="245" w:lineRule="auto"/>
        <w:rPr>
          <w:sz w:val="20"/>
          <w:szCs w:val="20"/>
          <w:color w:val="auto"/>
        </w:rPr>
      </w:pPr>
      <w:r>
        <w:rPr>
          <w:rFonts w:ascii="Arial" w:cs="Arial" w:eastAsia="Arial" w:hAnsi="Arial"/>
          <w:sz w:val="20"/>
          <w:szCs w:val="20"/>
          <w:color w:val="auto"/>
        </w:rPr>
        <w:t>These forward-looking statements speak only as of the date hereof or of the date to which they refer, and the Company assumes no obligation to update or revise any forward-looking statements as a result of new information or future events or developments, except as required by law.</w:t>
      </w:r>
    </w:p>
    <w:p>
      <w:pPr>
        <w:spacing w:after="0" w:line="238" w:lineRule="auto"/>
        <w:rPr>
          <w:sz w:val="20"/>
          <w:szCs w:val="20"/>
          <w:color w:val="auto"/>
        </w:rPr>
      </w:pPr>
      <w:r>
        <w:rPr>
          <w:rFonts w:ascii="Arial" w:cs="Arial" w:eastAsia="Arial" w:hAnsi="Arial"/>
          <w:sz w:val="20"/>
          <w:szCs w:val="20"/>
          <w:b w:val="1"/>
          <w:bCs w:val="1"/>
          <w:color w:val="auto"/>
        </w:rPr>
        <w:t>Media Contact: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Justin Capella, Xerox, </w:t>
      </w:r>
      <w:r>
        <w:rPr>
          <w:rFonts w:ascii="Arial" w:cs="Arial" w:eastAsia="Arial" w:hAnsi="Arial"/>
          <w:sz w:val="21"/>
          <w:szCs w:val="21"/>
          <w:color w:val="D92231"/>
        </w:rPr>
        <w:t>Justin.Capella@xerox.com</w:t>
      </w:r>
    </w:p>
    <w:p>
      <w:pPr>
        <w:spacing w:after="0" w:line="229" w:lineRule="auto"/>
        <w:rPr>
          <w:sz w:val="20"/>
          <w:szCs w:val="20"/>
          <w:color w:val="auto"/>
        </w:rPr>
      </w:pPr>
      <w:r>
        <w:rPr>
          <w:rFonts w:ascii="Arial" w:cs="Arial" w:eastAsia="Arial" w:hAnsi="Arial"/>
          <w:sz w:val="20"/>
          <w:szCs w:val="20"/>
          <w:b w:val="1"/>
          <w:bCs w:val="1"/>
          <w:color w:val="auto"/>
        </w:rPr>
        <w:t>Investor Contact:</w:t>
      </w:r>
    </w:p>
    <w:p>
      <w:pPr>
        <w:spacing w:after="0"/>
        <w:rPr>
          <w:sz w:val="20"/>
          <w:szCs w:val="20"/>
          <w:color w:val="auto"/>
        </w:rPr>
      </w:pPr>
      <w:r>
        <w:rPr>
          <w:rFonts w:ascii="Arial" w:cs="Arial" w:eastAsia="Arial" w:hAnsi="Arial"/>
          <w:sz w:val="20"/>
          <w:szCs w:val="20"/>
          <w:color w:val="auto"/>
        </w:rPr>
        <w:t xml:space="preserve">Greg Stein, Xerox, </w:t>
      </w:r>
      <w:r>
        <w:rPr>
          <w:rFonts w:ascii="Arial" w:cs="Arial" w:eastAsia="Arial" w:hAnsi="Arial"/>
          <w:sz w:val="20"/>
          <w:szCs w:val="20"/>
          <w:color w:val="D92231"/>
        </w:rPr>
        <w:t>Greg.Stein@xerox.com</w:t>
      </w:r>
    </w:p>
    <w:p>
      <w:pPr>
        <w:spacing w:after="0" w:line="222" w:lineRule="auto"/>
        <w:rPr>
          <w:sz w:val="20"/>
          <w:szCs w:val="20"/>
          <w:color w:val="auto"/>
        </w:rPr>
      </w:pPr>
      <w:r>
        <w:rPr>
          <w:rFonts w:ascii="Arial" w:cs="Arial" w:eastAsia="Arial" w:hAnsi="Arial"/>
          <w:sz w:val="20"/>
          <w:szCs w:val="20"/>
          <w:b w:val="1"/>
          <w:bCs w:val="1"/>
          <w:color w:val="auto"/>
        </w:rPr>
        <w:t>Note:</w:t>
      </w:r>
    </w:p>
    <w:p>
      <w:pPr>
        <w:ind w:right="200"/>
        <w:spacing w:after="0" w:line="254" w:lineRule="auto"/>
        <w:rPr>
          <w:sz w:val="20"/>
          <w:szCs w:val="20"/>
          <w:color w:val="auto"/>
        </w:rPr>
      </w:pPr>
      <w:r>
        <w:rPr>
          <w:rFonts w:ascii="Arial" w:cs="Arial" w:eastAsia="Arial" w:hAnsi="Arial"/>
          <w:sz w:val="20"/>
          <w:szCs w:val="20"/>
          <w:color w:val="auto"/>
        </w:rPr>
        <w:t xml:space="preserve">To receive RSS news feeds, visit </w:t>
      </w:r>
      <w:r>
        <w:rPr>
          <w:rFonts w:ascii="Arial" w:cs="Arial" w:eastAsia="Arial" w:hAnsi="Arial"/>
          <w:sz w:val="21"/>
          <w:szCs w:val="21"/>
          <w:color w:val="D92231"/>
        </w:rPr>
        <w:t>https://www.news.xerox.com</w:t>
      </w:r>
      <w:r>
        <w:rPr>
          <w:rFonts w:ascii="Arial" w:cs="Arial" w:eastAsia="Arial" w:hAnsi="Arial"/>
          <w:sz w:val="20"/>
          <w:szCs w:val="20"/>
          <w:color w:val="auto"/>
        </w:rPr>
        <w:t xml:space="preserve">. For open commentary, industry perspectives and views, visit </w:t>
      </w:r>
      <w:r>
        <w:rPr>
          <w:rFonts w:ascii="Arial" w:cs="Arial" w:eastAsia="Arial" w:hAnsi="Arial"/>
          <w:sz w:val="21"/>
          <w:szCs w:val="21"/>
          <w:color w:val="D92231"/>
        </w:rPr>
        <w:t xml:space="preserve">http://www.linkedin.com/company/xerox </w:t>
      </w:r>
      <w:r>
        <w:rPr>
          <w:rFonts w:ascii="Arial" w:cs="Arial" w:eastAsia="Arial" w:hAnsi="Arial"/>
          <w:sz w:val="19"/>
          <w:szCs w:val="19"/>
          <w:color w:val="000000"/>
        </w:rPr>
        <w:t>or</w:t>
      </w:r>
      <w:r>
        <w:rPr>
          <w:rFonts w:ascii="Arial" w:cs="Arial" w:eastAsia="Arial" w:hAnsi="Arial"/>
          <w:sz w:val="21"/>
          <w:szCs w:val="21"/>
          <w:color w:val="D92231"/>
        </w:rPr>
        <w:t xml:space="preserve"> http://www.youtube.com/XeroxCorp</w:t>
      </w:r>
      <w:r>
        <w:rPr>
          <w:rFonts w:ascii="Arial" w:cs="Arial" w:eastAsia="Arial" w:hAnsi="Arial"/>
          <w:sz w:val="19"/>
          <w:szCs w:val="19"/>
          <w:color w:val="000000"/>
        </w:rPr>
        <w:t>.</w:t>
      </w:r>
    </w:p>
    <w:p>
      <w:pPr>
        <w:ind w:left="6400"/>
        <w:spacing w:after="0" w:line="219" w:lineRule="auto"/>
        <w:rPr>
          <w:sz w:val="20"/>
          <w:szCs w:val="20"/>
          <w:color w:val="auto"/>
        </w:rPr>
      </w:pPr>
      <w:r>
        <w:rPr>
          <w:rFonts w:ascii="Arial" w:cs="Arial" w:eastAsia="Arial" w:hAnsi="Arial"/>
          <w:sz w:val="22"/>
          <w:szCs w:val="22"/>
          <w:color w:val="FFFFFF"/>
        </w:rPr>
        <w:t>2 of 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FFFFFF"/>
        </w:rPr>
        <w:t>2 of 2</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©2026 Xerox Corporation. All rights reserved. Xerox® and the Xerox logo are trademarks of XRX Brandco LLC in the United</w:t>
      </w:r>
    </w:p>
    <w:tbl>
      <w:tblPr>
        <w:tblLayout w:type="fixed"/>
        <w:tblInd w:w="0" w:type="dxa"/>
        <w:tblCellMar>
          <w:top w:w="0" w:type="dxa"/>
          <w:left w:w="0" w:type="dxa"/>
          <w:bottom w:w="0" w:type="dxa"/>
          <w:right w:w="0" w:type="dxa"/>
        </w:tblCellMar>
      </w:tblPr>
      <w:tr>
        <w:trPr>
          <w:trHeight w:val="278"/>
        </w:trPr>
        <w:tc>
          <w:tcPr>
            <w:tcW w:w="4000" w:type="dxa"/>
            <w:vAlign w:val="bottom"/>
          </w:tcPr>
          <w:p>
            <w:pPr>
              <w:spacing w:after="0"/>
              <w:rPr>
                <w:sz w:val="20"/>
                <w:szCs w:val="20"/>
                <w:color w:val="auto"/>
              </w:rPr>
            </w:pPr>
            <w:r>
              <w:rPr>
                <w:rFonts w:ascii="Arial" w:cs="Arial" w:eastAsia="Arial" w:hAnsi="Arial"/>
                <w:sz w:val="20"/>
                <w:szCs w:val="20"/>
                <w:color w:val="auto"/>
              </w:rPr>
              <w:t>States and/or other countries.</w:t>
            </w: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40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(LOSS)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08"/>
              <w:spacing w:after="0"/>
              <w:rPr>
                <w:sz w:val="20"/>
                <w:szCs w:val="20"/>
                <w:color w:val="auto"/>
              </w:rPr>
            </w:pPr>
            <w:r>
              <w:rPr>
                <w:rFonts w:ascii="Arial" w:cs="Arial" w:eastAsia="Arial" w:hAnsi="Arial"/>
                <w:sz w:val="14"/>
                <w:szCs w:val="14"/>
                <w:color w:val="auto"/>
              </w:rPr>
              <w:t>Nine Months Ended</w:t>
            </w:r>
          </w:p>
        </w:tc>
      </w:tr>
      <w:tr>
        <w:trPr>
          <w:trHeight w:val="185"/>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September 30,</w:t>
            </w:r>
          </w:p>
        </w:tc>
      </w:tr>
      <w:tr>
        <w:trPr>
          <w:trHeight w:val="19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per-share data)</w:t>
            </w:r>
          </w:p>
        </w:tc>
        <w:tc>
          <w:tcPr>
            <w:tcW w:w="100" w:type="dxa"/>
            <w:vAlign w:val="bottom"/>
            <w:tcBorders>
              <w:bottom w:val="single" w:sz="8" w:color="E5E5E5"/>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2025</w:t>
            </w:r>
          </w:p>
        </w:tc>
      </w:tr>
      <w:tr>
        <w:trPr>
          <w:trHeight w:val="200"/>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Revenues</w:t>
            </w:r>
          </w:p>
        </w:tc>
        <w:tc>
          <w:tcPr>
            <w:tcW w:w="9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r>
      <w:tr>
        <w:trPr>
          <w:trHeight w:val="199"/>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2,215</w:t>
            </w:r>
          </w:p>
        </w:tc>
      </w:tr>
      <w:tr>
        <w:trPr>
          <w:trHeight w:val="206"/>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Services, maintenance, rentals and other</w:t>
            </w:r>
          </w:p>
        </w:tc>
        <w:tc>
          <w:tcPr>
            <w:tcW w:w="90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2,766</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2,779</w:t>
            </w:r>
          </w:p>
        </w:tc>
      </w:tr>
      <w:tr>
        <w:trPr>
          <w:trHeight w:val="195"/>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Total Revenues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5,636</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w:t>
            </w:r>
          </w:p>
        </w:tc>
      </w:tr>
      <w:tr>
        <w:trPr>
          <w:trHeight w:val="183"/>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Costs and Expenses</w:t>
            </w:r>
          </w:p>
        </w:tc>
        <w:tc>
          <w:tcPr>
            <w:tcW w:w="9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r>
      <w:tr>
        <w:trPr>
          <w:trHeight w:val="198"/>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Cost of sales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1,650</w:t>
            </w:r>
          </w:p>
        </w:tc>
      </w:tr>
      <w:tr>
        <w:trPr>
          <w:trHeight w:val="207"/>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Cost of services, maintenance, rentals and other</w:t>
            </w:r>
          </w:p>
        </w:tc>
        <w:tc>
          <w:tcPr>
            <w:tcW w:w="90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2,022</w:t>
            </w:r>
          </w:p>
        </w:tc>
      </w:tr>
      <w:tr>
        <w:trPr>
          <w:trHeight w:val="198"/>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Research, development and engineering expenses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7"/>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Selling, administrative and general expenses</w:t>
            </w:r>
          </w:p>
        </w:tc>
        <w:tc>
          <w:tcPr>
            <w:tcW w:w="90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1,223</w:t>
            </w:r>
          </w:p>
        </w:tc>
      </w:tr>
      <w:tr>
        <w:trPr>
          <w:trHeight w:val="198"/>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Goodwill impairment</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Restructuring and related costs, net</w:t>
            </w:r>
          </w:p>
        </w:tc>
        <w:tc>
          <w:tcPr>
            <w:tcW w:w="90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w:t>
            </w:r>
          </w:p>
        </w:tc>
      </w:tr>
      <w:tr>
        <w:trPr>
          <w:trHeight w:val="198"/>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Divestitures</w:t>
            </w:r>
          </w:p>
        </w:tc>
        <w:tc>
          <w:tcPr>
            <w:tcW w:w="900" w:type="dxa"/>
            <w:vAlign w:val="bottom"/>
            <w:shd w:val="clear" w:color="auto" w:fill="E5E5E5"/>
          </w:tcPr>
          <w:p>
            <w:pPr>
              <w:spacing w:after="0"/>
              <w:rPr>
                <w:sz w:val="17"/>
                <w:szCs w:val="17"/>
                <w:color w:val="auto"/>
              </w:rPr>
            </w:pPr>
          </w:p>
        </w:tc>
        <w:tc>
          <w:tcPr>
            <w:tcW w:w="6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7"/>
                <w:szCs w:val="17"/>
                <w:color w:val="auto"/>
              </w:rPr>
            </w:pPr>
          </w:p>
        </w:tc>
        <w:tc>
          <w:tcPr>
            <w:tcW w:w="6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Non-financing interest expense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7"/>
        </w:trPr>
        <w:tc>
          <w:tcPr>
            <w:tcW w:w="578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Other expenses (income), net</w:t>
            </w:r>
          </w:p>
        </w:tc>
        <w:tc>
          <w:tcPr>
            <w:tcW w:w="90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85</w:t>
            </w:r>
          </w:p>
        </w:tc>
      </w:tr>
      <w:tr>
        <w:trPr>
          <w:trHeight w:val="195"/>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2,261</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6,684</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5,421</w:t>
            </w:r>
          </w:p>
        </w:tc>
      </w:tr>
      <w:tr>
        <w:trPr>
          <w:trHeight w:val="197"/>
        </w:trPr>
        <w:tc>
          <w:tcPr>
            <w:tcW w:w="5780" w:type="dxa"/>
            <w:vAlign w:val="bottom"/>
            <w:gridSpan w:val="2"/>
            <w:shd w:val="clear" w:color="auto" w:fill="E5E5E5"/>
          </w:tcPr>
          <w:p>
            <w:pPr>
              <w:ind w:left="20"/>
              <w:spacing w:after="0" w:line="197" w:lineRule="exact"/>
              <w:rPr>
                <w:sz w:val="20"/>
                <w:szCs w:val="20"/>
                <w:color w:val="auto"/>
              </w:rPr>
            </w:pPr>
            <w:r>
              <w:rPr>
                <w:rFonts w:ascii="Arial" w:cs="Arial" w:eastAsia="Arial" w:hAnsi="Arial"/>
                <w:sz w:val="14"/>
                <w:szCs w:val="14"/>
                <w:b w:val="1"/>
                <w:bCs w:val="1"/>
                <w:color w:val="auto"/>
              </w:rPr>
              <w:t>(Loss) before Income Taxes</w:t>
            </w:r>
            <w:r>
              <w:rPr>
                <w:rFonts w:ascii="Arial" w:cs="Arial" w:eastAsia="Arial" w:hAnsi="Arial"/>
                <w:sz w:val="18"/>
                <w:szCs w:val="18"/>
                <w:b w:val="1"/>
                <w:bCs w:val="1"/>
                <w:color w:val="auto"/>
                <w:vertAlign w:val="superscript"/>
              </w:rPr>
              <w:t>(1)</w:t>
            </w:r>
          </w:p>
        </w:tc>
        <w:tc>
          <w:tcPr>
            <w:tcW w:w="90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(427)</w:t>
            </w:r>
          </w:p>
        </w:tc>
      </w:tr>
      <w:tr>
        <w:trPr>
          <w:trHeight w:val="198"/>
        </w:trPr>
        <w:tc>
          <w:tcPr>
            <w:tcW w:w="578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color w:val="auto"/>
              </w:rPr>
              <w:t>Income tax expense</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5E5E5"/>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r>
      <w:tr>
        <w:trPr>
          <w:trHeight w:val="200"/>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(Loss)</w:t>
            </w:r>
          </w:p>
        </w:tc>
        <w:tc>
          <w:tcPr>
            <w:tcW w:w="90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(1,015)</w:t>
            </w:r>
          </w:p>
        </w:tc>
        <w:tc>
          <w:tcPr>
            <w:tcW w:w="120" w:type="dxa"/>
            <w:vAlign w:val="bottom"/>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(956)</w:t>
            </w:r>
          </w:p>
        </w:tc>
      </w:tr>
      <w:tr>
        <w:trPr>
          <w:trHeight w:val="192"/>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Less: Preferred stock dividends, net</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5"/>
        </w:trPr>
        <w:tc>
          <w:tcPr>
            <w:tcW w:w="57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(Loss) attributable to Common Shareholders</w:t>
            </w:r>
          </w:p>
        </w:tc>
        <w:tc>
          <w:tcPr>
            <w:tcW w:w="900" w:type="dxa"/>
            <w:vAlign w:val="bottom"/>
            <w:tcBorders>
              <w:bottom w:val="single" w:sz="8" w:color="auto"/>
            </w:tcBorders>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E5E5E5"/>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E5E5E5"/>
            </w:tcBorders>
            <w:shd w:val="clear" w:color="auto" w:fill="E5E5E5"/>
          </w:tcPr>
          <w:p>
            <w:pPr>
              <w:spacing w:after="0"/>
              <w:rPr>
                <w:sz w:val="19"/>
                <w:szCs w:val="19"/>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(967)</w:t>
            </w:r>
          </w:p>
        </w:tc>
      </w:tr>
      <w:tr>
        <w:trPr>
          <w:trHeight w:val="20"/>
        </w:trPr>
        <w:tc>
          <w:tcPr>
            <w:tcW w:w="5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r>
      <w:tr>
        <w:trPr>
          <w:trHeight w:val="150"/>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3"/>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(Loss) per Share</w:t>
            </w:r>
          </w:p>
        </w:tc>
        <w:tc>
          <w:tcPr>
            <w:tcW w:w="900" w:type="dxa"/>
            <w:vAlign w:val="bottom"/>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(7.67)</w:t>
            </w:r>
          </w:p>
        </w:tc>
      </w:tr>
      <w:tr>
        <w:trPr>
          <w:trHeight w:val="200"/>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(Loss) per Share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(7.67)</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w:t>
      </w:r>
      <w:r>
        <w:rPr>
          <w:rFonts w:ascii="Arial" w:cs="Arial" w:eastAsia="Arial" w:hAnsi="Arial"/>
          <w:sz w:val="14"/>
          <w:szCs w:val="14"/>
          <w:color w:val="auto"/>
        </w:rPr>
        <w:t>__</w:t>
      </w:r>
    </w:p>
    <w:p>
      <w:pPr>
        <w:spacing w:after="0" w:line="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Referred to as "Pre-tax (loss)"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(LOSS)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2620" w:type="dxa"/>
            <w:vAlign w:val="bottom"/>
            <w:gridSpan w:val="4"/>
          </w:tcPr>
          <w:p>
            <w:pPr>
              <w:jc w:val="right"/>
              <w:ind w:right="788"/>
              <w:spacing w:after="0"/>
              <w:rPr>
                <w:sz w:val="20"/>
                <w:szCs w:val="20"/>
                <w:color w:val="auto"/>
              </w:rPr>
            </w:pPr>
            <w:r>
              <w:rPr>
                <w:rFonts w:ascii="Arial" w:cs="Arial" w:eastAsia="Arial" w:hAnsi="Arial"/>
                <w:sz w:val="14"/>
                <w:szCs w:val="14"/>
                <w:color w:val="auto"/>
              </w:rPr>
              <w:t>Nine Months Ended</w:t>
            </w:r>
          </w:p>
        </w:tc>
      </w:tr>
      <w:tr>
        <w:trPr>
          <w:trHeight w:val="185"/>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19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E5E5E5"/>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E5E5E5"/>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2025</w:t>
            </w:r>
          </w:p>
        </w:tc>
      </w:tr>
      <w:tr>
        <w:trPr>
          <w:trHeight w:val="19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(1,015)</w:t>
            </w:r>
          </w:p>
        </w:tc>
        <w:tc>
          <w:tcPr>
            <w:tcW w:w="12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(956)</w:t>
            </w:r>
          </w:p>
        </w:tc>
      </w:tr>
      <w:tr>
        <w:trPr>
          <w:trHeight w:val="251"/>
        </w:trPr>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Other Comprehensive (Loss) Income, Net</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r>
      <w:tr>
        <w:trPr>
          <w:trHeight w:val="198"/>
        </w:trPr>
        <w:tc>
          <w:tcPr>
            <w:tcW w:w="5240" w:type="dxa"/>
            <w:vAlign w:val="bottom"/>
            <w:gridSpan w:val="2"/>
          </w:tcPr>
          <w:p>
            <w:pPr>
              <w:ind w:left="360"/>
              <w:spacing w:after="0"/>
              <w:rPr>
                <w:sz w:val="20"/>
                <w:szCs w:val="20"/>
                <w:color w:val="auto"/>
              </w:rPr>
            </w:pPr>
            <w:r>
              <w:rPr>
                <w:rFonts w:ascii="Arial" w:cs="Arial" w:eastAsia="Arial" w:hAnsi="Arial"/>
                <w:sz w:val="14"/>
                <w:szCs w:val="14"/>
                <w:color w:val="auto"/>
              </w:rPr>
              <w:t>Translation adjustments, net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07"/>
        </w:trPr>
        <w:tc>
          <w:tcPr>
            <w:tcW w:w="52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Unrealized gains (losses), net</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524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color w:val="auto"/>
              </w:rPr>
              <w:t>Changes in defined benefit plans, net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E5E5E5"/>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E5E5E5"/>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Other Comprehensive Income (Loss), Net</w:t>
            </w:r>
          </w:p>
        </w:tc>
        <w:tc>
          <w:tcPr>
            <w:tcW w:w="320" w:type="dxa"/>
            <w:vAlign w:val="bottom"/>
            <w:tcBorders>
              <w:bottom w:val="single" w:sz="8" w:color="auto"/>
            </w:tcBorders>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242</w:t>
            </w:r>
          </w:p>
        </w:tc>
      </w:tr>
      <w:tr>
        <w:trPr>
          <w:trHeight w:val="251"/>
        </w:trPr>
        <w:tc>
          <w:tcPr>
            <w:tcW w:w="5120" w:type="dxa"/>
            <w:vAlign w:val="bottom"/>
            <w:tcBorders>
              <w:bottom w:val="single" w:sz="8" w:color="E5E5E5"/>
            </w:tcBorders>
          </w:tcPr>
          <w:p>
            <w:pPr>
              <w:spacing w:after="0"/>
              <w:rPr>
                <w:sz w:val="21"/>
                <w:szCs w:val="21"/>
                <w:color w:val="auto"/>
              </w:rPr>
            </w:pPr>
          </w:p>
        </w:tc>
        <w:tc>
          <w:tcPr>
            <w:tcW w:w="1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E5E5E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E5E5E5"/>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1"/>
        </w:trPr>
        <w:tc>
          <w:tcPr>
            <w:tcW w:w="52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Comprehensive (Loss), Net</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(714)</w:t>
            </w: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share data in thousands)</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September 30, 2026</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2025</w:t>
            </w:r>
          </w:p>
        </w:tc>
      </w:tr>
      <w:tr>
        <w:trPr>
          <w:trHeight w:val="200"/>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512</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1,122</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Billed portion of finance receivables,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46</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510</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1,016</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362</w:t>
            </w:r>
          </w:p>
        </w:tc>
      </w:tr>
      <w:tr>
        <w:trPr>
          <w:trHeight w:val="192"/>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3,568</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846</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Equipment on operating leases,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299</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390</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921</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Goodwill, net</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2,222</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98</w:t>
            </w:r>
          </w:p>
        </w:tc>
      </w:tr>
      <w:tr>
        <w:trPr>
          <w:trHeight w:val="203"/>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1,479</w:t>
            </w:r>
          </w:p>
        </w:tc>
      </w:tr>
      <w:tr>
        <w:trPr>
          <w:trHeight w:val="200"/>
        </w:trPr>
        <w:tc>
          <w:tcPr>
            <w:tcW w:w="76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9,823</w:t>
            </w:r>
          </w:p>
        </w:tc>
      </w:tr>
      <w:tr>
        <w:trPr>
          <w:trHeight w:val="20"/>
        </w:trPr>
        <w:tc>
          <w:tcPr>
            <w:tcW w:w="754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Liabilities and (Deficit) Equity</w:t>
            </w:r>
          </w:p>
        </w:tc>
        <w:tc>
          <w:tcPr>
            <w:tcW w:w="16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560" w:type="dxa"/>
            <w:vAlign w:val="bottom"/>
            <w:shd w:val="clear" w:color="auto" w:fill="E5E5E5"/>
          </w:tcPr>
          <w:p>
            <w:pPr>
              <w:spacing w:after="0"/>
              <w:rPr>
                <w:sz w:val="14"/>
                <w:szCs w:val="14"/>
                <w:color w:val="auto"/>
              </w:rPr>
            </w:pP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231</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Financing liability – tariff receivables monetization</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1,498</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r>
      <w:tr>
        <w:trPr>
          <w:trHeight w:val="198"/>
        </w:trPr>
        <w:tc>
          <w:tcPr>
            <w:tcW w:w="76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1,258</w:t>
            </w:r>
          </w:p>
        </w:tc>
      </w:tr>
      <w:tr>
        <w:trPr>
          <w:trHeight w:val="200"/>
        </w:trPr>
        <w:tc>
          <w:tcPr>
            <w:tcW w:w="76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3,222</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4,016</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Pension and other benefit liabilities</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1,068</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Post-retirement medical benefits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159</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685</w:t>
            </w:r>
          </w:p>
        </w:tc>
      </w:tr>
      <w:tr>
        <w:trPr>
          <w:trHeight w:val="195"/>
        </w:trPr>
        <w:tc>
          <w:tcPr>
            <w:tcW w:w="764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9,150</w:t>
            </w:r>
          </w:p>
        </w:tc>
      </w:tr>
      <w:tr>
        <w:trPr>
          <w:trHeight w:val="197"/>
        </w:trPr>
        <w:tc>
          <w:tcPr>
            <w:tcW w:w="7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202"/>
        </w:trPr>
        <w:tc>
          <w:tcPr>
            <w:tcW w:w="76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Noncontrolling Interests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r>
      <w:tr>
        <w:trPr>
          <w:trHeight w:val="197"/>
        </w:trPr>
        <w:tc>
          <w:tcPr>
            <w:tcW w:w="7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202"/>
        </w:trPr>
        <w:tc>
          <w:tcPr>
            <w:tcW w:w="76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w:t>
            </w:r>
          </w:p>
        </w:tc>
      </w:tr>
      <w:tr>
        <w:trPr>
          <w:trHeight w:val="197"/>
        </w:trPr>
        <w:tc>
          <w:tcPr>
            <w:tcW w:w="75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128</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1,183</w:t>
            </w:r>
          </w:p>
        </w:tc>
      </w:tr>
      <w:tr>
        <w:trPr>
          <w:trHeight w:val="198"/>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2,444</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(3,311)</w:t>
            </w:r>
          </w:p>
        </w:tc>
      </w:tr>
      <w:tr>
        <w:trPr>
          <w:trHeight w:val="192"/>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Xerox Holdings shareholders’ (deficit) equity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444</w:t>
            </w:r>
          </w:p>
        </w:tc>
      </w:tr>
      <w:tr>
        <w:trPr>
          <w:trHeight w:val="20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w:t>
            </w:r>
          </w:p>
        </w:tc>
      </w:tr>
      <w:tr>
        <w:trPr>
          <w:trHeight w:val="195"/>
        </w:trPr>
        <w:tc>
          <w:tcPr>
            <w:tcW w:w="7640" w:type="dxa"/>
            <w:vAlign w:val="bottom"/>
            <w:tcBorders>
              <w:bottom w:val="single" w:sz="8" w:color="E5E5E5"/>
            </w:tcBorders>
            <w:gridSpan w:val="2"/>
          </w:tcPr>
          <w:p>
            <w:pPr>
              <w:ind w:left="360"/>
              <w:spacing w:after="0"/>
              <w:rPr>
                <w:sz w:val="20"/>
                <w:szCs w:val="20"/>
                <w:color w:val="auto"/>
              </w:rPr>
            </w:pPr>
            <w:r>
              <w:rPr>
                <w:rFonts w:ascii="Arial" w:cs="Arial" w:eastAsia="Arial" w:hAnsi="Arial"/>
                <w:sz w:val="14"/>
                <w:szCs w:val="14"/>
                <w:b w:val="1"/>
                <w:bCs w:val="1"/>
                <w:color w:val="auto"/>
              </w:rPr>
              <w:t>Total (Deficit) Equity</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w:t>
            </w:r>
          </w:p>
        </w:tc>
      </w:tr>
      <w:tr>
        <w:trPr>
          <w:trHeight w:val="195"/>
        </w:trPr>
        <w:tc>
          <w:tcPr>
            <w:tcW w:w="7640" w:type="dxa"/>
            <w:vAlign w:val="bottom"/>
            <w:tcBorders>
              <w:bottom w:val="single" w:sz="8" w:color="E5E5E5"/>
            </w:tcBorders>
            <w:gridSpan w:val="2"/>
            <w:shd w:val="clear" w:color="auto" w:fill="E5E5E5"/>
          </w:tcPr>
          <w:p>
            <w:pPr>
              <w:ind w:left="360"/>
              <w:spacing w:after="0"/>
              <w:rPr>
                <w:sz w:val="20"/>
                <w:szCs w:val="20"/>
                <w:color w:val="auto"/>
              </w:rPr>
            </w:pPr>
            <w:r>
              <w:rPr>
                <w:rFonts w:ascii="Arial" w:cs="Arial" w:eastAsia="Arial" w:hAnsi="Arial"/>
                <w:sz w:val="14"/>
                <w:szCs w:val="14"/>
                <w:b w:val="1"/>
                <w:bCs w:val="1"/>
                <w:color w:val="auto"/>
              </w:rPr>
              <w:t>Total Liabilities and (Deficit) Equity</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8,627</w:t>
            </w:r>
          </w:p>
        </w:tc>
        <w:tc>
          <w:tcPr>
            <w:tcW w:w="100" w:type="dxa"/>
            <w:vAlign w:val="bottom"/>
            <w:tcBorders>
              <w:bottom w:val="single" w:sz="8" w:color="E5E5E5"/>
            </w:tcBorders>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9,823</w:t>
            </w:r>
          </w:p>
        </w:tc>
      </w:tr>
      <w:tr>
        <w:trPr>
          <w:trHeight w:val="20"/>
        </w:trPr>
        <w:tc>
          <w:tcPr>
            <w:tcW w:w="75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5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Shares of Common Stock Issued and Outstanding</w:t>
            </w:r>
          </w:p>
        </w:tc>
        <w:tc>
          <w:tcPr>
            <w:tcW w:w="160" w:type="dxa"/>
            <w:vAlign w:val="bottom"/>
            <w:shd w:val="clear" w:color="auto" w:fill="E5E5E5"/>
          </w:tcPr>
          <w:p>
            <w:pPr>
              <w:spacing w:after="0"/>
              <w:rPr>
                <w:sz w:val="17"/>
                <w:szCs w:val="17"/>
                <w:color w:val="auto"/>
              </w:rPr>
            </w:pP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132,694</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128,044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6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0"/>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7"/>
                <w:szCs w:val="17"/>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12"/>
        </w:trPr>
        <w:tc>
          <w:tcPr>
            <w:tcW w:w="562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900" w:type="dxa"/>
            <w:vAlign w:val="bottom"/>
            <w:shd w:val="clear" w:color="auto" w:fill="E5E5E5"/>
          </w:tcPr>
          <w:p>
            <w:pPr>
              <w:spacing w:after="0"/>
              <w:rPr>
                <w:sz w:val="9"/>
                <w:szCs w:val="9"/>
                <w:color w:val="auto"/>
              </w:rPr>
            </w:pPr>
          </w:p>
        </w:tc>
        <w:tc>
          <w:tcPr>
            <w:tcW w:w="5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960" w:type="dxa"/>
            <w:vAlign w:val="bottom"/>
            <w:shd w:val="clear" w:color="auto" w:fill="E5E5E5"/>
          </w:tcPr>
          <w:p>
            <w:pPr>
              <w:spacing w:after="0"/>
              <w:rPr>
                <w:sz w:val="9"/>
                <w:szCs w:val="9"/>
                <w:color w:val="auto"/>
              </w:rPr>
            </w:pPr>
          </w:p>
        </w:tc>
        <w:tc>
          <w:tcPr>
            <w:tcW w:w="46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260" w:type="dxa"/>
            <w:vAlign w:val="bottom"/>
            <w:shd w:val="clear" w:color="auto" w:fill="E5E5E5"/>
          </w:tcPr>
          <w:p>
            <w:pPr>
              <w:spacing w:after="0"/>
              <w:rPr>
                <w:sz w:val="9"/>
                <w:szCs w:val="9"/>
                <w:color w:val="auto"/>
              </w:rPr>
            </w:pPr>
          </w:p>
        </w:tc>
        <w:tc>
          <w:tcPr>
            <w:tcW w:w="92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420" w:type="dxa"/>
            <w:vAlign w:val="bottom"/>
            <w:shd w:val="clear" w:color="auto" w:fill="E5E5E5"/>
          </w:tcPr>
          <w:p>
            <w:pPr>
              <w:spacing w:after="0"/>
              <w:rPr>
                <w:sz w:val="9"/>
                <w:szCs w:val="9"/>
                <w:color w:val="auto"/>
              </w:rPr>
            </w:pPr>
          </w:p>
        </w:tc>
        <w:tc>
          <w:tcPr>
            <w:tcW w:w="76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7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Adjustments to reconcile Net (loss) to Net cash provided by (used in) operating</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activities: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Provisions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Net (gain) loss on early extinguishment of debt</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Inventory-related purchase accounting adjustment - noncash</w:t>
            </w:r>
          </w:p>
        </w:tc>
        <w:tc>
          <w:tcPr>
            <w:tcW w:w="9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Effective settlement of a pre-existing relationship between Lexmark and Xerox</w:t>
            </w:r>
          </w:p>
        </w:tc>
        <w:tc>
          <w:tcPr>
            <w:tcW w:w="9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Net (gain) loss on sales of businesses and assets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Divestitures</w:t>
            </w:r>
          </w:p>
        </w:tc>
        <w:tc>
          <w:tcPr>
            <w:tcW w:w="900" w:type="dxa"/>
            <w:vAlign w:val="bottom"/>
            <w:shd w:val="clear" w:color="auto" w:fill="E5E5E5"/>
          </w:tcPr>
          <w:p>
            <w:pPr>
              <w:spacing w:after="0"/>
              <w:rPr>
                <w:sz w:val="17"/>
                <w:szCs w:val="17"/>
                <w:color w:val="auto"/>
              </w:rPr>
            </w:pPr>
          </w:p>
        </w:tc>
        <w:tc>
          <w:tcPr>
            <w:tcW w:w="6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Goodwill impairment</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Restructuring and asset impairment charges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Payments for restructurings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Non-service retirement-related costs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6"/>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Contributions to retirement plans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53"/>
        </w:trPr>
        <w:tc>
          <w:tcPr>
            <w:tcW w:w="5740" w:type="dxa"/>
            <w:vAlign w:val="bottom"/>
            <w:gridSpan w:val="2"/>
          </w:tcPr>
          <w:p>
            <w:pPr>
              <w:ind w:left="360"/>
              <w:spacing w:after="0" w:line="153" w:lineRule="exact"/>
              <w:rPr>
                <w:sz w:val="20"/>
                <w:szCs w:val="20"/>
                <w:color w:val="auto"/>
              </w:rPr>
            </w:pPr>
            <w:r>
              <w:rPr>
                <w:rFonts w:ascii="Arial" w:cs="Arial" w:eastAsia="Arial" w:hAnsi="Arial"/>
                <w:sz w:val="14"/>
                <w:szCs w:val="14"/>
                <w:color w:val="auto"/>
              </w:rPr>
              <w:t>Decrease (increase) in accounts receivable and billed portion of finance</w:t>
            </w:r>
          </w:p>
        </w:tc>
        <w:tc>
          <w:tcPr>
            <w:tcW w:w="9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receivables</w:t>
            </w:r>
          </w:p>
        </w:tc>
        <w:tc>
          <w:tcPr>
            <w:tcW w:w="9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(Increase) decrease in inventories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Increase in equipment on operating leases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6"/>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(Increase) decrease in finance receivables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9"/>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Decrease (increase) in other current and long-term assets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Increase (decrease) in accounts payable</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(Decrease) increase in accrued compensation</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(Decrease) increase in other current and long-term liabilities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Net change in income tax assets and liabilities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Other operating, net</w:t>
            </w:r>
          </w:p>
        </w:tc>
        <w:tc>
          <w:tcPr>
            <w:tcW w:w="9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7"/>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Cost of additions to land, buildings, equipment and software</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Proceeds from sales of businesses and assets</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Acquisitions, net of cash acquired</w:t>
            </w:r>
          </w:p>
        </w:tc>
        <w:tc>
          <w:tcPr>
            <w:tcW w:w="9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Other investing, net</w:t>
            </w:r>
          </w:p>
        </w:tc>
        <w:tc>
          <w:tcPr>
            <w:tcW w:w="9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6"/>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Net (payments) proceeds on debt</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Tariff monetization financing, net</w:t>
            </w:r>
          </w:p>
        </w:tc>
        <w:tc>
          <w:tcPr>
            <w:tcW w:w="90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56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40" w:type="dxa"/>
            <w:vAlign w:val="bottom"/>
            <w:gridSpan w:val="2"/>
          </w:tcPr>
          <w:p>
            <w:pPr>
              <w:ind w:left="360"/>
              <w:spacing w:after="0"/>
              <w:rPr>
                <w:sz w:val="20"/>
                <w:szCs w:val="20"/>
                <w:color w:val="auto"/>
              </w:rPr>
            </w:pPr>
            <w:r>
              <w:rPr>
                <w:rFonts w:ascii="Arial" w:cs="Arial" w:eastAsia="Arial" w:hAnsi="Arial"/>
                <w:sz w:val="14"/>
                <w:szCs w:val="14"/>
                <w:color w:val="auto"/>
              </w:rPr>
              <w:t>Dividends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Other financing, net</w:t>
            </w:r>
          </w:p>
        </w:tc>
        <w:tc>
          <w:tcPr>
            <w:tcW w:w="9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0"/>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auto"/>
            </w:tcBorders>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00"/>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23"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DA2031"/>
        </w:rPr>
        <w:t>Third Quarter 2026 Overview</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third quarter of 2026, overall market trends remained stable compared to the prior year, with demand broadly consistent with recent quarters. Despite a difficult backdrop, we continue to make progress on our three priorities - stabilize revenue, increase profitability, and reduce leverage.</w:t>
      </w:r>
    </w:p>
    <w:p>
      <w:pPr>
        <w:spacing w:after="0" w:line="5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Third quarter 2026 reflects the continued benefits of the Lexmark acquisition and Xerox's transformation efforts. Revenue declines moderated by 180 basis points sequentially on a pro forma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Adjusted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income margins expanded year-over-year for the third consecutive quarter, driven by integration synergies, cost discipline, and an increasingly unified operating model. These gains are complemented by new product launches under the unified Xerox brand, growing partner validation, and a more focused go-to-market approach which is collectively positioning the company for continued operational and financial improvement. We also reduced leverage further in the quarter.</w:t>
      </w:r>
    </w:p>
    <w:p>
      <w:pPr>
        <w:spacing w:after="0" w:line="7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Equipment sales revenue of $393 million in the third quarter 2026 increased 2.6% in actual currency and 2.9% in constant currency</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18"/>
          <w:szCs w:val="18"/>
          <w:color w:val="auto"/>
        </w:rPr>
        <w:t xml:space="preserve"> compared to the third quarter 2025. Total equipment installations increased 9.0% driven by growth in Entry and High-end categories.</w:t>
      </w:r>
    </w:p>
    <w:p>
      <w:pPr>
        <w:spacing w:after="0" w:line="7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Post sale revenue of $ 1,295 million in the third quarter 2026 decreased 4.5% in actual currency and 4.4% in constant currency</w:t>
      </w:r>
      <w:r>
        <w:rPr>
          <w:rFonts w:ascii="Arial" w:cs="Arial" w:eastAsia="Arial" w:hAnsi="Arial"/>
          <w:sz w:val="23"/>
          <w:szCs w:val="23"/>
          <w:color w:val="auto"/>
          <w:vertAlign w:val="superscript"/>
        </w:rPr>
        <w:t>2</w:t>
      </w:r>
      <w:r>
        <w:rPr>
          <w:rFonts w:ascii="Arial" w:cs="Arial" w:eastAsia="Arial" w:hAnsi="Arial"/>
          <w:sz w:val="18"/>
          <w:szCs w:val="18"/>
          <w:color w:val="auto"/>
        </w:rPr>
        <w:t>, compared to the third quarter 2025. The decline in constant currency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primarily reflects lower equipment service revenue and managed print services, as well as lower supplies and rental revenue. Post sale revenue was also adversely impacted by a decline in financing revenue reflecting the continued sales of finance receivables to our various funding affiliates and lower originations.</w:t>
      </w:r>
    </w:p>
    <w:p>
      <w:pPr>
        <w:spacing w:after="0" w:line="7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IT Solutions revenue of $180 million in the third quarter 2026 declined 18.9% in actual currency and 18.5% in constant currency</w:t>
      </w:r>
      <w:r>
        <w:rPr>
          <w:rFonts w:ascii="Arial" w:cs="Arial" w:eastAsia="Arial" w:hAnsi="Arial"/>
          <w:sz w:val="23"/>
          <w:szCs w:val="23"/>
          <w:color w:val="auto"/>
          <w:vertAlign w:val="superscript"/>
        </w:rPr>
        <w:t>2</w:t>
      </w:r>
      <w:r>
        <w:rPr>
          <w:rFonts w:ascii="Arial" w:cs="Arial" w:eastAsia="Arial" w:hAnsi="Arial"/>
          <w:sz w:val="18"/>
          <w:szCs w:val="18"/>
          <w:color w:val="auto"/>
        </w:rPr>
        <w:t>, compared to the third quarter 2025. The decrease primarily reflects the timing of large prior-year public sector product placements.</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Pre-tax (loss) of $(1,006) million for the third quarter 2026 decreased by $706 million compared to a pre-tax (loss) of $(300) million in the third quarter 2025. Third quarter 2026 includes a pre-tax, non-cash goodwill impairment charge of $959 million ($955 million after-tax) or $6.87 per share. During the third quarter 2026, we lowered our future projections for the Print and Other reporting unit due to continued macro uncertainty and sustained memory price increases. These factors, and their resulting effect on discounted future cash flows, reduced the valuation of the Print and Other segment, resulting in a goodwill impairment charge in the third quarter 2026. Pre-tax (loss) margin of (53.9)% decreased by 38.6-percentage points compared to third quarter 2025 pre-tax (loss) margin of (15.3)%. The decrease in the third quarter 2026 pre-tax (loss) margin was primarily driven by the goodwill impairment charge as well as lower revenue, excluding a licensing agreement, and higher non-financing interest expense. These impacts were partially offset by higher gross profit, including a favorable impact resulting from the prior year purchase accounting adjustment related to the Lexmark acquisition, benefits from Transformation-related cost and productivity actions, and lower tariff-related costs. The improvement also reflected lower Selling, administrative and general expenses, primarily due to Transformation-related cost and productivity actions, lower incentive compensation expense and lower bad debt</w:t>
      </w:r>
    </w:p>
    <w:p>
      <w:pPr>
        <w:spacing w:after="0" w:line="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expense, as well as lower Restructuring and related costs, net, and Research, development and engineering expenses, reflecting Transformation-related cost and productivity actions.</w:t>
      </w:r>
    </w:p>
    <w:p>
      <w:pPr>
        <w:spacing w:after="0" w:line="7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Third quarter 2026 adjusted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income margin of 6.6% increased by 3.3-percentage points compared to third quarter 2025. The increase reflects higher gross profit and lower Selling, administrative and general expenses, both of which are attributable to the factors discussed above. These benefits were partially offset by lower revenue and product cost increases.</w:t>
      </w:r>
    </w:p>
    <w:p>
      <w:pPr>
        <w:spacing w:after="0" w:line="7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For full-year 2026, we expect revenue of approximately $7.6 billion, adjusted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income in the range of $450 million to $475 million, down from $555 million to $ 605 million, and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approximately $50 to $100 million, down from $250 million. Updated adjusted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income guidance reflects higher than expected input costs, mix shift from Mid-range to Entry, a weaker market outlook, and lower than expected IT Solutions profit. Updated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guidance reflects lower adjusted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income and lower than expected finance receivable and IEEPA tariff receivable proceeds, as some of these benefits get pushed out to 2027. In October 2026, we announced the exchange of $174 million aggregate principal amount of 5.50% Senior Notes due 2028 for $121 million aggregate principal amount of 10.25% Senior Secured Notes due 2030 and $9 million of equity.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340" w:hanging="332"/>
        <w:spacing w:after="0"/>
        <w:tabs>
          <w:tab w:leader="none" w:pos="32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To better understand the trends in our business, comparisons of third quarter 2026 results to third quarter 2025 reflect Xerox’s reported results for both periods. Comparisons of second quarter 2026 results to second quarter 2025 are based on pro forma second quarter 2025 results, which include the estimated results of Lexmark for the period from April 1, 2025 through June 30, 2025. Lexmark's actual results are included in Xerox's reported results beginning on July 1, 2025, the effective date of the acquisition.</w:t>
      </w:r>
    </w:p>
    <w:p>
      <w:pPr>
        <w:spacing w:after="0" w:line="151" w:lineRule="exact"/>
        <w:rPr>
          <w:rFonts w:ascii="Arial" w:cs="Arial" w:eastAsia="Arial" w:hAnsi="Arial"/>
          <w:sz w:val="14"/>
          <w:szCs w:val="14"/>
          <w:i w:val="1"/>
          <w:iCs w:val="1"/>
          <w:color w:val="auto"/>
        </w:rPr>
      </w:pPr>
    </w:p>
    <w:p>
      <w:pPr>
        <w:ind w:left="320" w:hanging="312"/>
        <w:spacing w:after="0"/>
        <w:tabs>
          <w:tab w:leader="none" w:pos="3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for an explanation of the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3"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DA2031"/>
        </w:rPr>
        <w:t>Financial Review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vMerge w:val="restart"/>
          </w:tcPr>
          <w:p>
            <w:pPr>
              <w:ind w:left="520"/>
              <w:spacing w:after="0"/>
              <w:rPr>
                <w:sz w:val="20"/>
                <w:szCs w:val="20"/>
                <w:color w:val="auto"/>
              </w:rPr>
            </w:pPr>
            <w:r>
              <w:rPr>
                <w:rFonts w:ascii="Arial" w:cs="Arial" w:eastAsia="Arial" w:hAnsi="Arial"/>
                <w:sz w:val="14"/>
                <w:szCs w:val="14"/>
                <w:color w:val="auto"/>
              </w:rPr>
              <w:t>% of Total Revenue</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September 30,</w:t>
            </w:r>
          </w:p>
        </w:tc>
        <w:tc>
          <w:tcPr>
            <w:tcW w:w="1200" w:type="dxa"/>
            <w:vAlign w:val="bottom"/>
            <w:gridSpan w:val="2"/>
            <w:vMerge w:val="restart"/>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color w:val="auto"/>
              </w:rPr>
              <w:t>2025</w:t>
            </w: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ind w:left="100"/>
              <w:spacing w:after="0"/>
              <w:rPr>
                <w:sz w:val="20"/>
                <w:szCs w:val="20"/>
                <w:color w:val="auto"/>
              </w:rPr>
            </w:pPr>
            <w:r>
              <w:rPr>
                <w:rFonts w:ascii="Arial" w:cs="Arial" w:eastAsia="Arial" w:hAnsi="Arial"/>
                <w:sz w:val="14"/>
                <w:szCs w:val="14"/>
                <w:color w:val="auto"/>
              </w:rPr>
              <w:t>CC % Change</w:t>
            </w:r>
          </w:p>
        </w:tc>
        <w:tc>
          <w:tcPr>
            <w:tcW w:w="12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1"/>
                <w:szCs w:val="11"/>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5E5E5"/>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sales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383</w:t>
            </w:r>
          </w:p>
        </w:tc>
        <w:tc>
          <w:tcPr>
            <w:tcW w:w="1200" w:type="dxa"/>
            <w:vAlign w:val="bottom"/>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2.9%</w:t>
            </w: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21%</w:t>
            </w:r>
          </w:p>
        </w:tc>
        <w:tc>
          <w:tcPr>
            <w:tcW w:w="120" w:type="dxa"/>
            <w:vAlign w:val="bottom"/>
            <w:shd w:val="clear" w:color="auto" w:fill="E5E5E5"/>
          </w:tcPr>
          <w:p>
            <w:pPr>
              <w:spacing w:after="0"/>
              <w:rPr>
                <w:sz w:val="17"/>
                <w:szCs w:val="17"/>
                <w:color w:val="auto"/>
              </w:rPr>
            </w:pPr>
          </w:p>
        </w:tc>
        <w:tc>
          <w:tcPr>
            <w:tcW w:w="11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Post sale revenue</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1,356</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69%</w:t>
            </w:r>
          </w:p>
        </w:tc>
        <w:tc>
          <w:tcPr>
            <w:tcW w:w="12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E5E5E5"/>
          </w:tcPr>
          <w:p>
            <w:pPr>
              <w:ind w:left="20"/>
              <w:spacing w:after="0" w:line="202" w:lineRule="exact"/>
              <w:rPr>
                <w:sz w:val="20"/>
                <w:szCs w:val="20"/>
                <w:color w:val="auto"/>
              </w:rPr>
            </w:pPr>
            <w:r>
              <w:rPr>
                <w:rFonts w:ascii="Arial" w:cs="Arial" w:eastAsia="Arial" w:hAnsi="Arial"/>
                <w:sz w:val="14"/>
                <w:szCs w:val="14"/>
                <w:color w:val="auto"/>
              </w:rPr>
              <w:t>IT Solutions</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222</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9"/>
              </w:rPr>
              <w:t>10%</w:t>
            </w:r>
          </w:p>
        </w:tc>
        <w:tc>
          <w:tcPr>
            <w:tcW w:w="120" w:type="dxa"/>
            <w:vAlign w:val="bottom"/>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to Condensed Consolidated Statements of (Loss):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shd w:val="clear" w:color="auto" w:fill="E5E5E5"/>
          </w:tcPr>
          <w:p>
            <w:pPr>
              <w:spacing w:after="0"/>
              <w:rPr>
                <w:sz w:val="16"/>
                <w:szCs w:val="16"/>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Equipment sales</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E5E5E5"/>
          </w:tcPr>
          <w:p>
            <w:pPr>
              <w:spacing w:after="0"/>
              <w:rPr>
                <w:sz w:val="16"/>
                <w:szCs w:val="16"/>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383</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2.6%</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2.9%</w:t>
            </w: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4"/>
                <w:szCs w:val="14"/>
                <w:color w:val="242424"/>
              </w:rPr>
              <w:t>Supplies, paper and other sales</w:t>
            </w:r>
            <w:r>
              <w:rPr>
                <w:rFonts w:ascii="Arial" w:cs="Arial" w:eastAsia="Arial" w:hAnsi="Arial"/>
                <w:sz w:val="18"/>
                <w:szCs w:val="18"/>
                <w:color w:val="242424"/>
                <w:vertAlign w:val="superscript"/>
              </w:rPr>
              <w:t>(1)</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w:t>
            </w:r>
          </w:p>
        </w:tc>
        <w:tc>
          <w:tcPr>
            <w:tcW w:w="1260" w:type="dxa"/>
            <w:vAlign w:val="bottom"/>
          </w:tcPr>
          <w:p>
            <w:pPr>
              <w:jc w:val="center"/>
              <w:spacing w:after="0"/>
              <w:rPr>
                <w:sz w:val="20"/>
                <w:szCs w:val="20"/>
                <w:color w:val="auto"/>
              </w:rPr>
            </w:pPr>
            <w:r>
              <w:rPr>
                <w:rFonts w:ascii="Arial" w:cs="Arial" w:eastAsia="Arial" w:hAnsi="Arial"/>
                <w:sz w:val="14"/>
                <w:szCs w:val="14"/>
                <w:color w:val="auto"/>
              </w:rPr>
              <w:t>(2.5)%</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(2.9)%</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410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IT Products</w:t>
            </w:r>
            <w:r>
              <w:rPr>
                <w:rFonts w:ascii="Arial" w:cs="Arial" w:eastAsia="Arial" w:hAnsi="Arial"/>
                <w:sz w:val="18"/>
                <w:szCs w:val="18"/>
                <w:color w:val="auto"/>
                <w:vertAlign w:val="superscript"/>
              </w:rPr>
              <w:t>(2)</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E5E5E5"/>
          </w:tcPr>
          <w:p>
            <w:pPr>
              <w:spacing w:after="0"/>
              <w:rPr>
                <w:sz w:val="17"/>
                <w:szCs w:val="17"/>
                <w:color w:val="auto"/>
              </w:rPr>
            </w:pP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165</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(23.0)%</w:t>
            </w:r>
          </w:p>
        </w:tc>
        <w:tc>
          <w:tcPr>
            <w:tcW w:w="1260" w:type="dxa"/>
            <w:vAlign w:val="bottom"/>
            <w:shd w:val="clear" w:color="auto" w:fill="E5E5E5"/>
          </w:tcPr>
          <w:p>
            <w:pPr>
              <w:jc w:val="center"/>
              <w:ind w:right="8"/>
              <w:spacing w:after="0"/>
              <w:rPr>
                <w:sz w:val="20"/>
                <w:szCs w:val="20"/>
                <w:color w:val="auto"/>
              </w:rPr>
            </w:pPr>
            <w:r>
              <w:rPr>
                <w:rFonts w:ascii="Arial" w:cs="Arial" w:eastAsia="Arial" w:hAnsi="Arial"/>
                <w:sz w:val="14"/>
                <w:szCs w:val="14"/>
                <w:color w:val="auto"/>
              </w:rPr>
              <w:t>(22.4)%</w:t>
            </w: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Sales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260" w:type="dxa"/>
            <w:vAlign w:val="bottom"/>
          </w:tcPr>
          <w:p>
            <w:pPr>
              <w:jc w:val="center"/>
              <w:spacing w:after="0"/>
              <w:rPr>
                <w:sz w:val="20"/>
                <w:szCs w:val="20"/>
                <w:color w:val="auto"/>
              </w:rPr>
            </w:pPr>
            <w:r>
              <w:rPr>
                <w:rFonts w:ascii="Arial" w:cs="Arial" w:eastAsia="Arial" w:hAnsi="Arial"/>
                <w:sz w:val="14"/>
                <w:szCs w:val="14"/>
                <w:color w:val="auto"/>
              </w:rPr>
              <w:t>(3.9)%</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(3.9)%</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E5E5E5"/>
            </w:tcBorders>
          </w:tcPr>
          <w:p>
            <w:pPr>
              <w:spacing w:after="0" w:line="20" w:lineRule="exact"/>
              <w:rPr>
                <w:sz w:val="1"/>
                <w:szCs w:val="1"/>
                <w:color w:val="auto"/>
              </w:rPr>
            </w:pPr>
          </w:p>
        </w:tc>
        <w:tc>
          <w:tcPr>
            <w:tcW w:w="340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E5E5E5"/>
            </w:tcBorders>
          </w:tcPr>
          <w:p>
            <w:pPr>
              <w:spacing w:after="0" w:line="20" w:lineRule="exact"/>
              <w:rPr>
                <w:sz w:val="1"/>
                <w:szCs w:val="1"/>
                <w:color w:val="auto"/>
              </w:rPr>
            </w:pPr>
          </w:p>
        </w:tc>
        <w:tc>
          <w:tcPr>
            <w:tcW w:w="126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r>
      <w:tr>
        <w:trPr>
          <w:trHeight w:val="237"/>
        </w:trPr>
        <w:tc>
          <w:tcPr>
            <w:tcW w:w="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340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03"/>
        </w:trPr>
        <w:tc>
          <w:tcPr>
            <w:tcW w:w="20" w:type="dxa"/>
            <w:vAlign w:val="bottom"/>
            <w:shd w:val="clear" w:color="auto" w:fill="E5E5E5"/>
          </w:tcPr>
          <w:p>
            <w:pPr>
              <w:spacing w:after="0"/>
              <w:rPr>
                <w:sz w:val="17"/>
                <w:szCs w:val="17"/>
                <w:color w:val="auto"/>
              </w:rPr>
            </w:pPr>
          </w:p>
        </w:tc>
        <w:tc>
          <w:tcPr>
            <w:tcW w:w="410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Services, maintenance, rentals and other</w:t>
            </w:r>
            <w:r>
              <w:rPr>
                <w:rFonts w:ascii="Arial" w:cs="Arial" w:eastAsia="Arial" w:hAnsi="Arial"/>
                <w:sz w:val="18"/>
                <w:szCs w:val="18"/>
                <w:color w:val="auto"/>
                <w:vertAlign w:val="superscript"/>
              </w:rPr>
              <w:t>(1)</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840</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(4.0)%</w:t>
            </w:r>
          </w:p>
        </w:tc>
        <w:tc>
          <w:tcPr>
            <w:tcW w:w="1260" w:type="dxa"/>
            <w:vAlign w:val="bottom"/>
            <w:shd w:val="clear" w:color="auto" w:fill="E5E5E5"/>
          </w:tcPr>
          <w:p>
            <w:pPr>
              <w:jc w:val="center"/>
              <w:ind w:right="8"/>
              <w:spacing w:after="0"/>
              <w:rPr>
                <w:sz w:val="20"/>
                <w:szCs w:val="20"/>
                <w:color w:val="auto"/>
              </w:rPr>
            </w:pPr>
            <w:r>
              <w:rPr>
                <w:rFonts w:ascii="Arial" w:cs="Arial" w:eastAsia="Arial" w:hAnsi="Arial"/>
                <w:sz w:val="14"/>
                <w:szCs w:val="14"/>
                <w:color w:val="auto"/>
              </w:rPr>
              <w:t>(3.6)%</w:t>
            </w: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4"/>
                <w:szCs w:val="14"/>
                <w:color w:val="242424"/>
              </w:rPr>
              <w:t>Xerox Financial Services</w:t>
            </w:r>
            <w:r>
              <w:rPr>
                <w:rFonts w:ascii="Arial" w:cs="Arial" w:eastAsia="Arial" w:hAnsi="Arial"/>
                <w:sz w:val="18"/>
                <w:szCs w:val="18"/>
                <w:color w:val="242424"/>
                <w:vertAlign w:val="superscript"/>
              </w:rPr>
              <w:t>(1)</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1260" w:type="dxa"/>
            <w:vAlign w:val="bottom"/>
          </w:tcPr>
          <w:p>
            <w:pPr>
              <w:jc w:val="center"/>
              <w:spacing w:after="0"/>
              <w:rPr>
                <w:sz w:val="20"/>
                <w:szCs w:val="20"/>
                <w:color w:val="auto"/>
              </w:rPr>
            </w:pPr>
            <w:r>
              <w:rPr>
                <w:rFonts w:ascii="Arial" w:cs="Arial" w:eastAsia="Arial" w:hAnsi="Arial"/>
                <w:sz w:val="14"/>
                <w:szCs w:val="14"/>
                <w:color w:val="auto"/>
              </w:rPr>
              <w:t>(22.5)%</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(22.5)%</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410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IT Services</w:t>
            </w:r>
            <w:r>
              <w:rPr>
                <w:rFonts w:ascii="Arial" w:cs="Arial" w:eastAsia="Arial" w:hAnsi="Arial"/>
                <w:sz w:val="18"/>
                <w:szCs w:val="18"/>
                <w:color w:val="auto"/>
                <w:vertAlign w:val="superscript"/>
              </w:rPr>
              <w:t>(2)</w:t>
            </w: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17"/>
                <w:szCs w:val="17"/>
                <w:color w:val="auto"/>
              </w:rPr>
            </w:pPr>
          </w:p>
        </w:tc>
        <w:tc>
          <w:tcPr>
            <w:tcW w:w="380" w:type="dxa"/>
            <w:vAlign w:val="bottom"/>
            <w:tcBorders>
              <w:bottom w:val="single" w:sz="8" w:color="auto"/>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57</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(7.0)%</w:t>
            </w:r>
          </w:p>
        </w:tc>
        <w:tc>
          <w:tcPr>
            <w:tcW w:w="1260" w:type="dxa"/>
            <w:vAlign w:val="bottom"/>
            <w:shd w:val="clear" w:color="auto" w:fill="E5E5E5"/>
          </w:tcPr>
          <w:p>
            <w:pPr>
              <w:jc w:val="center"/>
              <w:ind w:right="8"/>
              <w:spacing w:after="0"/>
              <w:rPr>
                <w:sz w:val="20"/>
                <w:szCs w:val="20"/>
                <w:color w:val="auto"/>
              </w:rPr>
            </w:pPr>
            <w:r>
              <w:rPr>
                <w:rFonts w:ascii="Arial" w:cs="Arial" w:eastAsia="Arial" w:hAnsi="Arial"/>
                <w:sz w:val="14"/>
                <w:szCs w:val="14"/>
                <w:color w:val="auto"/>
              </w:rPr>
              <w:t>(7.0)%</w:t>
            </w: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Services, maintenance, rentals and other</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w:t>
            </w:r>
          </w:p>
        </w:tc>
        <w:tc>
          <w:tcPr>
            <w:tcW w:w="1260" w:type="dxa"/>
            <w:vAlign w:val="bottom"/>
          </w:tcPr>
          <w:p>
            <w:pPr>
              <w:jc w:val="center"/>
              <w:spacing w:after="0"/>
              <w:rPr>
                <w:sz w:val="20"/>
                <w:szCs w:val="20"/>
                <w:color w:val="auto"/>
              </w:rPr>
            </w:pPr>
            <w:r>
              <w:rPr>
                <w:rFonts w:ascii="Arial" w:cs="Arial" w:eastAsia="Arial" w:hAnsi="Arial"/>
                <w:sz w:val="14"/>
                <w:szCs w:val="14"/>
                <w:color w:val="auto"/>
              </w:rPr>
              <w:t>(5.6)%</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(5.2)%</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E5E5E5"/>
            </w:tcBorders>
          </w:tcPr>
          <w:p>
            <w:pPr>
              <w:spacing w:after="0" w:line="20" w:lineRule="exact"/>
              <w:rPr>
                <w:sz w:val="1"/>
                <w:szCs w:val="1"/>
                <w:color w:val="auto"/>
              </w:rPr>
            </w:pPr>
          </w:p>
        </w:tc>
        <w:tc>
          <w:tcPr>
            <w:tcW w:w="340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E5E5E5"/>
            </w:tcBorders>
          </w:tcPr>
          <w:p>
            <w:pPr>
              <w:spacing w:after="0" w:line="20" w:lineRule="exact"/>
              <w:rPr>
                <w:sz w:val="1"/>
                <w:szCs w:val="1"/>
                <w:color w:val="auto"/>
              </w:rPr>
            </w:pPr>
          </w:p>
        </w:tc>
        <w:tc>
          <w:tcPr>
            <w:tcW w:w="126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E5E5E5"/>
            </w:tcBorders>
          </w:tcPr>
          <w:p>
            <w:pPr>
              <w:spacing w:after="0" w:line="20" w:lineRule="exact"/>
              <w:rPr>
                <w:sz w:val="1"/>
                <w:szCs w:val="1"/>
                <w:color w:val="auto"/>
              </w:rPr>
            </w:pPr>
          </w:p>
        </w:tc>
      </w:tr>
      <w:tr>
        <w:trPr>
          <w:trHeight w:val="237"/>
        </w:trPr>
        <w:tc>
          <w:tcPr>
            <w:tcW w:w="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340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62" w:lineRule="exact"/>
              <w:rPr>
                <w:sz w:val="20"/>
                <w:szCs w:val="20"/>
                <w:color w:val="auto"/>
              </w:rPr>
            </w:pPr>
            <w:r>
              <w:rPr>
                <w:rFonts w:ascii="Arial" w:cs="Arial" w:eastAsia="Arial" w:hAnsi="Arial"/>
                <w:sz w:val="14"/>
                <w:szCs w:val="14"/>
                <w:b w:val="1"/>
                <w:bCs w:val="1"/>
                <w:color w:val="auto"/>
              </w:rPr>
              <w:t>Segments</w:t>
            </w:r>
            <w:r>
              <w:rPr>
                <w:rFonts w:ascii="Arial" w:cs="Arial" w:eastAsia="Arial" w:hAnsi="Arial"/>
                <w:sz w:val="18"/>
                <w:szCs w:val="18"/>
                <w:b w:val="1"/>
                <w:bCs w:val="1"/>
                <w:color w:val="auto"/>
                <w:vertAlign w:val="superscript"/>
              </w:rPr>
              <w:t>(3)</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2"/>
        </w:trPr>
        <w:tc>
          <w:tcPr>
            <w:tcW w:w="20" w:type="dxa"/>
            <w:vAlign w:val="bottom"/>
            <w:shd w:val="clear" w:color="auto" w:fill="E5E5E5"/>
          </w:tcPr>
          <w:p>
            <w:pPr>
              <w:spacing w:after="0"/>
              <w:rPr>
                <w:sz w:val="17"/>
                <w:szCs w:val="17"/>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Print and Other</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1,739</w:t>
            </w:r>
          </w:p>
        </w:tc>
        <w:tc>
          <w:tcPr>
            <w:tcW w:w="1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(2.9)%</w:t>
            </w:r>
          </w:p>
        </w:tc>
        <w:tc>
          <w:tcPr>
            <w:tcW w:w="1260" w:type="dxa"/>
            <w:vAlign w:val="bottom"/>
            <w:shd w:val="clear" w:color="auto" w:fill="E5E5E5"/>
          </w:tcPr>
          <w:p>
            <w:pPr>
              <w:jc w:val="center"/>
              <w:ind w:right="8"/>
              <w:spacing w:after="0"/>
              <w:rPr>
                <w:sz w:val="20"/>
                <w:szCs w:val="20"/>
                <w:color w:val="auto"/>
              </w:rPr>
            </w:pPr>
            <w:r>
              <w:rPr>
                <w:rFonts w:ascii="Arial" w:cs="Arial" w:eastAsia="Arial" w:hAnsi="Arial"/>
                <w:sz w:val="14"/>
                <w:szCs w:val="14"/>
                <w:color w:val="auto"/>
              </w:rPr>
              <w:t>(2.8)%</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90%</w:t>
            </w:r>
          </w:p>
        </w:tc>
        <w:tc>
          <w:tcPr>
            <w:tcW w:w="12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89%</w:t>
            </w:r>
          </w:p>
        </w:tc>
      </w:tr>
      <w:tr>
        <w:trPr>
          <w:trHeight w:val="199"/>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IT Solutions</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w:t>
            </w:r>
          </w:p>
        </w:tc>
        <w:tc>
          <w:tcPr>
            <w:tcW w:w="1260" w:type="dxa"/>
            <w:vAlign w:val="bottom"/>
          </w:tcPr>
          <w:p>
            <w:pPr>
              <w:jc w:val="center"/>
              <w:spacing w:after="0"/>
              <w:rPr>
                <w:sz w:val="20"/>
                <w:szCs w:val="20"/>
                <w:color w:val="auto"/>
              </w:rPr>
            </w:pPr>
            <w:r>
              <w:rPr>
                <w:rFonts w:ascii="Arial" w:cs="Arial" w:eastAsia="Arial" w:hAnsi="Arial"/>
                <w:sz w:val="14"/>
                <w:szCs w:val="14"/>
                <w:color w:val="auto"/>
              </w:rPr>
              <w:t>(17.3)%</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(16.8)%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11%</w:t>
            </w:r>
          </w:p>
        </w:tc>
      </w:tr>
      <w:tr>
        <w:trPr>
          <w:trHeight w:val="206"/>
        </w:trPr>
        <w:tc>
          <w:tcPr>
            <w:tcW w:w="20" w:type="dxa"/>
            <w:vAlign w:val="bottom"/>
            <w:shd w:val="clear" w:color="auto" w:fill="E5E5E5"/>
          </w:tcPr>
          <w:p>
            <w:pPr>
              <w:spacing w:after="0"/>
              <w:rPr>
                <w:sz w:val="17"/>
                <w:szCs w:val="17"/>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 xml:space="preserve">Intersegment elimination </w:t>
            </w:r>
            <w:r>
              <w:rPr>
                <w:rFonts w:ascii="Arial" w:cs="Arial" w:eastAsia="Arial" w:hAnsi="Arial"/>
                <w:sz w:val="18"/>
                <w:szCs w:val="18"/>
                <w:color w:val="auto"/>
                <w:vertAlign w:val="superscript"/>
              </w:rPr>
              <w:t>(4)</w:t>
            </w: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60" w:type="dxa"/>
            <w:vAlign w:val="bottom"/>
            <w:shd w:val="clear" w:color="auto" w:fill="E5E5E5"/>
          </w:tcPr>
          <w:p>
            <w:pPr>
              <w:ind w:left="54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E5E5E5"/>
          </w:tcPr>
          <w:p>
            <w:pPr>
              <w:ind w:left="480"/>
              <w:spacing w:after="0"/>
              <w:rPr>
                <w:sz w:val="20"/>
                <w:szCs w:val="20"/>
                <w:color w:val="auto"/>
              </w:rPr>
            </w:pPr>
            <w:r>
              <w:rPr>
                <w:rFonts w:ascii="Arial" w:cs="Arial" w:eastAsia="Arial" w:hAnsi="Arial"/>
                <w:sz w:val="14"/>
                <w:szCs w:val="14"/>
                <w:color w:val="auto"/>
              </w:rPr>
              <w:t>NM</w:t>
            </w:r>
          </w:p>
        </w:tc>
        <w:tc>
          <w:tcPr>
            <w:tcW w:w="12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8"/>
              </w:rPr>
              <w:t>—%</w:t>
            </w: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1,961</w:t>
            </w:r>
          </w:p>
        </w:tc>
        <w:tc>
          <w:tcPr>
            <w:tcW w:w="1260" w:type="dxa"/>
            <w:vAlign w:val="bottom"/>
          </w:tcPr>
          <w:p>
            <w:pPr>
              <w:jc w:val="center"/>
              <w:spacing w:after="0"/>
              <w:rPr>
                <w:sz w:val="20"/>
                <w:szCs w:val="20"/>
                <w:color w:val="auto"/>
              </w:rPr>
            </w:pPr>
            <w:r>
              <w:rPr>
                <w:rFonts w:ascii="Arial" w:cs="Arial" w:eastAsia="Arial" w:hAnsi="Arial"/>
                <w:sz w:val="14"/>
                <w:szCs w:val="14"/>
                <w:color w:val="auto"/>
              </w:rPr>
              <w:t>(4.7)%</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(4.5)%</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w:t>
      </w:r>
      <w:r>
        <w:rPr>
          <w:rFonts w:ascii="Arial" w:cs="Arial" w:eastAsia="Arial" w:hAnsi="Arial"/>
          <w:sz w:val="14"/>
          <w:szCs w:val="14"/>
          <w:color w:val="auto"/>
        </w:rPr>
        <w:t>__</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See "Constant Currency" in the Non-GAAP Financial Measures section for a description of constant currency.</w:t>
      </w:r>
    </w:p>
    <w:p>
      <w:pPr>
        <w:spacing w:after="0" w:line="13" w:lineRule="exact"/>
        <w:rPr>
          <w:sz w:val="20"/>
          <w:szCs w:val="20"/>
          <w:color w:val="auto"/>
        </w:rPr>
      </w:pPr>
    </w:p>
    <w:p>
      <w:pPr>
        <w:ind w:left="340" w:right="20" w:hanging="332"/>
        <w:spacing w:after="0" w:line="241" w:lineRule="auto"/>
        <w:tabs>
          <w:tab w:leader="none" w:pos="327"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Post sale revenue includes Supplies, paper and other sales, Service, maintenance, rentals and other, and Xerox Financial Services. Refer to Reportable Segments - Print and Other, for further information.</w:t>
      </w: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IT Solutions includes IT Products and IT Services provided by the IT Solutions segment. Refer to Reportable Segments - IT Solutions, for further information.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Appendix II, Reportable Segments, for definitions.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reflects IT hardware, software solutions and services sold by the IT Solutions segment to the Print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7"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DA2031"/>
        </w:rPr>
        <w:t>Costs, Expenses and Other Income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2"/>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E5E5E5"/>
            </w:tcBorders>
          </w:tcPr>
          <w:p>
            <w:pPr>
              <w:spacing w:after="0"/>
              <w:rPr>
                <w:sz w:val="16"/>
                <w:szCs w:val="16"/>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B/(W)</w:t>
            </w:r>
          </w:p>
        </w:tc>
        <w:tc>
          <w:tcPr>
            <w:tcW w:w="420" w:type="dxa"/>
            <w:vAlign w:val="bottom"/>
            <w:tcBorders>
              <w:bottom w:val="single" w:sz="8" w:color="E5E5E5"/>
            </w:tcBorders>
          </w:tcPr>
          <w:p>
            <w:pPr>
              <w:spacing w:after="0"/>
              <w:rPr>
                <w:sz w:val="16"/>
                <w:szCs w:val="16"/>
                <w:color w:val="auto"/>
              </w:rPr>
            </w:pPr>
          </w:p>
        </w:tc>
      </w:tr>
      <w:tr>
        <w:trPr>
          <w:trHeight w:val="200"/>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420" w:type="dxa"/>
            <w:vAlign w:val="bottom"/>
            <w:shd w:val="clear" w:color="auto" w:fill="E5E5E5"/>
          </w:tcPr>
          <w:p>
            <w:pPr>
              <w:spacing w:after="0"/>
              <w:rPr>
                <w:sz w:val="17"/>
                <w:szCs w:val="17"/>
                <w:color w:val="auto"/>
              </w:rPr>
            </w:pPr>
          </w:p>
        </w:tc>
      </w:tr>
      <w:tr>
        <w:trPr>
          <w:trHeight w:val="19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RD&amp;E</w:t>
            </w:r>
          </w:p>
        </w:tc>
        <w:tc>
          <w:tcPr>
            <w:tcW w:w="26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18</w:t>
            </w:r>
          </w:p>
        </w:tc>
        <w:tc>
          <w:tcPr>
            <w:tcW w:w="420" w:type="dxa"/>
            <w:vAlign w:val="bottom"/>
          </w:tcPr>
          <w:p>
            <w:pPr>
              <w:spacing w:after="0"/>
              <w:rPr>
                <w:sz w:val="17"/>
                <w:szCs w:val="17"/>
                <w:color w:val="auto"/>
              </w:rPr>
            </w:pPr>
          </w:p>
        </w:tc>
      </w:tr>
      <w:tr>
        <w:trPr>
          <w:trHeight w:val="207"/>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w:t>
            </w:r>
          </w:p>
        </w:tc>
        <w:tc>
          <w:tcPr>
            <w:tcW w:w="26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103</w:t>
            </w:r>
          </w:p>
        </w:tc>
        <w:tc>
          <w:tcPr>
            <w:tcW w:w="420" w:type="dxa"/>
            <w:vAlign w:val="bottom"/>
            <w:shd w:val="clear" w:color="auto" w:fill="E5E5E5"/>
          </w:tcPr>
          <w:p>
            <w:pPr>
              <w:spacing w:after="0"/>
              <w:rPr>
                <w:sz w:val="17"/>
                <w:szCs w:val="17"/>
                <w:color w:val="auto"/>
              </w:rPr>
            </w:pPr>
          </w:p>
        </w:tc>
      </w:tr>
      <w:tr>
        <w:trPr>
          <w:trHeight w:val="270"/>
        </w:trPr>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03"/>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Gross Margin</w:t>
            </w:r>
          </w:p>
        </w:tc>
        <w:tc>
          <w:tcPr>
            <w:tcW w:w="2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26.1 %</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(21.1)</w:t>
            </w:r>
          </w:p>
        </w:tc>
        <w:tc>
          <w:tcPr>
            <w:tcW w:w="4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pts.</w:t>
            </w:r>
          </w:p>
        </w:tc>
      </w:tr>
      <w:tr>
        <w:trPr>
          <w:trHeight w:val="19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Post sale Gross Margin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21.8 %</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13.8</w:t>
            </w:r>
          </w:p>
        </w:tc>
        <w:tc>
          <w:tcPr>
            <w:tcW w:w="420" w:type="dxa"/>
            <w:vAlign w:val="bottom"/>
          </w:tcPr>
          <w:p>
            <w:pPr>
              <w:ind w:left="100"/>
              <w:spacing w:after="0"/>
              <w:rPr>
                <w:sz w:val="20"/>
                <w:szCs w:val="20"/>
                <w:color w:val="auto"/>
              </w:rPr>
            </w:pPr>
            <w:r>
              <w:rPr>
                <w:rFonts w:ascii="Arial" w:cs="Arial" w:eastAsia="Arial" w:hAnsi="Arial"/>
                <w:sz w:val="14"/>
                <w:szCs w:val="14"/>
                <w:color w:val="auto"/>
              </w:rPr>
              <w:t>pts.</w:t>
            </w:r>
          </w:p>
        </w:tc>
      </w:tr>
      <w:tr>
        <w:trPr>
          <w:trHeight w:val="207"/>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Gross Margin</w:t>
            </w:r>
          </w:p>
        </w:tc>
        <w:tc>
          <w:tcPr>
            <w:tcW w:w="2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29.2 %</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22.7 %</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6.5</w:t>
            </w:r>
          </w:p>
        </w:tc>
        <w:tc>
          <w:tcPr>
            <w:tcW w:w="4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pts.</w:t>
            </w:r>
          </w:p>
        </w:tc>
      </w:tr>
      <w:tr>
        <w:trPr>
          <w:trHeight w:val="19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RD&amp;E as a % of Revenue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0.8</w:t>
            </w:r>
          </w:p>
        </w:tc>
        <w:tc>
          <w:tcPr>
            <w:tcW w:w="420" w:type="dxa"/>
            <w:vAlign w:val="bottom"/>
          </w:tcPr>
          <w:p>
            <w:pPr>
              <w:ind w:left="100"/>
              <w:spacing w:after="0"/>
              <w:rPr>
                <w:sz w:val="20"/>
                <w:szCs w:val="20"/>
                <w:color w:val="auto"/>
              </w:rPr>
            </w:pPr>
            <w:r>
              <w:rPr>
                <w:rFonts w:ascii="Arial" w:cs="Arial" w:eastAsia="Arial" w:hAnsi="Arial"/>
                <w:sz w:val="14"/>
                <w:szCs w:val="14"/>
                <w:color w:val="auto"/>
              </w:rPr>
              <w:t>pts.</w:t>
            </w:r>
          </w:p>
        </w:tc>
      </w:tr>
      <w:tr>
        <w:trPr>
          <w:trHeight w:val="207"/>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 as a % of Revenue</w:t>
            </w:r>
          </w:p>
        </w:tc>
        <w:tc>
          <w:tcPr>
            <w:tcW w:w="2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20.0 %</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24.3 %</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4.3</w:t>
            </w:r>
          </w:p>
        </w:tc>
        <w:tc>
          <w:tcPr>
            <w:tcW w:w="4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pts.</w:t>
            </w:r>
          </w:p>
        </w:tc>
      </w:tr>
      <w:tr>
        <w:trPr>
          <w:trHeight w:val="270"/>
        </w:trPr>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03"/>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Pre-tax (Loss)</w:t>
            </w:r>
            <w:r>
              <w:rPr>
                <w:rFonts w:ascii="Arial" w:cs="Arial" w:eastAsia="Arial" w:hAnsi="Arial"/>
                <w:sz w:val="9"/>
                <w:szCs w:val="9"/>
                <w:color w:val="auto"/>
              </w:rPr>
              <w:t>(1)</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$(706)</w:t>
            </w:r>
          </w:p>
        </w:tc>
        <w:tc>
          <w:tcPr>
            <w:tcW w:w="420" w:type="dxa"/>
            <w:vAlign w:val="bottom"/>
            <w:shd w:val="clear" w:color="auto" w:fill="E5E5E5"/>
          </w:tcPr>
          <w:p>
            <w:pPr>
              <w:spacing w:after="0"/>
              <w:rPr>
                <w:sz w:val="17"/>
                <w:szCs w:val="17"/>
                <w:color w:val="auto"/>
              </w:rPr>
            </w:pPr>
          </w:p>
        </w:tc>
      </w:tr>
      <w:tr>
        <w:trPr>
          <w:trHeight w:val="19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Pre-tax (Loss) Margin</w:t>
            </w:r>
            <w:r>
              <w:rPr>
                <w:rFonts w:ascii="Arial" w:cs="Arial" w:eastAsia="Arial" w:hAnsi="Arial"/>
                <w:sz w:val="9"/>
                <w:szCs w:val="9"/>
                <w:color w:val="auto"/>
              </w:rPr>
              <w:t>(1)</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(38.6)</w:t>
            </w:r>
          </w:p>
        </w:tc>
        <w:tc>
          <w:tcPr>
            <w:tcW w:w="420" w:type="dxa"/>
            <w:vAlign w:val="bottom"/>
          </w:tcPr>
          <w:p>
            <w:pPr>
              <w:ind w:left="100"/>
              <w:spacing w:after="0"/>
              <w:rPr>
                <w:sz w:val="20"/>
                <w:szCs w:val="20"/>
                <w:color w:val="auto"/>
              </w:rPr>
            </w:pPr>
            <w:r>
              <w:rPr>
                <w:rFonts w:ascii="Arial" w:cs="Arial" w:eastAsia="Arial" w:hAnsi="Arial"/>
                <w:sz w:val="14"/>
                <w:szCs w:val="14"/>
                <w:color w:val="auto"/>
              </w:rPr>
              <w:t>pts.</w:t>
            </w:r>
          </w:p>
        </w:tc>
      </w:tr>
      <w:tr>
        <w:trPr>
          <w:trHeight w:val="274"/>
        </w:trPr>
        <w:tc>
          <w:tcPr>
            <w:tcW w:w="6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7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r>
      <w:tr>
        <w:trPr>
          <w:trHeight w:val="198"/>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Adjusted</w:t>
            </w:r>
            <w:r>
              <w:rPr>
                <w:rFonts w:ascii="Arial" w:cs="Arial" w:eastAsia="Arial" w:hAnsi="Arial"/>
                <w:sz w:val="9"/>
                <w:szCs w:val="9"/>
                <w:color w:val="auto"/>
              </w:rPr>
              <w:t>(2)</w:t>
            </w:r>
            <w:r>
              <w:rPr>
                <w:rFonts w:ascii="Arial" w:cs="Arial" w:eastAsia="Arial" w:hAnsi="Arial"/>
                <w:sz w:val="14"/>
                <w:szCs w:val="14"/>
                <w:color w:val="auto"/>
              </w:rPr>
              <w:t xml:space="preserve"> Operating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$59</w:t>
            </w:r>
          </w:p>
        </w:tc>
        <w:tc>
          <w:tcPr>
            <w:tcW w:w="420" w:type="dxa"/>
            <w:vAlign w:val="bottom"/>
          </w:tcPr>
          <w:p>
            <w:pPr>
              <w:spacing w:after="0"/>
              <w:rPr>
                <w:sz w:val="17"/>
                <w:szCs w:val="17"/>
                <w:color w:val="auto"/>
              </w:rPr>
            </w:pPr>
          </w:p>
        </w:tc>
      </w:tr>
      <w:tr>
        <w:trPr>
          <w:trHeight w:val="207"/>
        </w:trPr>
        <w:tc>
          <w:tcPr>
            <w:tcW w:w="71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Adjusted</w:t>
            </w:r>
            <w:r>
              <w:rPr>
                <w:rFonts w:ascii="Arial" w:cs="Arial" w:eastAsia="Arial" w:hAnsi="Arial"/>
                <w:sz w:val="9"/>
                <w:szCs w:val="9"/>
                <w:color w:val="auto"/>
              </w:rPr>
              <w:t>(2)</w:t>
            </w:r>
            <w:r>
              <w:rPr>
                <w:rFonts w:ascii="Arial" w:cs="Arial" w:eastAsia="Arial" w:hAnsi="Arial"/>
                <w:sz w:val="14"/>
                <w:szCs w:val="14"/>
                <w:color w:val="auto"/>
              </w:rPr>
              <w:t xml:space="preserve"> Operating Income Margin</w:t>
            </w:r>
          </w:p>
        </w:tc>
        <w:tc>
          <w:tcPr>
            <w:tcW w:w="2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E5E5E5"/>
          </w:tcPr>
          <w:p>
            <w:pPr>
              <w:spacing w:after="0"/>
              <w:rPr>
                <w:sz w:val="17"/>
                <w:szCs w:val="17"/>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3.3</w:t>
            </w:r>
          </w:p>
        </w:tc>
        <w:tc>
          <w:tcPr>
            <w:tcW w:w="4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pts.</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Third quarter 2026 pre-tax (loss) includes a pre-tax non-cash Goodwill impairment charge of $959 million ($955 million after-tax).</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for an explanation of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Other Expenses, Net</w:t>
      </w:r>
    </w:p>
    <w:p>
      <w:pPr>
        <w:spacing w:after="0" w:line="101"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September 30,</w:t>
            </w:r>
          </w:p>
        </w:tc>
        <w:tc>
          <w:tcPr>
            <w:tcW w:w="1100" w:type="dxa"/>
            <w:vAlign w:val="bottom"/>
            <w:tcBorders>
              <w:bottom w:val="single" w:sz="8" w:color="auto"/>
            </w:tcBorders>
          </w:tcPr>
          <w:p>
            <w:pPr>
              <w:spacing w:after="0"/>
              <w:rPr>
                <w:sz w:val="16"/>
                <w:szCs w:val="16"/>
                <w:color w:val="auto"/>
              </w:rPr>
            </w:pPr>
          </w:p>
        </w:tc>
      </w:tr>
      <w:tr>
        <w:trPr>
          <w:trHeight w:val="19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E5E5E5"/>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2025</w:t>
            </w:r>
          </w:p>
        </w:tc>
      </w:tr>
      <w:tr>
        <w:trPr>
          <w:trHeight w:val="200"/>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Non-service retirement-related costs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Currency losses, net</w:t>
            </w:r>
          </w:p>
        </w:tc>
        <w:tc>
          <w:tcPr>
            <w:tcW w:w="380" w:type="dxa"/>
            <w:vAlign w:val="bottom"/>
            <w:shd w:val="clear" w:color="auto" w:fill="E5E5E5"/>
          </w:tcPr>
          <w:p>
            <w:pPr>
              <w:spacing w:after="0"/>
              <w:rPr>
                <w:sz w:val="17"/>
                <w:szCs w:val="17"/>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(Gain) on the early extinguishment of debt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All other expenses, net</w:t>
            </w:r>
          </w:p>
        </w:tc>
        <w:tc>
          <w:tcPr>
            <w:tcW w:w="380" w:type="dxa"/>
            <w:vAlign w:val="bottom"/>
            <w:tcBorders>
              <w:bottom w:val="single" w:sz="8" w:color="auto"/>
            </w:tcBorders>
            <w:shd w:val="clear" w:color="auto" w:fill="E5E5E5"/>
          </w:tcPr>
          <w:p>
            <w:pPr>
              <w:spacing w:after="0"/>
              <w:rPr>
                <w:sz w:val="17"/>
                <w:szCs w:val="17"/>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78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expenses, net</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0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DA2031"/>
        </w:rPr>
        <w:t>Reportable Segments</w:t>
      </w:r>
    </w:p>
    <w:p>
      <w:pPr>
        <w:spacing w:after="0" w:line="58"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color w:val="auto"/>
        </w:rPr>
        <w:t xml:space="preserve">Our business is organized to ensure we focus on efficiently managing operations while serving our customers and the markets in which we operate. We have two operating and reportable segments – </w:t>
      </w:r>
      <w:r>
        <w:rPr>
          <w:rFonts w:ascii="Arial" w:cs="Arial" w:eastAsia="Arial" w:hAnsi="Arial"/>
          <w:sz w:val="18"/>
          <w:szCs w:val="18"/>
          <w:b w:val="1"/>
          <w:bCs w:val="1"/>
          <w:color w:val="DA2031"/>
        </w:rPr>
        <w:t>Print and Other</w:t>
      </w:r>
      <w:r>
        <w:rPr>
          <w:rFonts w:ascii="Arial" w:cs="Arial" w:eastAsia="Arial" w:hAnsi="Arial"/>
          <w:sz w:val="18"/>
          <w:szCs w:val="18"/>
          <w:color w:val="auto"/>
        </w:rPr>
        <w:t xml:space="preserve"> and </w:t>
      </w:r>
      <w:r>
        <w:rPr>
          <w:rFonts w:ascii="Arial" w:cs="Arial" w:eastAsia="Arial" w:hAnsi="Arial"/>
          <w:sz w:val="18"/>
          <w:szCs w:val="18"/>
          <w:b w:val="1"/>
          <w:bCs w:val="1"/>
          <w:color w:val="DA2031"/>
        </w:rPr>
        <w:t>IT Solutions.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Segment Review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Print and Other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color w:val="auto"/>
              </w:rPr>
              <w:t>IT Solutions</w:t>
            </w:r>
          </w:p>
        </w:tc>
        <w:tc>
          <w:tcPr>
            <w:tcW w:w="14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 Segment</w:t>
            </w:r>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Intersegment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color w:val="auto"/>
              </w:rPr>
              <w:t>Corporate Other</w:t>
            </w:r>
            <w:r>
              <w:rPr>
                <w:rFonts w:ascii="Arial" w:cs="Arial" w:eastAsia="Arial" w:hAnsi="Arial"/>
                <w:sz w:val="9"/>
                <w:szCs w:val="9"/>
                <w:color w:val="auto"/>
              </w:rPr>
              <w:t>(2)</w:t>
            </w:r>
          </w:p>
        </w:tc>
        <w:tc>
          <w:tcPr>
            <w:tcW w:w="32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1"/>
        </w:trPr>
        <w:tc>
          <w:tcPr>
            <w:tcW w:w="2800" w:type="dxa"/>
            <w:vAlign w:val="bottom"/>
            <w:gridSpan w:val="2"/>
          </w:tcPr>
          <w:p>
            <w:pPr>
              <w:ind w:left="20"/>
              <w:spacing w:after="0"/>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4"/>
                <w:szCs w:val="14"/>
                <w:color w:val="auto"/>
              </w:rPr>
              <w:t>Elimination</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20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118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22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1060" w:type="dxa"/>
            <w:vAlign w:val="bottom"/>
            <w:tcBorders>
              <w:top w:val="single" w:sz="8" w:color="auto"/>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100" w:type="dxa"/>
            <w:vAlign w:val="bottom"/>
            <w:tcBorders>
              <w:top w:val="single" w:sz="8" w:color="E5E5E5"/>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104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Segment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Pr>
          <w:p>
            <w:pPr>
              <w:jc w:val="center"/>
              <w:ind w:left="3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Segment Margin</w:t>
            </w:r>
            <w:r>
              <w:rPr>
                <w:rFonts w:ascii="Arial" w:cs="Arial" w:eastAsia="Arial" w:hAnsi="Arial"/>
                <w:sz w:val="9"/>
                <w:szCs w:val="9"/>
                <w:color w:val="auto"/>
              </w:rPr>
              <w:t>(3)</w:t>
            </w:r>
          </w:p>
        </w:tc>
        <w:tc>
          <w:tcPr>
            <w:tcW w:w="1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8.1 %</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E5E5E5"/>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88 %</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Segment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Pr>
          <w:p>
            <w:pPr>
              <w:jc w:val="center"/>
              <w:ind w:left="3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Segment Margin</w:t>
            </w:r>
            <w:r>
              <w:rPr>
                <w:rFonts w:ascii="Arial" w:cs="Arial" w:eastAsia="Arial" w:hAnsi="Arial"/>
                <w:sz w:val="9"/>
                <w:szCs w:val="9"/>
                <w:color w:val="auto"/>
              </w:rPr>
              <w:t>(3)</w:t>
            </w:r>
          </w:p>
        </w:tc>
        <w:tc>
          <w:tcPr>
            <w:tcW w:w="1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3.7 %</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4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reflects IT hardware, software solutions and services sold by the IT Solutions segment to the Print and Other segment.</w:t>
      </w:r>
    </w:p>
    <w:p>
      <w:pPr>
        <w:spacing w:after="0" w:line="13" w:lineRule="exact"/>
        <w:rPr>
          <w:rFonts w:ascii="Arial" w:cs="Arial" w:eastAsia="Arial" w:hAnsi="Arial"/>
          <w:sz w:val="14"/>
          <w:szCs w:val="14"/>
          <w:i w:val="1"/>
          <w:iCs w:val="1"/>
          <w:color w:val="auto"/>
        </w:rPr>
      </w:pPr>
    </w:p>
    <w:p>
      <w:pPr>
        <w:ind w:left="340" w:hanging="332"/>
        <w:spacing w:after="0" w:line="241" w:lineRule="auto"/>
        <w:tabs>
          <w:tab w:leader="none" w:pos="32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Corporate Other reflects certain administrative and general expenses, which primarily relate to corporate functions, and are not allocated to either of our reportable segments.</w:t>
      </w:r>
    </w:p>
    <w:p>
      <w:pPr>
        <w:spacing w:after="0" w:line="162" w:lineRule="exact"/>
        <w:rPr>
          <w:rFonts w:ascii="Arial" w:cs="Arial" w:eastAsia="Arial" w:hAnsi="Arial"/>
          <w:sz w:val="14"/>
          <w:szCs w:val="14"/>
          <w:i w:val="1"/>
          <w:iCs w:val="1"/>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Segment margin is based on total revenue. IT Solutions segment margin is net of Intersegment Elimination.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Print and Other</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Print and Other segment includes the design, development and sale of document management systems, supplies and services as well as financing and technology-related offerings, digital and print-related software products and services. This segment also includes our recent Lexmark Acquisition, and Xerox Financial Services. In addition to direct sales and end-user customers, we utilize distributors and resellers to sell our equipment, supplies, parts, and maintenance services to end-user customers. Refer to Appendix II, Reportable Segments, for definitions.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color w:val="auto"/>
              </w:rPr>
              <w:t>2025</w:t>
            </w:r>
          </w:p>
        </w:tc>
        <w:tc>
          <w:tcPr>
            <w:tcW w:w="1200" w:type="dxa"/>
            <w:vAlign w:val="bottom"/>
            <w:gridSpan w:val="2"/>
          </w:tcPr>
          <w:p>
            <w:pPr>
              <w:jc w:val="center"/>
              <w:ind w:left="8"/>
              <w:spacing w:after="0" w:line="147"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2"/>
                <w:szCs w:val="12"/>
                <w:color w:val="auto"/>
              </w:rPr>
            </w:pPr>
          </w:p>
        </w:tc>
        <w:tc>
          <w:tcPr>
            <w:tcW w:w="1100" w:type="dxa"/>
            <w:vAlign w:val="bottom"/>
            <w:vMerge w:val="restart"/>
          </w:tcPr>
          <w:p>
            <w:pPr>
              <w:ind w:left="100"/>
              <w:spacing w:after="0"/>
              <w:rPr>
                <w:sz w:val="20"/>
                <w:szCs w:val="20"/>
                <w:color w:val="auto"/>
              </w:rPr>
            </w:pPr>
            <w:r>
              <w:rPr>
                <w:rFonts w:ascii="Arial" w:cs="Arial" w:eastAsia="Arial" w:hAnsi="Arial"/>
                <w:sz w:val="14"/>
                <w:szCs w:val="14"/>
                <w:color w:val="auto"/>
              </w:rPr>
              <w:t>CC % Change</w:t>
            </w:r>
          </w:p>
        </w:tc>
        <w:tc>
          <w:tcPr>
            <w:tcW w:w="0" w:type="dxa"/>
            <w:vAlign w:val="bottom"/>
          </w:tcPr>
          <w:p>
            <w:pPr>
              <w:spacing w:after="0"/>
              <w:rPr>
                <w:sz w:val="1"/>
                <w:szCs w:val="1"/>
                <w:color w:val="auto"/>
              </w:rPr>
            </w:pPr>
          </w:p>
        </w:tc>
      </w:t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383</w:t>
            </w:r>
          </w:p>
        </w:tc>
        <w:tc>
          <w:tcPr>
            <w:tcW w:w="1200" w:type="dxa"/>
            <w:vAlign w:val="bottom"/>
            <w:gridSpan w:val="2"/>
            <w:shd w:val="clear" w:color="auto" w:fill="DBDBDB"/>
          </w:tcPr>
          <w:p>
            <w:pPr>
              <w:jc w:val="center"/>
              <w:ind w:lef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242424"/>
              </w:rPr>
              <w:t>Supplies, paper and other sales</w:t>
            </w: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445</w:t>
            </w:r>
          </w:p>
        </w:tc>
        <w:tc>
          <w:tcPr>
            <w:tcW w:w="120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(2.5)%</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Services, maintenance, rentals and other</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840</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65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242424"/>
              </w:rPr>
              <w:t>Xerox Financial Services</w:t>
            </w: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71</w:t>
            </w:r>
          </w:p>
        </w:tc>
        <w:tc>
          <w:tcPr>
            <w:tcW w:w="120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(22.5)%</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6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Print and Other Revenue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4"/>
                <w:szCs w:val="14"/>
                <w:i w:val="1"/>
                <w:iCs w:val="1"/>
                <w:color w:val="auto"/>
              </w:rPr>
              <w:t>________</w:t>
            </w:r>
            <w:r>
              <w:rPr>
                <w:rFonts w:ascii="Arial" w:cs="Arial" w:eastAsia="Arial" w:hAnsi="Arial"/>
                <w:sz w:val="14"/>
                <w:szCs w:val="14"/>
                <w:color w:val="auto"/>
              </w:rPr>
              <w:t>__</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See "Constant Currency" in the Non-GAAP Financial Measures section for a description of constant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Detail by product group is shown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vMerge w:val="restart"/>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color w:val="auto"/>
              </w:rPr>
              <w:t>2025</w:t>
            </w:r>
          </w:p>
        </w:tc>
        <w:tc>
          <w:tcPr>
            <w:tcW w:w="1160" w:type="dxa"/>
            <w:vAlign w:val="bottom"/>
            <w:gridSpan w:val="2"/>
          </w:tcPr>
          <w:p>
            <w:pPr>
              <w:jc w:val="center"/>
              <w:ind w:left="48"/>
              <w:spacing w:after="0" w:line="147"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1040" w:type="dxa"/>
            <w:vAlign w:val="bottom"/>
            <w:vMerge w:val="restart"/>
          </w:tcPr>
          <w:p>
            <w:pPr>
              <w:ind w:left="60"/>
              <w:spacing w:after="0"/>
              <w:rPr>
                <w:sz w:val="20"/>
                <w:szCs w:val="20"/>
                <w:color w:val="auto"/>
              </w:rPr>
            </w:pPr>
            <w:r>
              <w:rPr>
                <w:rFonts w:ascii="Arial" w:cs="Arial" w:eastAsia="Arial" w:hAnsi="Arial"/>
                <w:sz w:val="14"/>
                <w:szCs w:val="14"/>
                <w:color w:val="auto"/>
              </w:rPr>
              <w:t>CC % Change</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Entry</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129</w:t>
            </w:r>
          </w:p>
        </w:tc>
        <w:tc>
          <w:tcPr>
            <w:tcW w:w="1160" w:type="dxa"/>
            <w:vAlign w:val="bottom"/>
            <w:gridSpan w:val="2"/>
            <w:shd w:val="clear" w:color="auto" w:fill="DBDBDB"/>
          </w:tcPr>
          <w:p>
            <w:pPr>
              <w:jc w:val="center"/>
              <w:ind w:lef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40%</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34%</w:t>
            </w:r>
          </w:p>
        </w:tc>
        <w:tc>
          <w:tcPr>
            <w:tcW w:w="0" w:type="dxa"/>
            <w:vAlign w:val="bottom"/>
          </w:tcPr>
          <w:p>
            <w:pPr>
              <w:spacing w:after="0"/>
              <w:rPr>
                <w:sz w:val="1"/>
                <w:szCs w:val="1"/>
                <w:color w:val="auto"/>
              </w:rPr>
            </w:pPr>
          </w:p>
        </w:tc>
      </w:tr>
      <w:tr>
        <w:trPr>
          <w:trHeight w:val="198"/>
        </w:trPr>
        <w:tc>
          <w:tcPr>
            <w:tcW w:w="4460" w:type="dxa"/>
            <w:vAlign w:val="bottom"/>
            <w:gridSpan w:val="2"/>
          </w:tcPr>
          <w:p>
            <w:pPr>
              <w:ind w:left="20"/>
              <w:spacing w:after="0"/>
              <w:rPr>
                <w:sz w:val="20"/>
                <w:szCs w:val="20"/>
                <w:color w:val="auto"/>
              </w:rPr>
            </w:pPr>
            <w:r>
              <w:rPr>
                <w:rFonts w:ascii="Arial" w:cs="Arial" w:eastAsia="Arial" w:hAnsi="Arial"/>
                <w:sz w:val="14"/>
                <w:szCs w:val="14"/>
                <w:color w:val="auto"/>
              </w:rPr>
              <w:t>Mid-range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46%</w:t>
            </w:r>
          </w:p>
        </w:tc>
        <w:tc>
          <w:tcPr>
            <w:tcW w:w="0" w:type="dxa"/>
            <w:vAlign w:val="bottom"/>
          </w:tcPr>
          <w:p>
            <w:pPr>
              <w:spacing w:after="0"/>
              <w:rPr>
                <w:sz w:val="1"/>
                <w:szCs w:val="1"/>
                <w:color w:val="auto"/>
              </w:rPr>
            </w:pPr>
          </w:p>
        </w:tc>
      </w:tr>
      <w:tr>
        <w:trPr>
          <w:trHeight w:val="207"/>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High-end</w:t>
            </w:r>
          </w:p>
        </w:tc>
        <w:tc>
          <w:tcPr>
            <w:tcW w:w="24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w:t>
            </w:r>
          </w:p>
        </w:tc>
        <w:tc>
          <w:tcPr>
            <w:tcW w:w="1160" w:type="dxa"/>
            <w:vAlign w:val="bottom"/>
            <w:gridSpan w:val="2"/>
            <w:shd w:val="clear" w:color="auto" w:fill="DBDBDB"/>
          </w:tcPr>
          <w:p>
            <w:pPr>
              <w:jc w:val="center"/>
              <w:ind w:left="4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19%</w:t>
            </w:r>
          </w:p>
        </w:tc>
        <w:tc>
          <w:tcPr>
            <w:tcW w:w="0" w:type="dxa"/>
            <w:vAlign w:val="bottom"/>
          </w:tcPr>
          <w:p>
            <w:pPr>
              <w:spacing w:after="0"/>
              <w:rPr>
                <w:sz w:val="1"/>
                <w:szCs w:val="1"/>
                <w:color w:val="auto"/>
              </w:rPr>
            </w:pPr>
          </w:p>
        </w:tc>
      </w:tr>
      <w:tr>
        <w:trPr>
          <w:trHeight w:val="198"/>
        </w:trPr>
        <w:tc>
          <w:tcPr>
            <w:tcW w:w="44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gridSpan w:val="2"/>
          </w:tcPr>
          <w:p>
            <w:pPr>
              <w:jc w:val="center"/>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gridSpan w:val="2"/>
          </w:tcPr>
          <w:p>
            <w:pPr>
              <w:jc w:val="center"/>
              <w:ind w:righ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DBDBDB"/>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25"/>
        </w:trPr>
        <w:tc>
          <w:tcPr>
            <w:tcW w:w="4460" w:type="dxa"/>
            <w:vAlign w:val="bottom"/>
            <w:tcBorders>
              <w:bottom w:val="single" w:sz="8" w:color="DBDBDB"/>
            </w:tcBorders>
            <w:gridSpan w:val="2"/>
            <w:shd w:val="clear" w:color="auto" w:fill="DBDBDB"/>
          </w:tcPr>
          <w:p>
            <w:pPr>
              <w:ind w:left="20"/>
              <w:spacing w:after="0" w:line="200" w:lineRule="exact"/>
              <w:rPr>
                <w:sz w:val="20"/>
                <w:szCs w:val="20"/>
                <w:color w:val="auto"/>
              </w:rPr>
            </w:pPr>
            <w:r>
              <w:rPr>
                <w:rFonts w:ascii="Arial" w:cs="Arial" w:eastAsia="Arial" w:hAnsi="Arial"/>
                <w:sz w:val="14"/>
                <w:szCs w:val="14"/>
                <w:b w:val="1"/>
                <w:bCs w:val="1"/>
                <w:color w:val="auto"/>
              </w:rPr>
              <w:t xml:space="preserve">Equipment Sales </w:t>
            </w:r>
            <w:r>
              <w:rPr>
                <w:rFonts w:ascii="Arial" w:cs="Arial" w:eastAsia="Arial" w:hAnsi="Arial"/>
                <w:sz w:val="18"/>
                <w:szCs w:val="18"/>
                <w:b w:val="1"/>
                <w:bCs w:val="1"/>
                <w:color w:val="auto"/>
                <w:vertAlign w:val="superscript"/>
              </w:rPr>
              <w:t>(1),(2)</w:t>
            </w: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393</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383</w:t>
            </w:r>
          </w:p>
        </w:tc>
        <w:tc>
          <w:tcPr>
            <w:tcW w:w="1160" w:type="dxa"/>
            <w:vAlign w:val="bottom"/>
            <w:tcBorders>
              <w:bottom w:val="single" w:sz="8" w:color="DBDBDB"/>
            </w:tcBorders>
            <w:gridSpan w:val="2"/>
            <w:shd w:val="clear" w:color="auto" w:fill="DBDBDB"/>
          </w:tcPr>
          <w:p>
            <w:pPr>
              <w:jc w:val="center"/>
              <w:ind w:lef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See "Constant Currency" in the Non-GAAP Financial Measures section for a description of constant currency.</w:t>
      </w:r>
    </w:p>
    <w:p>
      <w:pPr>
        <w:spacing w:after="0" w:line="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Appendix II, Reportable Segments, for definitions.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Installs were recast in the second quarter of 2026 and prior to align with the change in go-to-market strategy.</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IT Solutions</w:t>
      </w:r>
    </w:p>
    <w:p>
      <w:pPr>
        <w:jc w:val="both"/>
        <w:spacing w:after="0" w:line="239" w:lineRule="auto"/>
        <w:rPr>
          <w:sz w:val="20"/>
          <w:szCs w:val="20"/>
          <w:color w:val="auto"/>
        </w:rPr>
      </w:pPr>
      <w:r>
        <w:rPr>
          <w:rFonts w:ascii="Arial" w:cs="Arial" w:eastAsia="Arial" w:hAnsi="Arial"/>
          <w:sz w:val="18"/>
          <w:szCs w:val="18"/>
          <w:color w:val="auto"/>
        </w:rPr>
        <w:t>The IT Solutions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 Refer to Appendix II, Reportable Segments, for definitions.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8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2026</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1"/>
                <w:szCs w:val="11"/>
                <w:color w:val="auto"/>
              </w:rPr>
            </w:pPr>
          </w:p>
        </w:tc>
        <w:tc>
          <w:tcPr>
            <w:tcW w:w="1200" w:type="dxa"/>
            <w:vAlign w:val="bottom"/>
            <w:gridSpan w:val="2"/>
          </w:tcPr>
          <w:p>
            <w:pPr>
              <w:jc w:val="center"/>
              <w:ind w:left="8"/>
              <w:spacing w:after="0" w:line="129"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CC % Change</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DBDBDB"/>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DBDBDB"/>
          </w:tcPr>
          <w:p>
            <w:pPr>
              <w:ind w:left="20"/>
              <w:spacing w:after="0" w:line="196" w:lineRule="exact"/>
              <w:rPr>
                <w:sz w:val="20"/>
                <w:szCs w:val="20"/>
                <w:color w:val="auto"/>
              </w:rPr>
            </w:pPr>
            <w:r>
              <w:rPr>
                <w:rFonts w:ascii="Arial" w:cs="Arial" w:eastAsia="Arial" w:hAnsi="Arial"/>
                <w:sz w:val="14"/>
                <w:szCs w:val="14"/>
                <w:color w:val="auto"/>
              </w:rPr>
              <w:t>IT Products</w:t>
            </w:r>
            <w:r>
              <w:rPr>
                <w:rFonts w:ascii="Arial" w:cs="Arial" w:eastAsia="Arial" w:hAnsi="Arial"/>
                <w:sz w:val="18"/>
                <w:szCs w:val="18"/>
                <w:color w:val="auto"/>
                <w:vertAlign w:val="superscript"/>
              </w:rPr>
              <w:t>(1)</w:t>
            </w:r>
          </w:p>
        </w:tc>
        <w:tc>
          <w:tcPr>
            <w:tcW w:w="760" w:type="dxa"/>
            <w:vAlign w:val="bottom"/>
            <w:shd w:val="clear" w:color="auto" w:fill="DBDBDB"/>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w:t>
            </w:r>
          </w:p>
        </w:tc>
        <w:tc>
          <w:tcPr>
            <w:tcW w:w="120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(23.0)%</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IT Services</w:t>
            </w:r>
            <w:r>
              <w:rPr>
                <w:rFonts w:ascii="Arial" w:cs="Arial" w:eastAsia="Arial" w:hAnsi="Arial"/>
                <w:sz w:val="18"/>
                <w:szCs w:val="18"/>
                <w:color w:val="auto"/>
                <w:vertAlign w:val="superscript"/>
              </w:rPr>
              <w:t>(2)</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57</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DBDBDB"/>
          </w:tcPr>
          <w:p>
            <w:pPr>
              <w:ind w:left="20"/>
              <w:spacing w:after="0" w:line="202" w:lineRule="exact"/>
              <w:rPr>
                <w:sz w:val="20"/>
                <w:szCs w:val="20"/>
                <w:color w:val="auto"/>
              </w:rPr>
            </w:pPr>
            <w:r>
              <w:rPr>
                <w:rFonts w:ascii="Arial" w:cs="Arial" w:eastAsia="Arial" w:hAnsi="Arial"/>
                <w:sz w:val="14"/>
                <w:szCs w:val="14"/>
                <w:color w:val="auto"/>
              </w:rPr>
              <w:t xml:space="preserve">Intersegment revenue </w:t>
            </w:r>
            <w:r>
              <w:rPr>
                <w:rFonts w:ascii="Arial" w:cs="Arial" w:eastAsia="Arial" w:hAnsi="Arial"/>
                <w:sz w:val="18"/>
                <w:szCs w:val="18"/>
                <w:color w:val="auto"/>
                <w:vertAlign w:val="superscript"/>
              </w:rPr>
              <w:t>(3)</w:t>
            </w:r>
          </w:p>
        </w:tc>
        <w:tc>
          <w:tcPr>
            <w:tcW w:w="7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NM</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IT Solutions</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w:t>
      </w:r>
      <w:r>
        <w:rPr>
          <w:rFonts w:ascii="Arial" w:cs="Arial" w:eastAsia="Arial" w:hAnsi="Arial"/>
          <w:sz w:val="14"/>
          <w:szCs w:val="14"/>
          <w:color w:val="auto"/>
        </w:rPr>
        <w:t>__</w:t>
      </w:r>
    </w:p>
    <w:p>
      <w:pPr>
        <w:spacing w:after="0" w:line="57" w:lineRule="exact"/>
        <w:rPr>
          <w:sz w:val="20"/>
          <w:szCs w:val="20"/>
          <w:color w:val="auto"/>
        </w:rPr>
      </w:pPr>
    </w:p>
    <w:p>
      <w:pPr>
        <w:ind w:left="900" w:hanging="244"/>
        <w:spacing w:after="0"/>
        <w:tabs>
          <w:tab w:leader="none" w:pos="900" w:val="left"/>
        </w:tabs>
        <w:numPr>
          <w:ilvl w:val="1"/>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See "Constant Currency" in the Non-GAAP Financial Measures section for a description of constant currency.</w:t>
      </w:r>
    </w:p>
    <w:p>
      <w:pPr>
        <w:spacing w:after="0" w:line="13" w:lineRule="exact"/>
        <w:rPr>
          <w:rFonts w:ascii="Arial" w:cs="Arial" w:eastAsia="Arial" w:hAnsi="Arial"/>
          <w:sz w:val="14"/>
          <w:szCs w:val="14"/>
          <w:i w:val="1"/>
          <w:iCs w:val="1"/>
          <w:color w:val="auto"/>
        </w:rPr>
      </w:pPr>
    </w:p>
    <w:p>
      <w:pPr>
        <w:jc w:val="both"/>
        <w:ind w:left="340" w:hanging="332"/>
        <w:spacing w:after="0" w:line="241" w:lineRule="auto"/>
        <w:tabs>
          <w:tab w:leader="none" w:pos="327"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IT Products reflect the sale of IT hardware and software solutions. Hardware product sales include the sale of notebooks, network communications and other endpoint devices, desktop computers and other IT hardware. Software product sales include deployments of cloud and security solutions, endpoint security application suites, operating systems, other applications and network management solutions.</w:t>
      </w:r>
    </w:p>
    <w:p>
      <w:pPr>
        <w:spacing w:after="0" w:line="1" w:lineRule="exact"/>
        <w:rPr>
          <w:rFonts w:ascii="Arial" w:cs="Arial" w:eastAsia="Arial" w:hAnsi="Arial"/>
          <w:sz w:val="14"/>
          <w:szCs w:val="14"/>
          <w:i w:val="1"/>
          <w:iCs w:val="1"/>
          <w:color w:val="auto"/>
        </w:rPr>
      </w:pPr>
    </w:p>
    <w:p>
      <w:pPr>
        <w:ind w:left="340" w:right="20" w:hanging="332"/>
        <w:spacing w:after="0" w:line="241" w:lineRule="auto"/>
        <w:tabs>
          <w:tab w:leader="none" w:pos="327"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IT Services reflect revenue associated with the implementation of IT solutions, including product lifecycle, deployment and network monitoring services, and managed services.</w:t>
      </w:r>
    </w:p>
    <w:p>
      <w:pPr>
        <w:spacing w:after="0" w:line="162"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reflects IT hardware, software solutions and services sold by the IT Solutions segment to the Print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06"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DA2031"/>
        </w:rPr>
        <w:t>Forward-Looking Statements</w:t>
      </w:r>
    </w:p>
    <w:p>
      <w:pPr>
        <w:spacing w:after="0" w:line="12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press release and other written or oral statements made from time to time by management contain “forward looking statements” as defined in the Private Securities Litigation Reform Act of 1995 and involve certain risks and uncertainties. The words “anticipate”, “believe”, “estimate”, “expect”, “intend”, “will”, “would”, “could”, “can”, “should”, “targeting”, “projecting”, “driving”, “future”, “plan”, “predict”, “may” and similar expressions are intended to identify forward-looking statements. The Company’s actual results may differ significantly from the results discussed in the forward-looking statements. These statements reflect management’s current beliefs and assumptions and are subject to a number of other factors that may cause actual results to differ materially.</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Such factors include but are not limited to: applicable market conditions; global macroeconomic conditions, including inflation, slower growth or recession, delays or disruptions in the global supply chain, higher interest rates, and wars and other conflicts, our ability to succeed in a competitive environment, including by developing new products and service offerings and preserving our existing products and market share as well as repositioning our business in the face of customer preference, technological, and other change, such as evolving return-to-office and hybrid working trends; failure of our customers, vendors, and logistics partners to perform their contractual obligations to us; our ability to attract, train, and retain key personnel; execution risks around our Transformation; the risk of breaches of our security systems due to cyber, malware, or other intentional attacks that could expose us to liability, litigation, regulatory action or damage our reputation; our ability to obtain adequate pricing for our products and services and to maintain and improve our cost structure; changes in economic and political conditions,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capital, and access to credit markets; risks related to our indebtedness; the imposition of new or incremental trade protection measures such as tariffs and import or export restrictions; funding requirements associated with our employee pension and retiree health benefit plans; changes in foreign currency exchange rates; the risk that we may be subject to new or heightened regulatory or operation risks as a result of our, or third parties,’ use or anticipated use of artificial intelligence technologies; the risk that our operations and products may not comply with applicable worldwide regulatory requirements, particularly environmental regulations and directives and anti-corruption laws; the outcome of litigation and regulatory proceedings to which we may be a party; laws, regulations, international agreements and other initiatives to limit greenhouse gas emissions or relating to climate change, as well as the physical effects of climate change; our ability to successfully integrate the Lexmark business and realize the anticipated benefits thereof, including expected synergies; and other factors that are set forth from time to time in the Company’s Securities and Exchange Commission filings, including the combined Annual Report on Form 10-K of Xerox Holdings and Xerox Corporation.</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forward-looking statements speak only as of the date hereof or of the date to which they refer, and the Company assumes no obligation to update or revise any forward-looking statements as a result of new information or future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15"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DA2031"/>
        </w:rPr>
        <w:t>Non-GAAP Financial Measures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 Accordingly, we believe it is necessary to adjust several reported amounts, determined in accordance with GAAP, to exclude the effects of certain items as well as their related income tax effects.</w:t>
      </w:r>
    </w:p>
    <w:p>
      <w:pPr>
        <w:spacing w:after="0" w:line="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Condensed Consolidated Financial Statements prepared in accordance with GAAP.</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Reconciliations of these non-GAAP financial measures to the most directly comparable financial measures calculated and presented in accordance with GAAP are set forth below, as well as in the third quarter 2026 presentation slides available at </w:t>
      </w:r>
      <w:r>
        <w:rPr>
          <w:rFonts w:ascii="Arial" w:cs="Arial" w:eastAsia="Arial" w:hAnsi="Arial"/>
          <w:sz w:val="18"/>
          <w:szCs w:val="18"/>
          <w:u w:val="single" w:color="auto"/>
          <w:color w:val="auto"/>
        </w:rPr>
        <w:t>www.xerox.com/investor</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Earnings Measures</w:t>
      </w:r>
    </w:p>
    <w:p>
      <w:pPr>
        <w:spacing w:after="0" w:line="6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DA2031"/>
        </w:rPr>
      </w:pPr>
      <w:r>
        <w:rPr>
          <w:rFonts w:ascii="Arial" w:cs="Arial" w:eastAsia="Arial" w:hAnsi="Arial"/>
          <w:sz w:val="18"/>
          <w:szCs w:val="18"/>
          <w:color w:val="auto"/>
        </w:rPr>
        <w:t>Adjusted Net Income and Earnings per share (Adjusted EPS)</w:t>
      </w:r>
    </w:p>
    <w:p>
      <w:pPr>
        <w:spacing w:after="0" w:line="27" w:lineRule="exact"/>
        <w:rPr>
          <w:rFonts w:ascii="Arial" w:cs="Arial" w:eastAsia="Arial" w:hAnsi="Arial"/>
          <w:sz w:val="18"/>
          <w:szCs w:val="18"/>
          <w:color w:val="DA2031"/>
        </w:rPr>
      </w:pPr>
    </w:p>
    <w:p>
      <w:pPr>
        <w:ind w:left="320" w:hanging="312"/>
        <w:spacing w:after="0"/>
        <w:tabs>
          <w:tab w:leader="none" w:pos="320" w:val="left"/>
        </w:tabs>
        <w:numPr>
          <w:ilvl w:val="0"/>
          <w:numId w:val="16"/>
        </w:numPr>
        <w:rPr>
          <w:rFonts w:ascii="Arial" w:cs="Arial" w:eastAsia="Arial" w:hAnsi="Arial"/>
          <w:sz w:val="18"/>
          <w:szCs w:val="18"/>
          <w:color w:val="DA2031"/>
        </w:rPr>
      </w:pPr>
      <w:r>
        <w:rPr>
          <w:rFonts w:ascii="Arial" w:cs="Arial" w:eastAsia="Arial" w:hAnsi="Arial"/>
          <w:sz w:val="18"/>
          <w:szCs w:val="18"/>
          <w:color w:val="auto"/>
        </w:rPr>
        <w:t>Adjusted Effective Tax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DA2031"/>
        </w:rPr>
        <w:t>Restructuring and related costs, net</w:t>
      </w:r>
      <w:r>
        <w:rPr>
          <w:rFonts w:ascii="Arial" w:cs="Arial" w:eastAsia="Arial" w:hAnsi="Arial"/>
          <w:sz w:val="18"/>
          <w:szCs w:val="18"/>
          <w:color w:val="000000"/>
        </w:rPr>
        <w:t>: Restructuring and related costs, net include restructuring and asset impairment charges as well as costs</w:t>
      </w:r>
      <w:r>
        <w:rPr>
          <w:rFonts w:ascii="Arial" w:cs="Arial" w:eastAsia="Arial" w:hAnsi="Arial"/>
          <w:sz w:val="18"/>
          <w:szCs w:val="18"/>
          <w:color w:val="DA2031"/>
        </w:rPr>
        <w:t xml:space="preserve"> </w:t>
      </w:r>
      <w:r>
        <w:rPr>
          <w:rFonts w:ascii="Arial" w:cs="Arial" w:eastAsia="Arial" w:hAnsi="Arial"/>
          <w:sz w:val="18"/>
          <w:szCs w:val="18"/>
          <w:color w:val="000000"/>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DA2031"/>
        </w:rPr>
        <w:t>Amortization of intangible assets</w:t>
      </w:r>
      <w:r>
        <w:rPr>
          <w:rFonts w:ascii="Arial" w:cs="Arial" w:eastAsia="Arial" w:hAnsi="Arial"/>
          <w:sz w:val="18"/>
          <w:szCs w:val="18"/>
          <w:color w:val="000000"/>
        </w:rPr>
        <w:t>: The amortization of intangible assets is driven by our acquisition activity which can vary in size, nature and</w:t>
      </w:r>
      <w:r>
        <w:rPr>
          <w:rFonts w:ascii="Arial" w:cs="Arial" w:eastAsia="Arial" w:hAnsi="Arial"/>
          <w:sz w:val="18"/>
          <w:szCs w:val="18"/>
          <w:color w:val="DA2031"/>
        </w:rPr>
        <w:t xml:space="preserve"> </w:t>
      </w:r>
      <w:r>
        <w:rPr>
          <w:rFonts w:ascii="Arial" w:cs="Arial" w:eastAsia="Arial" w:hAnsi="Arial"/>
          <w:sz w:val="18"/>
          <w:szCs w:val="18"/>
          <w:color w:val="000000"/>
        </w:rPr>
        <w:t>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DA2031"/>
        </w:rPr>
        <w:t>Non-service retirement-related costs</w:t>
      </w:r>
      <w:r>
        <w:rPr>
          <w:rFonts w:ascii="Arial" w:cs="Arial" w:eastAsia="Arial" w:hAnsi="Arial"/>
          <w:sz w:val="18"/>
          <w:szCs w:val="18"/>
          <w:color w:val="000000"/>
        </w:rPr>
        <w:t>: Our defined benefit pension and retiree health costs include several elements impacted by changes in</w:t>
      </w:r>
      <w:r>
        <w:rPr>
          <w:rFonts w:ascii="Arial" w:cs="Arial" w:eastAsia="Arial" w:hAnsi="Arial"/>
          <w:sz w:val="18"/>
          <w:szCs w:val="18"/>
          <w:color w:val="DA2031"/>
        </w:rPr>
        <w:t xml:space="preserve"> </w:t>
      </w:r>
      <w:r>
        <w:rPr>
          <w:rFonts w:ascii="Arial" w:cs="Arial" w:eastAsia="Arial" w:hAnsi="Arial"/>
          <w:sz w:val="18"/>
          <w:szCs w:val="18"/>
          <w:color w:val="000000"/>
        </w:rPr>
        <w:t>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 (income), net. Adjusted earnings will continue to include the service cost elements of our retirement costs, which are related to current employee service as well as the cost of our defined contribution plans.</w:t>
      </w:r>
    </w:p>
    <w:p>
      <w:pPr>
        <w:spacing w:after="0" w:line="200" w:lineRule="exact"/>
        <w:rPr>
          <w:sz w:val="20"/>
          <w:szCs w:val="20"/>
          <w:color w:val="auto"/>
        </w:rPr>
      </w:pPr>
    </w:p>
    <w:p>
      <w:pPr>
        <w:spacing w:after="0" w:line="3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69"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u w:val="single" w:color="auto"/>
          <w:color w:val="DA2031"/>
        </w:rPr>
        <w:t>Transaction and related costs, net</w:t>
      </w:r>
      <w:r>
        <w:rPr>
          <w:rFonts w:ascii="Arial" w:cs="Arial" w:eastAsia="Arial" w:hAnsi="Arial"/>
          <w:sz w:val="18"/>
          <w:szCs w:val="18"/>
          <w:color w:val="DA2031"/>
        </w:rPr>
        <w:t xml:space="preserve">: </w:t>
      </w:r>
      <w:r>
        <w:rPr>
          <w:rFonts w:ascii="Arial" w:cs="Arial" w:eastAsia="Arial" w:hAnsi="Arial"/>
          <w:sz w:val="18"/>
          <w:szCs w:val="18"/>
          <w:color w:val="000000"/>
        </w:rPr>
        <w:t>Transaction and related costs, net are costs and expenses primarily associated with certain major or</w:t>
      </w:r>
      <w:r>
        <w:rPr>
          <w:rFonts w:ascii="Arial" w:cs="Arial" w:eastAsia="Arial" w:hAnsi="Arial"/>
          <w:sz w:val="18"/>
          <w:szCs w:val="18"/>
          <w:color w:val="DA2031"/>
        </w:rPr>
        <w:t xml:space="preserve"> </w:t>
      </w:r>
      <w:r>
        <w:rPr>
          <w:rFonts w:ascii="Arial" w:cs="Arial" w:eastAsia="Arial" w:hAnsi="Arial"/>
          <w:sz w:val="18"/>
          <w:szCs w:val="18"/>
          <w:color w:val="000000"/>
        </w:rPr>
        <w:t>significant strategic M&amp;A projects. These costs are primarily for third-party legal, accounting, consulting and other similar types of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exclude these expenses from our Adjusted Earnings Measures in order to evaluate our performance on a comparable basis.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u w:val="single" w:color="auto"/>
          <w:color w:val="DA2031"/>
        </w:rPr>
        <w:t>Discrete, unusual or infrequent items</w:t>
      </w:r>
      <w:r>
        <w:rPr>
          <w:rFonts w:ascii="Arial" w:cs="Arial" w:eastAsia="Arial" w:hAnsi="Arial"/>
          <w:sz w:val="18"/>
          <w:szCs w:val="18"/>
          <w:color w:val="000000"/>
        </w:rPr>
        <w:t>: We exclude the following items, when applicable, given their discrete, unusual or infrequent nature and</w:t>
      </w:r>
      <w:r>
        <w:rPr>
          <w:rFonts w:ascii="Arial" w:cs="Arial" w:eastAsia="Arial" w:hAnsi="Arial"/>
          <w:sz w:val="18"/>
          <w:szCs w:val="18"/>
          <w:color w:val="DA2031"/>
        </w:rPr>
        <w:t xml:space="preserve"> </w:t>
      </w:r>
      <w:r>
        <w:rPr>
          <w:rFonts w:ascii="Arial" w:cs="Arial" w:eastAsia="Arial" w:hAnsi="Arial"/>
          <w:sz w:val="18"/>
          <w:szCs w:val="18"/>
          <w:color w:val="000000"/>
        </w:rPr>
        <w:t>their impact on the comparability of our results for the period to prior periods and future expected trends.</w:t>
      </w:r>
    </w:p>
    <w:p>
      <w:pPr>
        <w:spacing w:after="0" w:line="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Inventory-related impact - exit of certain production print manufacturing operations</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Goodwill impairment</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(Gain) on early extinguishment of debt</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Transformation-related costs</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Lexmark - settlement of pre-existing employment agreements</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Lexmark - inventory-related purchase accounting adjustment</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Lexmark - fixed asset-related purchase accounting adjustment</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Deferred tax asset valuation allowance</w:t>
      </w:r>
    </w:p>
    <w:p>
      <w:pPr>
        <w:spacing w:after="0" w:line="9" w:lineRule="exact"/>
        <w:rPr>
          <w:rFonts w:ascii="Arial" w:cs="Arial" w:eastAsia="Arial" w:hAnsi="Arial"/>
          <w:sz w:val="18"/>
          <w:szCs w:val="18"/>
          <w:color w:val="DA2031"/>
        </w:rPr>
      </w:pPr>
    </w:p>
    <w:p>
      <w:pPr>
        <w:ind w:left="320" w:hanging="312"/>
        <w:spacing w:after="0"/>
        <w:tabs>
          <w:tab w:leader="none" w:pos="320" w:val="left"/>
        </w:tabs>
        <w:numPr>
          <w:ilvl w:val="0"/>
          <w:numId w:val="17"/>
        </w:numPr>
        <w:rPr>
          <w:rFonts w:ascii="Arial" w:cs="Arial" w:eastAsia="Arial" w:hAnsi="Arial"/>
          <w:sz w:val="18"/>
          <w:szCs w:val="18"/>
          <w:color w:val="DA2031"/>
        </w:rPr>
      </w:pPr>
      <w:r>
        <w:rPr>
          <w:rFonts w:ascii="Arial" w:cs="Arial" w:eastAsia="Arial" w:hAnsi="Arial"/>
          <w:sz w:val="18"/>
          <w:szCs w:val="18"/>
          <w:color w:val="auto"/>
        </w:rPr>
        <w:t>PARC Donation Income Tax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Operating Income and Margin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(loss) and margin amounts. In addition to the costs and expenses noted above as adjustments for our adjusted earnings measures, adjusted operating income and margin also exclude Non-financing interest expense and the remaining amounts included in Other expenses (income), net, which include certain other non-operating costs and expenses. We exclude these amounts in order to evaluate our current and past operating performance and to better understand the expected future trends in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Gross Profit and Margin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calculate non-GAAP gross Profit and Margin by excluding the inventory impact related to the exit of certain Production Print manufacturing operations, included in Cost of services, maintenance, rentals and other, as well as fixed asset-related purchase accounting adjustments related to the recent acquisition of Lexmark.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Constant Currency (CC)</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Free Cash Flow</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repurchase debt, fund acquisitions, and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DA2031"/>
        </w:rPr>
        <w:t>Adjusted Net Income and EPS reconciliation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2026</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2025</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amounts)</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08"/>
              <w:spacing w:after="0" w:line="151"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20"/>
              <w:spacing w:after="0" w:line="15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3"/>
                <w:szCs w:val="13"/>
                <w:color w:val="auto"/>
              </w:rPr>
            </w:pPr>
          </w:p>
        </w:tc>
        <w:tc>
          <w:tcPr>
            <w:tcW w:w="1040" w:type="dxa"/>
            <w:vAlign w:val="bottom"/>
          </w:tcPr>
          <w:p>
            <w:pPr>
              <w:jc w:val="right"/>
              <w:ind w:right="408"/>
              <w:spacing w:after="0" w:line="151"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68"/>
              <w:spacing w:after="0" w:line="151" w:lineRule="exact"/>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5E5E5"/>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(Loss) Income</w:t>
            </w:r>
          </w:p>
        </w:tc>
        <w:tc>
          <w:tcPr>
            <w:tcW w:w="8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E5E5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(Loss) Income</w:t>
            </w: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6360" w:type="dxa"/>
            <w:vAlign w:val="bottom"/>
            <w:gridSpan w:val="2"/>
            <w:shd w:val="clear" w:color="auto" w:fill="E5E5E5"/>
          </w:tcPr>
          <w:p>
            <w:pPr>
              <w:ind w:left="20"/>
              <w:spacing w:after="0" w:line="19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(1,015)</w:t>
            </w:r>
          </w:p>
        </w:tc>
        <w:tc>
          <w:tcPr>
            <w:tcW w:w="320" w:type="dxa"/>
            <w:vAlign w:val="bottom"/>
            <w:gridSpan w:val="2"/>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(760)</w:t>
            </w:r>
          </w:p>
        </w:tc>
        <w:tc>
          <w:tcPr>
            <w:tcW w:w="32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1"/>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Goodwill Impairment</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959</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Inventory-related impact - exit of certain production print manufacturing operations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 net</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(Gain) on early extinguishment of debt</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Non-service retirement-related costs</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Transformation-related costs</w:t>
            </w:r>
            <w:r>
              <w:rPr>
                <w:rFonts w:ascii="Arial" w:cs="Arial" w:eastAsia="Arial" w:hAnsi="Arial"/>
                <w:sz w:val="18"/>
                <w:szCs w:val="18"/>
                <w:color w:val="auto"/>
                <w:vertAlign w:val="superscript"/>
              </w:rPr>
              <w:t>(2)</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Transaction and related costs, net</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Lexmark - settlement of pre-existing employment agreements</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Lexmark - inventory-related purchase accounting adjustment</w:t>
            </w:r>
            <w:r>
              <w:rPr>
                <w:rFonts w:ascii="Arial" w:cs="Arial" w:eastAsia="Arial" w:hAnsi="Arial"/>
                <w:sz w:val="18"/>
                <w:szCs w:val="18"/>
                <w:color w:val="auto"/>
                <w:vertAlign w:val="superscript"/>
              </w:rPr>
              <w:t>(3)</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Lexmark - fixed asset-related purchase accounting adjustment</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Deferred tax asset valuation allowance</w:t>
            </w:r>
            <w:r>
              <w:rPr>
                <w:rFonts w:ascii="Arial" w:cs="Arial" w:eastAsia="Arial" w:hAnsi="Arial"/>
                <w:sz w:val="18"/>
                <w:szCs w:val="18"/>
                <w:color w:val="auto"/>
                <w:vertAlign w:val="superscript"/>
              </w:rPr>
              <w:t>(4)</w:t>
            </w:r>
          </w:p>
        </w:tc>
        <w:tc>
          <w:tcPr>
            <w:tcW w:w="1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PARC Donation Income Tax</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E5E5E5"/>
            </w:tcBorders>
            <w:gridSpan w:val="2"/>
          </w:tcPr>
          <w:p>
            <w:pPr>
              <w:ind w:left="20"/>
              <w:spacing w:after="0" w:line="202" w:lineRule="exact"/>
              <w:rPr>
                <w:sz w:val="20"/>
                <w:szCs w:val="20"/>
                <w:color w:val="auto"/>
              </w:rPr>
            </w:pPr>
            <w:r>
              <w:rPr>
                <w:rFonts w:ascii="Arial" w:cs="Arial" w:eastAsia="Arial" w:hAnsi="Arial"/>
                <w:sz w:val="14"/>
                <w:szCs w:val="14"/>
                <w:color w:val="auto"/>
              </w:rPr>
              <w:t>Income tax on adjustments</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E5E5E5"/>
            </w:tcBorders>
          </w:tcPr>
          <w:p>
            <w:pPr>
              <w:spacing w:after="0"/>
              <w:rPr>
                <w:sz w:val="17"/>
                <w:szCs w:val="17"/>
                <w:color w:val="auto"/>
              </w:rPr>
            </w:pPr>
          </w:p>
        </w:tc>
        <w:tc>
          <w:tcPr>
            <w:tcW w:w="240" w:type="dxa"/>
            <w:vAlign w:val="bottom"/>
            <w:tcBorders>
              <w:bottom w:val="single" w:sz="8" w:color="E5E5E5"/>
            </w:tcBorders>
          </w:tcPr>
          <w:p>
            <w:pPr>
              <w:spacing w:after="0"/>
              <w:rPr>
                <w:sz w:val="17"/>
                <w:szCs w:val="17"/>
                <w:color w:val="auto"/>
              </w:rPr>
            </w:pPr>
          </w:p>
        </w:tc>
        <w:tc>
          <w:tcPr>
            <w:tcW w:w="920" w:type="dxa"/>
            <w:vAlign w:val="bottom"/>
            <w:tcBorders>
              <w:bottom w:val="single" w:sz="8" w:color="E5E5E5"/>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5E5E5"/>
            </w:tcBorders>
          </w:tcPr>
          <w:p>
            <w:pPr>
              <w:spacing w:after="0"/>
              <w:rPr>
                <w:sz w:val="17"/>
                <w:szCs w:val="17"/>
                <w:color w:val="auto"/>
              </w:rPr>
            </w:pPr>
          </w:p>
        </w:tc>
        <w:tc>
          <w:tcPr>
            <w:tcW w:w="220" w:type="dxa"/>
            <w:vAlign w:val="bottom"/>
            <w:tcBorders>
              <w:bottom w:val="single" w:sz="8" w:color="E5E5E5"/>
            </w:tcBorders>
          </w:tcPr>
          <w:p>
            <w:pPr>
              <w:spacing w:after="0"/>
              <w:rPr>
                <w:sz w:val="17"/>
                <w:szCs w:val="17"/>
                <w:color w:val="auto"/>
              </w:rPr>
            </w:pPr>
          </w:p>
        </w:tc>
        <w:tc>
          <w:tcPr>
            <w:tcW w:w="920" w:type="dxa"/>
            <w:vAlign w:val="bottom"/>
            <w:tcBorders>
              <w:bottom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E5E5E5"/>
            </w:tcBorders>
            <w:gridSpan w:val="2"/>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32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628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gridSpan w:val="2"/>
            <w:shd w:val="clear" w:color="auto" w:fill="E5E5E5"/>
          </w:tcPr>
          <w:p>
            <w:pPr>
              <w:ind w:left="20"/>
              <w:spacing w:after="0" w:line="202" w:lineRule="exact"/>
              <w:rPr>
                <w:sz w:val="20"/>
                <w:szCs w:val="20"/>
                <w:color w:val="auto"/>
              </w:rPr>
            </w:pPr>
            <w:r>
              <w:rPr>
                <w:rFonts w:ascii="Arial" w:cs="Arial" w:eastAsia="Arial" w:hAnsi="Arial"/>
                <w:sz w:val="14"/>
                <w:szCs w:val="14"/>
                <w:color w:val="auto"/>
              </w:rPr>
              <w:t xml:space="preserve">Tax effects associated with U.S. and U.K. losses </w:t>
            </w:r>
            <w:r>
              <w:rPr>
                <w:rFonts w:ascii="Arial" w:cs="Arial" w:eastAsia="Arial" w:hAnsi="Arial"/>
                <w:sz w:val="18"/>
                <w:szCs w:val="18"/>
                <w:color w:val="auto"/>
                <w:vertAlign w:val="superscript"/>
              </w:rPr>
              <w:t>(5)</w:t>
            </w:r>
          </w:p>
        </w:tc>
        <w:tc>
          <w:tcPr>
            <w:tcW w:w="120" w:type="dxa"/>
            <w:vAlign w:val="bottom"/>
            <w:tcBorders>
              <w:bottom w:val="single" w:sz="8" w:color="auto"/>
            </w:tcBorders>
            <w:shd w:val="clear" w:color="auto" w:fill="E5E5E5"/>
          </w:tcPr>
          <w:p>
            <w:pPr>
              <w:spacing w:after="0"/>
              <w:rPr>
                <w:sz w:val="17"/>
                <w:szCs w:val="17"/>
                <w:color w:val="auto"/>
              </w:rPr>
            </w:pPr>
          </w:p>
        </w:tc>
        <w:tc>
          <w:tcPr>
            <w:tcW w:w="10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Normalized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6280" w:type="dxa"/>
            <w:vAlign w:val="bottom"/>
            <w:tcBorders>
              <w:bottom w:val="single" w:sz="8" w:color="E5E5E5"/>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E5E5E5"/>
            </w:tcBorders>
          </w:tcPr>
          <w:p>
            <w:pPr>
              <w:spacing w:after="0" w:line="20" w:lineRule="exact"/>
              <w:rPr>
                <w:sz w:val="1"/>
                <w:szCs w:val="1"/>
                <w:color w:val="auto"/>
              </w:rPr>
            </w:pPr>
          </w:p>
        </w:tc>
        <w:tc>
          <w:tcPr>
            <w:tcW w:w="9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E5E5E5"/>
            </w:tcBorders>
          </w:tcPr>
          <w:p>
            <w:pPr>
              <w:spacing w:after="0" w:line="20" w:lineRule="exact"/>
              <w:rPr>
                <w:sz w:val="1"/>
                <w:szCs w:val="1"/>
                <w:color w:val="auto"/>
              </w:rPr>
            </w:pPr>
          </w:p>
        </w:tc>
        <w:tc>
          <w:tcPr>
            <w:tcW w:w="92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8"/>
                <w:szCs w:val="18"/>
                <w:color w:val="auto"/>
                <w:vertAlign w:val="superscript"/>
              </w:rPr>
              <w:t>(6)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62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8"/>
                <w:szCs w:val="18"/>
                <w:color w:val="auto"/>
                <w:vertAlign w:val="superscript"/>
              </w:rPr>
              <w:t>(6)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3"/>
        </w:trPr>
        <w:tc>
          <w:tcPr>
            <w:tcW w:w="6360" w:type="dxa"/>
            <w:vAlign w:val="bottom"/>
            <w:gridSpan w:val="2"/>
            <w:shd w:val="clear" w:color="auto" w:fill="E5E5E5"/>
          </w:tcPr>
          <w:p>
            <w:pPr>
              <w:ind w:left="20"/>
              <w:spacing w:after="0" w:line="202" w:lineRule="exact"/>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8"/>
                <w:szCs w:val="18"/>
                <w:color w:val="auto"/>
                <w:vertAlign w:val="superscript"/>
              </w:rPr>
              <w:t>(7)</w:t>
            </w:r>
          </w:p>
        </w:tc>
        <w:tc>
          <w:tcPr>
            <w:tcW w:w="1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13" w:lineRule="exact"/>
        <w:rPr>
          <w:sz w:val="20"/>
          <w:szCs w:val="20"/>
          <w:color w:val="auto"/>
        </w:rPr>
      </w:pPr>
    </w:p>
    <w:p>
      <w:pPr>
        <w:jc w:val="both"/>
        <w:ind w:left="340" w:hanging="332"/>
        <w:spacing w:after="0" w:line="256"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Net (Loss) and (Loss) per Share. Third quarter 2026 Net (Loss) and Diluted (Loss) per share included a pre-tax non-cash Goodwill impairment charge of $959 million ($955 million after-tax), or $6.87 per diluted share. Third quarter 2025 Net (Loss) and Diluted (Loss) per Share include an inventory-related purchase accounting adjustment, related to the recent acquisition of Lexmark, of $85 million ($102 million pre-tax) or $0.67 per diluted share. In addition, third quarter 2025 includes a tax expense charge of $467 million, or $3.68 per diluted share, related to the establishment of a valuation allowance against certain deferred tax assets to reflect their realizability.</w:t>
      </w:r>
    </w:p>
    <w:p>
      <w:pPr>
        <w:spacing w:after="0" w:line="1" w:lineRule="exact"/>
        <w:rPr>
          <w:rFonts w:ascii="Arial" w:cs="Arial" w:eastAsia="Arial" w:hAnsi="Arial"/>
          <w:sz w:val="14"/>
          <w:szCs w:val="14"/>
          <w:i w:val="1"/>
          <w:iCs w:val="1"/>
          <w:color w:val="auto"/>
        </w:rPr>
      </w:pPr>
    </w:p>
    <w:p>
      <w:pPr>
        <w:ind w:left="340" w:hanging="332"/>
        <w:spacing w:after="0" w:line="261"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first quarter of 2026, Xerox Holdings Corporation renamed “Reinvention-related costs” to “Transformation-related costs.” This change in terminology did not affect the nature of the costs.</w:t>
      </w:r>
    </w:p>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 purchase accounting adjustment related to the recent acquisition of Lexmark, for cost associated with a net inventory write up.</w:t>
      </w:r>
    </w:p>
    <w:p>
      <w:pPr>
        <w:spacing w:after="0" w:line="14" w:lineRule="exact"/>
        <w:rPr>
          <w:rFonts w:ascii="Arial" w:cs="Arial" w:eastAsia="Arial" w:hAnsi="Arial"/>
          <w:sz w:val="14"/>
          <w:szCs w:val="14"/>
          <w:i w:val="1"/>
          <w:iCs w:val="1"/>
          <w:color w:val="auto"/>
        </w:rPr>
      </w:pPr>
    </w:p>
    <w:p>
      <w:pPr>
        <w:ind w:left="360" w:hanging="352"/>
        <w:spacing w:after="0"/>
        <w:tabs>
          <w:tab w:leader="none" w:pos="3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Adjusted Effective Tax Rate reconciliation.</w:t>
      </w:r>
    </w:p>
    <w:p>
      <w:pPr>
        <w:spacing w:after="0" w:line="14" w:lineRule="exact"/>
        <w:rPr>
          <w:rFonts w:ascii="Arial" w:cs="Arial" w:eastAsia="Arial" w:hAnsi="Arial"/>
          <w:sz w:val="14"/>
          <w:szCs w:val="14"/>
          <w:i w:val="1"/>
          <w:iCs w:val="1"/>
          <w:color w:val="auto"/>
        </w:rPr>
      </w:pPr>
    </w:p>
    <w:p>
      <w:pPr>
        <w:ind w:left="340" w:hanging="332"/>
        <w:spacing w:after="0" w:line="251"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Normalized adjusted net income includes tax benefit (expense) of $6 million and $(46) million, for the third quarter 2026 and 2025, respectively, which are not included in adjusted earnings. This represents the tax effects associated with pre-tax (losses) generated in U.S. and UK entities subject to full valuation allowances.</w:t>
      </w:r>
    </w:p>
    <w:p>
      <w:pPr>
        <w:ind w:left="340" w:right="20" w:hanging="332"/>
        <w:spacing w:after="0" w:line="261"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those periods that include the preferred stock dividend, the average shares for the calculations of diluted EPS exclude the 7 million shares associated with our Series A convertible preferred stock.</w:t>
      </w:r>
    </w:p>
    <w:p>
      <w:pPr>
        <w:jc w:val="both"/>
        <w:ind w:left="340" w:hanging="332"/>
        <w:spacing w:after="0" w:line="262"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Reflects common shares outstanding on September 30, 2026 and shares granted under stock-based compensation programs, plus potential dilutive common shares used for the calculation of adjusted diluted EPS for the third quarter </w:t>
      </w:r>
      <w:r>
        <w:rPr>
          <w:rFonts w:ascii="Arial" w:cs="Arial" w:eastAsia="Arial" w:hAnsi="Arial"/>
          <w:sz w:val="14"/>
          <w:szCs w:val="14"/>
          <w:color w:val="auto"/>
        </w:rPr>
        <w:t>2026</w:t>
      </w:r>
      <w:r>
        <w:rPr>
          <w:rFonts w:ascii="Arial" w:cs="Arial" w:eastAsia="Arial" w:hAnsi="Arial"/>
          <w:sz w:val="14"/>
          <w:szCs w:val="14"/>
          <w:i w:val="1"/>
          <w:iCs w:val="1"/>
          <w:color w:val="auto"/>
        </w:rPr>
        <w:t>. Excludes potentially dilutive common shares associated with our Series A convertible preferred stock, warrants and convertible notes, all of which were anti-dilutive for the third quarter 2026.</w:t>
      </w: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6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DA2031"/>
        </w:rPr>
        <w:t>Adjusted Effective Tax Rate reconciliation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color w:val="auto"/>
              </w:rPr>
              <w:t>Pre-Tax (Loss)</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Income Tax</w:t>
            </w:r>
          </w:p>
        </w:tc>
        <w:tc>
          <w:tcPr>
            <w:tcW w:w="12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Effective Tax</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8"/>
              <w:spacing w:after="0" w:line="151" w:lineRule="exact"/>
              <w:rPr>
                <w:sz w:val="20"/>
                <w:szCs w:val="20"/>
                <w:color w:val="auto"/>
              </w:rPr>
            </w:pPr>
            <w:r>
              <w:rPr>
                <w:rFonts w:ascii="Arial" w:cs="Arial" w:eastAsia="Arial" w:hAnsi="Arial"/>
                <w:sz w:val="14"/>
                <w:szCs w:val="14"/>
                <w:color w:val="auto"/>
              </w:rPr>
              <w:t>Income Tax</w:t>
            </w:r>
          </w:p>
        </w:tc>
        <w:tc>
          <w:tcPr>
            <w:tcW w:w="100" w:type="dxa"/>
            <w:vAlign w:val="bottom"/>
          </w:tcPr>
          <w:p>
            <w:pPr>
              <w:spacing w:after="0"/>
              <w:rPr>
                <w:sz w:val="13"/>
                <w:szCs w:val="13"/>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Pre-Tax (Loss)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8"/>
              <w:spacing w:after="0" w:line="145" w:lineRule="exact"/>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Income</w:t>
            </w:r>
          </w:p>
        </w:tc>
        <w:tc>
          <w:tcPr>
            <w:tcW w:w="12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DBDBDB"/>
            </w:tcBorders>
          </w:tcPr>
          <w:p>
            <w:pPr>
              <w:spacing w:after="0"/>
              <w:rPr>
                <w:sz w:val="16"/>
                <w:szCs w:val="16"/>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(Benefit)</w:t>
            </w:r>
          </w:p>
        </w:tc>
        <w:tc>
          <w:tcPr>
            <w:tcW w:w="100" w:type="dxa"/>
            <w:vAlign w:val="bottom"/>
            <w:tcBorders>
              <w:bottom w:val="single" w:sz="8" w:color="DBDBDB"/>
            </w:tcBorders>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DBDBDB"/>
          </w:tcPr>
          <w:p>
            <w:pPr>
              <w:ind w:left="20"/>
              <w:spacing w:after="0" w:line="19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460</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98"/>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Goodwill impairment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Income tax on PARC donation</w:t>
            </w:r>
            <w:r>
              <w:rPr>
                <w:rFonts w:ascii="Arial" w:cs="Arial" w:eastAsia="Arial" w:hAnsi="Arial"/>
                <w:sz w:val="18"/>
                <w:szCs w:val="18"/>
                <w:color w:val="auto"/>
                <w:vertAlign w:val="superscript"/>
              </w:rPr>
              <w:t>(2)</w:t>
            </w:r>
          </w:p>
        </w:tc>
        <w:tc>
          <w:tcPr>
            <w:tcW w:w="18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Deferred tax asset valuation allowance</w:t>
            </w: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8"/>
                <w:szCs w:val="18"/>
                <w:color w:val="auto"/>
                <w:vertAlign w:val="superscript"/>
              </w:rPr>
              <w:t>(2)</w:t>
            </w:r>
          </w:p>
        </w:tc>
        <w:tc>
          <w:tcPr>
            <w:tcW w:w="1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69.6 %</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235.0 %</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w:t>
      </w:r>
    </w:p>
    <w:p>
      <w:pPr>
        <w:spacing w:after="0" w:line="5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Pre-tax (loss) and income tax expense.</w:t>
      </w:r>
    </w:p>
    <w:p>
      <w:pPr>
        <w:spacing w:after="0" w:line="26" w:lineRule="exact"/>
        <w:rPr>
          <w:rFonts w:ascii="Arial" w:cs="Arial" w:eastAsia="Arial" w:hAnsi="Arial"/>
          <w:sz w:val="14"/>
          <w:szCs w:val="14"/>
          <w:i w:val="1"/>
          <w:iCs w:val="1"/>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Adjusted Net Income and EPS reconciliation for details.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Operating Income and Margin reconciliation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24"/>
                <w:szCs w:val="2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24"/>
                <w:szCs w:val="24"/>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color w:val="auto"/>
              </w:rPr>
              <w:t>Margin</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24"/>
                <w:szCs w:val="2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24"/>
                <w:szCs w:val="24"/>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gridSpan w:val="2"/>
            <w:shd w:val="clear" w:color="auto" w:fill="DBDBDB"/>
          </w:tcPr>
          <w:p>
            <w:pPr>
              <w:ind w:left="20"/>
              <w:spacing w:after="0" w:line="19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1,961</w:t>
            </w: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Pre-tax (loss) and Revenue</w:t>
            </w: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1,868</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1,961</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bottom w:val="single" w:sz="8" w:color="DBDBDB"/>
            </w:tcBorders>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Goodwill Impairment</w:t>
            </w: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Inventory-related impact - exit of certain production print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manufacturing operations</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Lexmark - inventory-related purchase accounting adjustment</w:t>
            </w:r>
          </w:p>
        </w:tc>
        <w:tc>
          <w:tcPr>
            <w:tcW w:w="20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Lexmark - fixed asset-related purchase accounting</w:t>
            </w: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adjustment</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Restructuring and related costs, net</w:t>
            </w: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Transformation-related costs</w:t>
            </w:r>
            <w:r>
              <w:rPr>
                <w:rFonts w:ascii="Arial" w:cs="Arial" w:eastAsia="Arial" w:hAnsi="Arial"/>
                <w:sz w:val="18"/>
                <w:szCs w:val="18"/>
                <w:color w:val="auto"/>
                <w:vertAlign w:val="superscript"/>
              </w:rPr>
              <w:t>(2)</w:t>
            </w: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Transaction and related costs, net</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Non-financing interest expense</w:t>
            </w:r>
            <w:r>
              <w:rPr>
                <w:rFonts w:ascii="Arial" w:cs="Arial" w:eastAsia="Arial" w:hAnsi="Arial"/>
                <w:sz w:val="18"/>
                <w:szCs w:val="18"/>
                <w:color w:val="auto"/>
                <w:vertAlign w:val="superscript"/>
              </w:rPr>
              <w:t>(3)</w:t>
            </w: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Other expenses, net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Adjusted</w:t>
            </w: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1,868</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1,961</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Net (Loss) and Revenue.</w:t>
      </w:r>
    </w:p>
    <w:p>
      <w:pPr>
        <w:ind w:left="340" w:hanging="332"/>
        <w:spacing w:after="0" w:line="241" w:lineRule="auto"/>
        <w:tabs>
          <w:tab w:leader="none" w:pos="327"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 the first quarter of 2026, Xerox Holdings Corporation renamed “Reinvention-related costs” to “Transformation-related costs.” This change in terminology did not affect the nature of the costs.</w:t>
      </w: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interest expense primarily related to the funding from the Joint Venture Financing arrangement entered into with TPG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3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DA2031"/>
        </w:rPr>
        <w:t>Adjusted Gross Profit and Margin</w:t>
      </w:r>
    </w:p>
    <w:p>
      <w:pPr>
        <w:spacing w:after="0" w:line="329"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Three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5E5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2025</w:t>
            </w:r>
          </w:p>
        </w:tc>
        <w:tc>
          <w:tcPr>
            <w:tcW w:w="620" w:type="dxa"/>
            <w:vAlign w:val="bottom"/>
            <w:tcBorders>
              <w:top w:val="single" w:sz="8" w:color="auto"/>
              <w:bottom w:val="single" w:sz="8" w:color="auto"/>
            </w:tcBorders>
          </w:tcPr>
          <w:p>
            <w:pPr>
              <w:spacing w:after="0"/>
              <w:rPr>
                <w:sz w:val="17"/>
                <w:szCs w:val="17"/>
                <w:color w:val="auto"/>
              </w:rPr>
            </w:pPr>
          </w:p>
        </w:tc>
      </w:tr>
      <w:tr>
        <w:trPr>
          <w:trHeight w:val="200"/>
        </w:trPr>
        <w:tc>
          <w:tcPr>
            <w:tcW w:w="7060" w:type="dxa"/>
            <w:vAlign w:val="bottom"/>
            <w:gridSpan w:val="2"/>
            <w:shd w:val="clear" w:color="auto" w:fill="E5E5E5"/>
          </w:tcPr>
          <w:p>
            <w:pPr>
              <w:ind w:left="20"/>
              <w:spacing w:after="0" w:line="200" w:lineRule="exact"/>
              <w:rPr>
                <w:sz w:val="20"/>
                <w:szCs w:val="20"/>
                <w:color w:val="auto"/>
              </w:rPr>
            </w:pPr>
            <w:r>
              <w:rPr>
                <w:rFonts w:ascii="Arial" w:cs="Arial" w:eastAsia="Arial" w:hAnsi="Arial"/>
                <w:sz w:val="14"/>
                <w:szCs w:val="14"/>
                <w:b w:val="1"/>
                <w:bCs w:val="1"/>
                <w:color w:val="auto"/>
              </w:rPr>
              <w:t>Revenue</w:t>
            </w:r>
            <w:r>
              <w:rPr>
                <w:rFonts w:ascii="Arial" w:cs="Arial" w:eastAsia="Arial" w:hAnsi="Arial"/>
                <w:sz w:val="18"/>
                <w:szCs w:val="18"/>
                <w:b w:val="1"/>
                <w:bCs w:val="1"/>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1,868</w:t>
            </w:r>
          </w:p>
        </w:tc>
        <w:tc>
          <w:tcPr>
            <w:tcW w:w="30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1,961</w:t>
            </w: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r>
      <w:tr>
        <w:trPr>
          <w:trHeight w:val="203"/>
        </w:trPr>
        <w:tc>
          <w:tcPr>
            <w:tcW w:w="7060" w:type="dxa"/>
            <w:vAlign w:val="bottom"/>
            <w:tcBorders>
              <w:bottom w:val="single" w:sz="8" w:color="E5E5E5"/>
            </w:tcBorders>
            <w:gridSpan w:val="2"/>
          </w:tcPr>
          <w:p>
            <w:pPr>
              <w:ind w:left="20"/>
              <w:spacing w:after="0" w:line="202" w:lineRule="exact"/>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300" w:type="dxa"/>
            <w:vAlign w:val="bottom"/>
            <w:tcBorders>
              <w:bottom w:val="single" w:sz="8" w:color="E5E5E5"/>
            </w:tcBorders>
          </w:tcPr>
          <w:p>
            <w:pPr>
              <w:spacing w:after="0"/>
              <w:rPr>
                <w:sz w:val="17"/>
                <w:szCs w:val="17"/>
                <w:color w:val="auto"/>
              </w:rPr>
            </w:pPr>
          </w:p>
        </w:tc>
        <w:tc>
          <w:tcPr>
            <w:tcW w:w="620" w:type="dxa"/>
            <w:vAlign w:val="bottom"/>
            <w:tcBorders>
              <w:bottom w:val="single" w:sz="8" w:color="E5E5E5"/>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320" w:type="dxa"/>
            <w:vAlign w:val="bottom"/>
            <w:tcBorders>
              <w:bottom w:val="single" w:sz="8" w:color="E5E5E5"/>
            </w:tcBorders>
          </w:tcPr>
          <w:p>
            <w:pPr>
              <w:spacing w:after="0"/>
              <w:rPr>
                <w:sz w:val="17"/>
                <w:szCs w:val="17"/>
                <w:color w:val="auto"/>
              </w:rPr>
            </w:pPr>
          </w:p>
        </w:tc>
        <w:tc>
          <w:tcPr>
            <w:tcW w:w="620" w:type="dxa"/>
            <w:vAlign w:val="bottom"/>
            <w:tcBorders>
              <w:bottom w:val="single" w:sz="8" w:color="E5E5E5"/>
            </w:tcBorders>
          </w:tcPr>
          <w:p>
            <w:pPr>
              <w:spacing w:after="0"/>
              <w:rPr>
                <w:sz w:val="17"/>
                <w:szCs w:val="17"/>
                <w:color w:val="auto"/>
              </w:rPr>
            </w:pPr>
          </w:p>
        </w:tc>
      </w:tr>
      <w:tr>
        <w:trPr>
          <w:trHeight w:val="221"/>
        </w:trPr>
        <w:tc>
          <w:tcPr>
            <w:tcW w:w="70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Gross Profit and Margin</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545</w:t>
            </w:r>
          </w:p>
        </w:tc>
        <w:tc>
          <w:tcPr>
            <w:tcW w:w="300" w:type="dxa"/>
            <w:vAlign w:val="bottom"/>
            <w:tcBorders>
              <w:bottom w:val="single" w:sz="8" w:color="E5E5E5"/>
            </w:tcBorders>
            <w:shd w:val="clear" w:color="auto" w:fill="E5E5E5"/>
          </w:tcPr>
          <w:p>
            <w:pPr>
              <w:spacing w:after="0"/>
              <w:rPr>
                <w:sz w:val="18"/>
                <w:szCs w:val="18"/>
                <w:color w:val="auto"/>
              </w:rPr>
            </w:pPr>
          </w:p>
        </w:tc>
        <w:tc>
          <w:tcPr>
            <w:tcW w:w="6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29.2 %</w:t>
            </w:r>
          </w:p>
        </w:tc>
        <w:tc>
          <w:tcPr>
            <w:tcW w:w="100" w:type="dxa"/>
            <w:vAlign w:val="bottom"/>
            <w:tcBorders>
              <w:bottom w:val="single" w:sz="8" w:color="E5E5E5"/>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445</w:t>
            </w:r>
          </w:p>
        </w:tc>
        <w:tc>
          <w:tcPr>
            <w:tcW w:w="320" w:type="dxa"/>
            <w:vAlign w:val="bottom"/>
            <w:tcBorders>
              <w:bottom w:val="single" w:sz="8" w:color="E5E5E5"/>
            </w:tcBorders>
            <w:shd w:val="clear" w:color="auto" w:fill="E5E5E5"/>
          </w:tcPr>
          <w:p>
            <w:pPr>
              <w:spacing w:after="0"/>
              <w:rPr>
                <w:sz w:val="18"/>
                <w:szCs w:val="18"/>
                <w:color w:val="auto"/>
              </w:rPr>
            </w:pPr>
          </w:p>
        </w:tc>
        <w:tc>
          <w:tcPr>
            <w:tcW w:w="6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22.7 %</w:t>
            </w:r>
          </w:p>
        </w:tc>
      </w:tr>
      <w:tr>
        <w:trPr>
          <w:trHeight w:val="20"/>
        </w:trPr>
        <w:tc>
          <w:tcPr>
            <w:tcW w:w="69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300" w:type="dxa"/>
            <w:vAlign w:val="bottom"/>
            <w:tcBorders>
              <w:top w:val="single" w:sz="8" w:color="E5E5E5"/>
            </w:tcBorders>
          </w:tcPr>
          <w:p>
            <w:pPr>
              <w:spacing w:after="0" w:line="20" w:lineRule="exact"/>
              <w:rPr>
                <w:sz w:val="1"/>
                <w:szCs w:val="1"/>
                <w:color w:val="auto"/>
              </w:rPr>
            </w:pPr>
          </w:p>
        </w:tc>
        <w:tc>
          <w:tcPr>
            <w:tcW w:w="6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320" w:type="dxa"/>
            <w:vAlign w:val="bottom"/>
            <w:tcBorders>
              <w:top w:val="single" w:sz="8" w:color="E5E5E5"/>
            </w:tcBorders>
          </w:tcPr>
          <w:p>
            <w:pPr>
              <w:spacing w:after="0" w:line="20" w:lineRule="exact"/>
              <w:rPr>
                <w:sz w:val="1"/>
                <w:szCs w:val="1"/>
                <w:color w:val="auto"/>
              </w:rPr>
            </w:pPr>
          </w:p>
        </w:tc>
        <w:tc>
          <w:tcPr>
            <w:tcW w:w="620" w:type="dxa"/>
            <w:vAlign w:val="bottom"/>
            <w:tcBorders>
              <w:top w:val="single" w:sz="8" w:color="E5E5E5"/>
            </w:tcBorders>
          </w:tcPr>
          <w:p>
            <w:pPr>
              <w:spacing w:after="0" w:line="20" w:lineRule="exact"/>
              <w:rPr>
                <w:sz w:val="1"/>
                <w:szCs w:val="1"/>
                <w:color w:val="auto"/>
              </w:rPr>
            </w:pPr>
          </w:p>
        </w:tc>
      </w:tr>
      <w:tr>
        <w:trPr>
          <w:trHeight w:val="163"/>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3"/>
        </w:trPr>
        <w:tc>
          <w:tcPr>
            <w:tcW w:w="70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Adjustment</w:t>
            </w: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Inventory impact related to the exit of certain Production Print manufacturing operations</w:t>
            </w:r>
          </w:p>
        </w:tc>
        <w:tc>
          <w:tcPr>
            <w:tcW w:w="28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7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Lexmark - inventory-related purchase accounting adjustment</w:t>
            </w:r>
            <w:r>
              <w:rPr>
                <w:rFonts w:ascii="Arial" w:cs="Arial" w:eastAsia="Arial" w:hAnsi="Arial"/>
                <w:sz w:val="18"/>
                <w:szCs w:val="18"/>
                <w:color w:val="auto"/>
                <w:vertAlign w:val="superscript"/>
              </w:rPr>
              <w:t>(2)</w:t>
            </w:r>
          </w:p>
        </w:tc>
        <w:tc>
          <w:tcPr>
            <w:tcW w:w="2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102</w:t>
            </w: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r>
      <w:tr>
        <w:trPr>
          <w:trHeight w:val="198"/>
        </w:trPr>
        <w:tc>
          <w:tcPr>
            <w:tcW w:w="706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Lexmark - fixed asset-related purchase accounting adjustment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E5E5E5"/>
            </w:tcBorders>
          </w:tcPr>
          <w:p>
            <w:pPr>
              <w:spacing w:after="0"/>
              <w:rPr>
                <w:sz w:val="17"/>
                <w:szCs w:val="17"/>
                <w:color w:val="auto"/>
              </w:rPr>
            </w:pPr>
          </w:p>
        </w:tc>
        <w:tc>
          <w:tcPr>
            <w:tcW w:w="620" w:type="dxa"/>
            <w:vAlign w:val="bottom"/>
            <w:tcBorders>
              <w:bottom w:val="single" w:sz="8" w:color="E5E5E5"/>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E5E5E5"/>
            </w:tcBorders>
          </w:tcPr>
          <w:p>
            <w:pPr>
              <w:spacing w:after="0"/>
              <w:rPr>
                <w:sz w:val="17"/>
                <w:szCs w:val="17"/>
                <w:color w:val="auto"/>
              </w:rPr>
            </w:pPr>
          </w:p>
        </w:tc>
        <w:tc>
          <w:tcPr>
            <w:tcW w:w="620" w:type="dxa"/>
            <w:vAlign w:val="bottom"/>
            <w:tcBorders>
              <w:bottom w:val="single" w:sz="8" w:color="E5E5E5"/>
            </w:tcBorders>
          </w:tcPr>
          <w:p>
            <w:pPr>
              <w:spacing w:after="0"/>
              <w:rPr>
                <w:sz w:val="17"/>
                <w:szCs w:val="17"/>
                <w:color w:val="auto"/>
              </w:rPr>
            </w:pPr>
          </w:p>
        </w:tc>
      </w:tr>
      <w:tr>
        <w:trPr>
          <w:trHeight w:val="220"/>
        </w:trPr>
        <w:tc>
          <w:tcPr>
            <w:tcW w:w="70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 Gross Profit and Margin</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551</w:t>
            </w:r>
          </w:p>
        </w:tc>
        <w:tc>
          <w:tcPr>
            <w:tcW w:w="300" w:type="dxa"/>
            <w:vAlign w:val="bottom"/>
            <w:shd w:val="clear" w:color="auto" w:fill="E5E5E5"/>
          </w:tcPr>
          <w:p>
            <w:pPr>
              <w:spacing w:after="0"/>
              <w:rPr>
                <w:sz w:val="19"/>
                <w:szCs w:val="19"/>
                <w:color w:val="auto"/>
              </w:rPr>
            </w:pPr>
          </w:p>
        </w:tc>
        <w:tc>
          <w:tcPr>
            <w:tcW w:w="1000" w:type="dxa"/>
            <w:vAlign w:val="bottom"/>
            <w:gridSpan w:val="3"/>
            <w:shd w:val="clear" w:color="auto" w:fill="E5E5E5"/>
          </w:tcPr>
          <w:p>
            <w:pPr>
              <w:jc w:val="right"/>
              <w:ind w:right="180"/>
              <w:spacing w:after="0" w:line="200" w:lineRule="exact"/>
              <w:rPr>
                <w:sz w:val="20"/>
                <w:szCs w:val="20"/>
                <w:color w:val="auto"/>
              </w:rPr>
            </w:pPr>
            <w:r>
              <w:rPr>
                <w:rFonts w:ascii="Arial" w:cs="Arial" w:eastAsia="Arial" w:hAnsi="Arial"/>
                <w:sz w:val="13"/>
                <w:szCs w:val="13"/>
                <w:color w:val="auto"/>
              </w:rPr>
              <w:t xml:space="preserve">29.5 %  </w:t>
            </w:r>
            <w:r>
              <w:rPr>
                <w:rFonts w:ascii="Arial" w:cs="Arial" w:eastAsia="Arial" w:hAnsi="Arial"/>
                <w:sz w:val="23"/>
                <w:szCs w:val="23"/>
                <w:color w:val="auto"/>
                <w:vertAlign w:val="superscript"/>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566</w:t>
            </w:r>
          </w:p>
        </w:tc>
        <w:tc>
          <w:tcPr>
            <w:tcW w:w="320" w:type="dxa"/>
            <w:vAlign w:val="bottom"/>
            <w:shd w:val="clear" w:color="auto" w:fill="E5E5E5"/>
          </w:tcPr>
          <w:p>
            <w:pPr>
              <w:spacing w:after="0"/>
              <w:rPr>
                <w:sz w:val="19"/>
                <w:szCs w:val="19"/>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28.9 %</w:t>
            </w:r>
          </w:p>
        </w:tc>
      </w:tr>
      <w:tr>
        <w:trPr>
          <w:trHeight w:val="20"/>
        </w:trPr>
        <w:tc>
          <w:tcPr>
            <w:tcW w:w="69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E5E5"/>
            </w:tcBorders>
          </w:tcPr>
          <w:p>
            <w:pPr>
              <w:spacing w:after="0" w:line="20" w:lineRule="exact"/>
              <w:rPr>
                <w:sz w:val="1"/>
                <w:szCs w:val="1"/>
                <w:color w:val="auto"/>
              </w:rPr>
            </w:pPr>
          </w:p>
        </w:tc>
        <w:tc>
          <w:tcPr>
            <w:tcW w:w="6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E5E5"/>
            </w:tcBorders>
          </w:tcPr>
          <w:p>
            <w:pPr>
              <w:spacing w:after="0" w:line="20" w:lineRule="exact"/>
              <w:rPr>
                <w:sz w:val="1"/>
                <w:szCs w:val="1"/>
                <w:color w:val="auto"/>
              </w:rPr>
            </w:pPr>
          </w:p>
        </w:tc>
        <w:tc>
          <w:tcPr>
            <w:tcW w:w="620" w:type="dxa"/>
            <w:vAlign w:val="bottom"/>
            <w:tcBorders>
              <w:top w:val="single" w:sz="8" w:color="E5E5E5"/>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4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Total Revenues and cost of revenues</w:t>
      </w:r>
    </w:p>
    <w:p>
      <w:pPr>
        <w:spacing w:after="0" w:line="55" w:lineRule="exact"/>
        <w:rPr>
          <w:rFonts w:ascii="Arial" w:cs="Arial" w:eastAsia="Arial" w:hAnsi="Arial"/>
          <w:sz w:val="14"/>
          <w:szCs w:val="14"/>
          <w:i w:val="1"/>
          <w:iCs w:val="1"/>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 purchase accounting adjustment related to the recent acquisition of Lexmark, for cost associated with a net inventory write up.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Free Cash Flow reconciliation</w:t>
      </w:r>
    </w:p>
    <w:p>
      <w:pPr>
        <w:spacing w:after="0" w:line="329" w:lineRule="exact"/>
        <w:rPr>
          <w:sz w:val="20"/>
          <w:szCs w:val="20"/>
          <w:color w:val="auto"/>
        </w:rPr>
      </w:pPr>
    </w:p>
    <w:p>
      <w:pPr>
        <w:ind w:left="8280"/>
        <w:spacing w:after="0"/>
        <w:rPr>
          <w:sz w:val="20"/>
          <w:szCs w:val="20"/>
          <w:color w:val="auto"/>
        </w:rPr>
      </w:pPr>
      <w:r>
        <w:rPr>
          <w:rFonts w:ascii="Arial" w:cs="Arial" w:eastAsia="Arial" w:hAnsi="Arial"/>
          <w:sz w:val="14"/>
          <w:szCs w:val="14"/>
          <w:color w:val="auto"/>
        </w:rPr>
        <w:t>Three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2026</w:t>
            </w:r>
          </w:p>
        </w:tc>
        <w:tc>
          <w:tcPr>
            <w:tcW w:w="80" w:type="dxa"/>
            <w:vAlign w:val="bottom"/>
            <w:tcBorders>
              <w:top w:val="single" w:sz="8" w:color="auto"/>
              <w:bottom w:val="single" w:sz="8" w:color="E5E5E5"/>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r>
      <w:tr>
        <w:trPr>
          <w:trHeight w:val="200"/>
        </w:trPr>
        <w:tc>
          <w:tcPr>
            <w:tcW w:w="79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9"/>
                <w:szCs w:val="9"/>
                <w:b w:val="1"/>
                <w:bCs w:val="1"/>
                <w:color w:val="auto"/>
              </w:rPr>
              <w:t>(1)</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116</w:t>
            </w:r>
          </w:p>
        </w:tc>
      </w:tr>
      <w:tr>
        <w:trPr>
          <w:trHeight w:val="198"/>
        </w:trPr>
        <w:tc>
          <w:tcPr>
            <w:tcW w:w="79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25"/>
        </w:trPr>
        <w:tc>
          <w:tcPr>
            <w:tcW w:w="79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88</w:t>
            </w:r>
          </w:p>
        </w:tc>
      </w:tr>
      <w:tr>
        <w:trPr>
          <w:trHeight w:val="20"/>
        </w:trPr>
        <w:tc>
          <w:tcPr>
            <w:tcW w:w="78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6"/>
                <w:szCs w:val="16"/>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Fiscal Year 2026</w:t>
            </w:r>
          </w:p>
        </w:tc>
      </w:tr>
      <w:tr>
        <w:trPr>
          <w:trHeight w:val="200"/>
        </w:trPr>
        <w:tc>
          <w:tcPr>
            <w:tcW w:w="97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Estimated Pre-tax (loss)</w:t>
            </w: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$(195)</w:t>
            </w:r>
          </w:p>
        </w:tc>
      </w:tr>
      <w:tr>
        <w:trPr>
          <w:trHeight w:val="202"/>
        </w:trPr>
        <w:tc>
          <w:tcPr>
            <w:tcW w:w="97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520" w:type="dxa"/>
            <w:vAlign w:val="bottom"/>
          </w:tcPr>
          <w:p>
            <w:pPr>
              <w:spacing w:after="0"/>
              <w:rPr>
                <w:sz w:val="17"/>
                <w:szCs w:val="17"/>
                <w:color w:val="auto"/>
              </w:rPr>
            </w:pPr>
          </w:p>
        </w:tc>
      </w:tr>
      <w:tr>
        <w:trPr>
          <w:trHeight w:val="203"/>
        </w:trPr>
        <w:tc>
          <w:tcPr>
            <w:tcW w:w="97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 net</w:t>
            </w: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w:t>
            </w:r>
          </w:p>
        </w:tc>
      </w:tr>
      <w:tr>
        <w:trPr>
          <w:trHeight w:val="198"/>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15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7"/>
        </w:trPr>
        <w:tc>
          <w:tcPr>
            <w:tcW w:w="97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Non-financing interest expense, net</w:t>
            </w: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365</w:t>
            </w:r>
          </w:p>
        </w:tc>
      </w:tr>
      <w:tr>
        <w:trPr>
          <w:trHeight w:val="203"/>
        </w:trPr>
        <w:tc>
          <w:tcPr>
            <w:tcW w:w="9720" w:type="dxa"/>
            <w:vAlign w:val="bottom"/>
            <w:tcBorders>
              <w:bottom w:val="single" w:sz="8" w:color="E5E5E5"/>
            </w:tcBorders>
            <w:gridSpan w:val="2"/>
          </w:tcPr>
          <w:p>
            <w:pPr>
              <w:ind w:left="20"/>
              <w:spacing w:after="0" w:line="202" w:lineRule="exact"/>
              <w:rPr>
                <w:sz w:val="20"/>
                <w:szCs w:val="20"/>
                <w:color w:val="auto"/>
              </w:rPr>
            </w:pPr>
            <w:r>
              <w:rPr>
                <w:rFonts w:ascii="Arial" w:cs="Arial" w:eastAsia="Arial" w:hAnsi="Arial"/>
                <w:sz w:val="14"/>
                <w:szCs w:val="14"/>
                <w:color w:val="auto"/>
              </w:rPr>
              <w:t>Other expenses, net</w:t>
            </w:r>
            <w:r>
              <w:rPr>
                <w:rFonts w:ascii="Arial" w:cs="Arial" w:eastAsia="Arial" w:hAnsi="Arial"/>
                <w:sz w:val="18"/>
                <w:szCs w:val="18"/>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21"/>
        </w:trPr>
        <w:tc>
          <w:tcPr>
            <w:tcW w:w="9720" w:type="dxa"/>
            <w:vAlign w:val="bottom"/>
            <w:tcBorders>
              <w:bottom w:val="single" w:sz="8" w:color="E5E5E5"/>
            </w:tcBorders>
            <w:gridSpan w:val="2"/>
            <w:shd w:val="clear" w:color="auto" w:fill="E5E5E5"/>
          </w:tcPr>
          <w:p>
            <w:pPr>
              <w:ind w:left="20"/>
              <w:spacing w:after="0" w:line="196" w:lineRule="exact"/>
              <w:rPr>
                <w:sz w:val="20"/>
                <w:szCs w:val="20"/>
                <w:color w:val="auto"/>
              </w:rPr>
            </w:pPr>
            <w:r>
              <w:rPr>
                <w:rFonts w:ascii="Arial" w:cs="Arial" w:eastAsia="Arial" w:hAnsi="Arial"/>
                <w:sz w:val="14"/>
                <w:szCs w:val="14"/>
                <w:b w:val="1"/>
                <w:bCs w:val="1"/>
                <w:color w:val="auto"/>
              </w:rPr>
              <w:t>Estimated Adjusted Operating Income</w:t>
            </w:r>
            <w:r>
              <w:rPr>
                <w:rFonts w:ascii="Arial" w:cs="Arial" w:eastAsia="Arial" w:hAnsi="Arial"/>
                <w:sz w:val="18"/>
                <w:szCs w:val="18"/>
                <w:b w:val="1"/>
                <w:bCs w:val="1"/>
                <w:color w:val="auto"/>
                <w:vertAlign w:val="superscript"/>
              </w:rPr>
              <w:t>(2)</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$450 - $475</w:t>
            </w:r>
          </w:p>
        </w:tc>
      </w:tr>
      <w:tr>
        <w:trPr>
          <w:trHeight w:val="20"/>
        </w:trPr>
        <w:tc>
          <w:tcPr>
            <w:tcW w:w="96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6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Other expenses, net includes approximately $100 million of gain on the early extinguishment of debt and approximately $85 million of non-service retirement-related costs.</w:t>
      </w:r>
    </w:p>
    <w:p>
      <w:pPr>
        <w:spacing w:after="0" w:line="26" w:lineRule="exact"/>
        <w:rPr>
          <w:rFonts w:ascii="Arial" w:cs="Arial" w:eastAsia="Arial" w:hAnsi="Arial"/>
          <w:sz w:val="14"/>
          <w:szCs w:val="14"/>
          <w:i w:val="1"/>
          <w:iCs w:val="1"/>
          <w:color w:val="auto"/>
        </w:rPr>
      </w:pPr>
    </w:p>
    <w:p>
      <w:pPr>
        <w:ind w:left="320" w:hanging="312"/>
        <w:spacing w:after="0"/>
        <w:tabs>
          <w:tab w:leader="none" w:pos="3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adjusted operating income reflects the adjusted operating income guidance midpoint of approximately $460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Free Cash Flow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6"/>
                <w:szCs w:val="16"/>
                <w:color w:val="auto"/>
              </w:rPr>
            </w:pPr>
          </w:p>
        </w:tc>
        <w:tc>
          <w:tcPr>
            <w:tcW w:w="18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Fiscal Year 2026</w:t>
            </w:r>
          </w:p>
        </w:tc>
      </w:tr>
      <w:tr>
        <w:trPr>
          <w:trHeight w:val="200"/>
        </w:trPr>
        <w:tc>
          <w:tcPr>
            <w:tcW w:w="94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Estimated Net cash provided by operating activities</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~$145</w:t>
            </w: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$195</w:t>
            </w:r>
          </w:p>
        </w:tc>
      </w:tr>
      <w:tr>
        <w:trPr>
          <w:trHeight w:val="199"/>
        </w:trPr>
        <w:tc>
          <w:tcPr>
            <w:tcW w:w="94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Capital expenditures</w:t>
            </w: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25"/>
        </w:trPr>
        <w:tc>
          <w:tcPr>
            <w:tcW w:w="94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~$50</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$100</w:t>
            </w:r>
          </w:p>
        </w:tc>
      </w:tr>
      <w:tr>
        <w:trPr>
          <w:trHeight w:val="20"/>
        </w:trPr>
        <w:tc>
          <w:tcPr>
            <w:tcW w:w="93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360" w:type="dxa"/>
            <w:vAlign w:val="bottom"/>
            <w:tcBorders>
              <w:top w:val="single" w:sz="8" w:color="E5E5E5"/>
              <w:bottom w:val="single" w:sz="8" w:color="auto"/>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16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DA2031"/>
        </w:rPr>
        <w:t>APPENDIX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Xerox Holdings Corporation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(Loss) 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color w:val="auto"/>
              </w:rPr>
              <w:t>Nine Months Ended</w:t>
            </w: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3"/>
                <w:szCs w:val="13"/>
                <w:color w:val="auto"/>
              </w:rPr>
              <w:t>(in millions, except per-share data, shares in thousands)</w:t>
            </w: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Pr>
          <w:p>
            <w:pPr>
              <w:spacing w:after="0"/>
              <w:rPr>
                <w:sz w:val="16"/>
                <w:szCs w:val="16"/>
                <w:color w:val="auto"/>
              </w:rPr>
            </w:pPr>
          </w:p>
        </w:tc>
      </w:tr>
      <w:tr>
        <w:trPr>
          <w:trHeight w:val="192"/>
        </w:trPr>
        <w:tc>
          <w:tcPr>
            <w:tcW w:w="5120" w:type="dxa"/>
            <w:vAlign w:val="bottom"/>
            <w:tcBorders>
              <w:top w:val="single" w:sz="8" w:color="auto"/>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2026</w:t>
            </w:r>
          </w:p>
        </w:tc>
        <w:tc>
          <w:tcPr>
            <w:tcW w:w="120" w:type="dxa"/>
            <w:vAlign w:val="bottom"/>
            <w:tcBorders>
              <w:top w:val="single" w:sz="8" w:color="auto"/>
              <w:bottom w:val="single" w:sz="8" w:color="E5E5E5"/>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E5E5E5"/>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E5E5E5"/>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r>
      <w:tr>
        <w:trPr>
          <w:trHeight w:val="187"/>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(Loss) per Share:</w:t>
            </w:r>
          </w:p>
        </w:tc>
        <w:tc>
          <w:tcPr>
            <w:tcW w:w="3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(956)</w:t>
            </w:r>
          </w:p>
        </w:tc>
      </w:tr>
      <w:tr>
        <w:trPr>
          <w:trHeight w:val="20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Borders>
              <w:bottom w:val="single" w:sz="8" w:color="auto"/>
            </w:tcBorders>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32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Adjusted net (loss) available to common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131,645</w:t>
            </w: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126,918</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130,408</w:t>
            </w: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126,003</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(Loss) per Share</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(7.67)</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Diluted (Loss) per Share:</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(956)</w:t>
            </w:r>
          </w:p>
        </w:tc>
      </w:tr>
      <w:tr>
        <w:trPr>
          <w:trHeight w:val="203"/>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Borders>
              <w:bottom w:val="single" w:sz="8" w:color="auto"/>
            </w:tcBorders>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32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Adjusted net (loss) available to common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52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131,645</w:t>
            </w:r>
          </w:p>
        </w:tc>
        <w:tc>
          <w:tcPr>
            <w:tcW w:w="1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126,918</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130,408</w:t>
            </w: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126,003</w:t>
            </w:r>
          </w:p>
        </w:tc>
      </w:tr>
      <w:tr>
        <w:trPr>
          <w:trHeight w:val="19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Common shares issuable with respect to:</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524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Stock Options</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Restricted stock and performance shares</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24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Convertible preferred stock</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Warrants</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4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Convertible Notes</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Adjusted weighted average common shares outstanding</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131,645</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126,918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130,408</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126,003</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r>
      <w:tr>
        <w:trPr>
          <w:trHeight w:val="202"/>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(Loss)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17"/>
        </w:trPr>
        <w:tc>
          <w:tcPr>
            <w:tcW w:w="5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bl>
    <w:p>
      <w:pPr>
        <w:spacing w:after="0" w:line="4" w:lineRule="exact"/>
        <w:rPr>
          <w:sz w:val="20"/>
          <w:szCs w:val="20"/>
          <w:color w:val="auto"/>
        </w:rPr>
      </w:pPr>
    </w:p>
    <w:p>
      <w:pPr>
        <w:ind w:left="20" w:right="200"/>
        <w:spacing w:after="0" w:line="244" w:lineRule="auto"/>
        <w:rPr>
          <w:sz w:val="20"/>
          <w:szCs w:val="20"/>
          <w:color w:val="auto"/>
        </w:rPr>
      </w:pPr>
      <w:r>
        <w:rPr>
          <w:rFonts w:ascii="Arial" w:cs="Arial" w:eastAsia="Arial" w:hAnsi="Arial"/>
          <w:sz w:val="14"/>
          <w:szCs w:val="14"/>
          <w:color w:val="auto"/>
        </w:rPr>
        <w:t>The following securities were not included in the computation of diluted (loss) per share as they were either contingently issuable shares or shares that if included would have been anti-dilutive: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 options</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132</w:t>
            </w:r>
          </w:p>
        </w:tc>
      </w:tr>
      <w:tr>
        <w:trPr>
          <w:trHeight w:val="198"/>
        </w:trPr>
        <w:tc>
          <w:tcPr>
            <w:tcW w:w="52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27,737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14,992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14,992</w:t>
            </w:r>
          </w:p>
        </w:tc>
      </w:tr>
      <w:tr>
        <w:trPr>
          <w:trHeight w:val="207"/>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Convertible preferred stock</w:t>
            </w: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6,742</w:t>
            </w:r>
          </w:p>
        </w:tc>
      </w:tr>
      <w:tr>
        <w:trPr>
          <w:trHeight w:val="198"/>
        </w:trPr>
        <w:tc>
          <w:tcPr>
            <w:tcW w:w="5240" w:type="dxa"/>
            <w:vAlign w:val="bottom"/>
          </w:tcPr>
          <w:p>
            <w:pPr>
              <w:ind w:left="20"/>
              <w:spacing w:after="0"/>
              <w:rPr>
                <w:sz w:val="20"/>
                <w:szCs w:val="20"/>
                <w:color w:val="auto"/>
              </w:rPr>
            </w:pPr>
            <w:r>
              <w:rPr>
                <w:rFonts w:ascii="Arial" w:cs="Arial" w:eastAsia="Arial" w:hAnsi="Arial"/>
                <w:sz w:val="14"/>
                <w:szCs w:val="14"/>
                <w:color w:val="auto"/>
              </w:rPr>
              <w:t>Warrants</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81,412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81,412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Convertible Notes</w:t>
            </w:r>
          </w:p>
        </w:tc>
        <w:tc>
          <w:tcPr>
            <w:tcW w:w="46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18,793</w:t>
            </w:r>
          </w:p>
        </w:tc>
        <w:tc>
          <w:tcPr>
            <w:tcW w:w="120" w:type="dxa"/>
            <w:vAlign w:val="bottom"/>
            <w:shd w:val="clear" w:color="auto" w:fill="E5E5E5"/>
          </w:tcPr>
          <w:p>
            <w:pPr>
              <w:spacing w:after="0"/>
              <w:rPr>
                <w:sz w:val="17"/>
                <w:szCs w:val="17"/>
                <w:color w:val="auto"/>
              </w:rPr>
            </w:pPr>
          </w:p>
        </w:tc>
        <w:tc>
          <w:tcPr>
            <w:tcW w:w="50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19,196</w:t>
            </w:r>
          </w:p>
        </w:tc>
        <w:tc>
          <w:tcPr>
            <w:tcW w:w="100" w:type="dxa"/>
            <w:vAlign w:val="bottom"/>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18,793</w:t>
            </w:r>
          </w:p>
        </w:tc>
        <w:tc>
          <w:tcPr>
            <w:tcW w:w="100" w:type="dxa"/>
            <w:vAlign w:val="bottom"/>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19,196</w:t>
            </w: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Total Anti-Dilutive Securities</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134,757</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41,062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134,757</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41,062</w:t>
            </w:r>
          </w:p>
        </w:tc>
      </w:tr>
      <w:tr>
        <w:trPr>
          <w:trHeight w:val="20"/>
        </w:trPr>
        <w:tc>
          <w:tcPr>
            <w:tcW w:w="524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Dividends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0.175</w:t>
            </w:r>
          </w:p>
        </w:tc>
      </w:tr>
      <w:tr>
        <w:trPr>
          <w:trHeight w:val="21"/>
        </w:trPr>
        <w:tc>
          <w:tcPr>
            <w:tcW w:w="5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07"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DA2031"/>
        </w:rPr>
        <w:t>APPENDIX II</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Xerox Holdings Corporation</w:t>
      </w:r>
    </w:p>
    <w:p>
      <w:pPr>
        <w:spacing w:after="0"/>
        <w:rPr>
          <w:sz w:val="20"/>
          <w:szCs w:val="20"/>
          <w:color w:val="auto"/>
        </w:rPr>
      </w:pPr>
      <w:r>
        <w:rPr>
          <w:rFonts w:ascii="Arial" w:cs="Arial" w:eastAsia="Arial" w:hAnsi="Arial"/>
          <w:sz w:val="20"/>
          <w:szCs w:val="20"/>
          <w:b w:val="1"/>
          <w:bCs w:val="1"/>
          <w:color w:val="DA2031"/>
        </w:rPr>
        <w:t>Reportable Segments</w:t>
      </w:r>
    </w:p>
    <w:p>
      <w:pPr>
        <w:spacing w:after="0" w:line="3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reportable segments - </w:t>
      </w:r>
      <w:r>
        <w:rPr>
          <w:rFonts w:ascii="Arial" w:cs="Arial" w:eastAsia="Arial" w:hAnsi="Arial"/>
          <w:sz w:val="18"/>
          <w:szCs w:val="18"/>
          <w:b w:val="1"/>
          <w:bCs w:val="1"/>
          <w:color w:val="DA2031"/>
        </w:rPr>
        <w:t>Print and Other</w:t>
      </w:r>
      <w:r>
        <w:rPr>
          <w:rFonts w:ascii="Arial" w:cs="Arial" w:eastAsia="Arial" w:hAnsi="Arial"/>
          <w:sz w:val="18"/>
          <w:szCs w:val="18"/>
          <w:color w:val="auto"/>
        </w:rPr>
        <w:t xml:space="preserve"> and </w:t>
      </w:r>
      <w:r>
        <w:rPr>
          <w:rFonts w:ascii="Arial" w:cs="Arial" w:eastAsia="Arial" w:hAnsi="Arial"/>
          <w:sz w:val="18"/>
          <w:szCs w:val="18"/>
          <w:b w:val="1"/>
          <w:bCs w:val="1"/>
          <w:color w:val="DA2031"/>
        </w:rPr>
        <w:t>IT Solutions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are aligned to how the Chief Operating Decision Maker (CODM), our Chief Executive Officer (CEO), allocates resources and assesses performance against the Company’s key growth strategies and are consistent with how we manage the business and view the markets we serve.</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DA2031"/>
        </w:rPr>
        <w:t>Print and Other</w:t>
      </w:r>
      <w:r>
        <w:rPr>
          <w:rFonts w:ascii="Arial" w:cs="Arial" w:eastAsia="Arial" w:hAnsi="Arial"/>
          <w:sz w:val="18"/>
          <w:szCs w:val="18"/>
          <w:color w:val="auto"/>
        </w:rPr>
        <w:t xml:space="preserve"> segment includes the design, development and sale of document management systems, supplies and services, as well as associated financing and technology-related offerings, digital and print-related software products and services. The segment also includes the delivery of managed services that involve a continuum of solutions and services that help our customers optimize their print and communications infrastructure, apply automation and simplification to maximize productivity, and ensure the highest levels of security. In addition, the segment includes Xerox Financial Services, a global financing solutions provider, primarily enabling the sale of our equipment and services, which includes commissions and other payments for the exclusive right to provide lease financing for Xerox products.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product groupings range from:</w:t>
      </w:r>
    </w:p>
    <w:p>
      <w:pPr>
        <w:spacing w:after="0" w:line="63" w:lineRule="exact"/>
        <w:rPr>
          <w:sz w:val="20"/>
          <w:szCs w:val="20"/>
          <w:color w:val="auto"/>
        </w:rPr>
      </w:pPr>
    </w:p>
    <w:p>
      <w:pPr>
        <w:ind w:left="660" w:hanging="328"/>
        <w:spacing w:after="0" w:line="28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“Entry”</w:t>
      </w:r>
      <w:r>
        <w:rPr>
          <w:rFonts w:ascii="Arial" w:cs="Arial" w:eastAsia="Arial" w:hAnsi="Arial"/>
          <w:sz w:val="18"/>
          <w:szCs w:val="18"/>
          <w:color w:val="auto"/>
        </w:rPr>
        <w:t>, which include A4 devices and desktop printers and multifunction devices that primarily serve small and medium</w:t>
      </w:r>
      <w:r>
        <w:rPr>
          <w:rFonts w:ascii="Arial" w:cs="Arial" w:eastAsia="Arial" w:hAnsi="Arial"/>
          <w:sz w:val="18"/>
          <w:szCs w:val="18"/>
          <w:b w:val="1"/>
          <w:bCs w:val="1"/>
          <w:color w:val="auto"/>
        </w:rPr>
        <w:t xml:space="preserve"> </w:t>
      </w:r>
      <w:r>
        <w:rPr>
          <w:rFonts w:ascii="Arial" w:cs="Arial" w:eastAsia="Arial" w:hAnsi="Arial"/>
          <w:sz w:val="18"/>
          <w:szCs w:val="18"/>
          <w:color w:val="auto"/>
        </w:rPr>
        <w:t>workgroups/work teams.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“Mid-Range”</w:t>
      </w:r>
      <w:r>
        <w:rPr>
          <w:rFonts w:ascii="Arial" w:cs="Arial" w:eastAsia="Arial" w:hAnsi="Arial"/>
          <w:sz w:val="18"/>
          <w:szCs w:val="18"/>
          <w:color w:val="auto"/>
        </w:rPr>
        <w:t>, which include A3 devices that generally serve large workgroup/work team environments as well as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Light Production product groups serving centralized print centers, print for pay and low volume production print establishments.</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“High-End”</w:t>
      </w:r>
      <w:r>
        <w:rPr>
          <w:rFonts w:ascii="Arial" w:cs="Arial" w:eastAsia="Arial" w:hAnsi="Arial"/>
          <w:sz w:val="18"/>
          <w:szCs w:val="18"/>
          <w:color w:val="auto"/>
        </w:rPr>
        <w:t>, which include production printing and publishing systems that generally serve the graphic communications marketplace</w:t>
      </w:r>
      <w:r>
        <w:rPr>
          <w:rFonts w:ascii="Arial" w:cs="Arial" w:eastAsia="Arial" w:hAnsi="Arial"/>
          <w:sz w:val="18"/>
          <w:szCs w:val="18"/>
          <w:b w:val="1"/>
          <w:bCs w:val="1"/>
          <w:color w:val="auto"/>
        </w:rPr>
        <w:t xml:space="preserve"> </w:t>
      </w:r>
      <w:r>
        <w:rPr>
          <w:rFonts w:ascii="Arial" w:cs="Arial" w:eastAsia="Arial" w:hAnsi="Arial"/>
          <w:sz w:val="18"/>
          <w:szCs w:val="18"/>
          <w:color w:val="auto"/>
        </w:rPr>
        <w:t>and print centers in large enterprises.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Customers range from small and mid-sized businesses to large enterprises. Customers also include graphic communication enterprises as well as channel partners including distributors and resellers.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DA2031"/>
        </w:rPr>
        <w:t>IT Solutions</w:t>
      </w:r>
      <w:r>
        <w:rPr>
          <w:rFonts w:ascii="Arial" w:cs="Arial" w:eastAsia="Arial" w:hAnsi="Arial"/>
          <w:sz w:val="18"/>
          <w:szCs w:val="18"/>
          <w:color w:val="auto"/>
        </w:rPr>
        <w:t xml:space="preserve">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20" w:top="10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lvl w:ilvl="1">
      <w:lvlJc w:val="left"/>
      <w:lvlText w:val="%2"/>
      <w:numFmt w:val="upperLetter"/>
      <w:start w:val="29"/>
    </w:lvl>
  </w:abstractNum>
  <w:abstractNum w:abstractNumId="14">
    <w:nsid w:val="7C83E458"/>
    <w:multiLevelType w:val="hybridMultilevel"/>
    <w:lvl w:ilvl="0">
      <w:lvlJc w:val="left"/>
      <w:lvlText w:val="(%1)"/>
      <w:numFmt w:val="decimal"/>
      <w:start w:val="1"/>
    </w:lvl>
    <w:lvl w:ilvl="1">
      <w:lvlJc w:val="left"/>
      <w:lvlText w:val="%2"/>
      <w:numFmt w:val="upp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2026-10-29T06:54:53Z</dcterms:created>
  <dcterms:modified xsi:type="dcterms:W3CDTF">2026-10-29T06:54:53Z</dcterms:modified>
</cp:coreProperties>
</file>