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July 26, 2018</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751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20"/>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39"/>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0"/>
                <w:szCs w:val="20"/>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12b-2 of the Securities Exchange Act of 1934 (§240.12b-2 of this chapter). </w:t>
      </w:r>
      <w:r>
        <w:rPr>
          <w:rFonts w:ascii="Arial" w:cs="Arial" w:eastAsia="Arial" w:hAnsi="Arial"/>
          <w:sz w:val="14"/>
          <w:szCs w:val="14"/>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4"/>
          <w:szCs w:val="14"/>
          <w:color w:val="auto"/>
        </w:rPr>
        <w:t>o</w:t>
      </w:r>
    </w:p>
    <w:p>
      <w:pPr>
        <w:spacing w:after="0" w:line="77" w:lineRule="exact"/>
        <w:rPr>
          <w:sz w:val="24"/>
          <w:szCs w:val="24"/>
          <w:color w:val="auto"/>
        </w:rPr>
      </w:pPr>
    </w:p>
    <w:p>
      <w:pPr>
        <w:ind w:right="300"/>
        <w:spacing w:after="0" w:line="251"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July 26, 2018, Registrant released its second quarter 2018 earnings and is furnishing to the Securities and Exchange Commission ("SEC") a copy of the earnings press release as Exhibit 99.1 to this Report under Item 2.02 of Form 8-K.</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July 2018, Registrant’s Board of Directors authorized a $1.0 billion share repurchase program (exclusive of any commissions and other transaction fees and costs related thereto). This program replaces the $245 million of authority remaining under Registrant’s previously authorized share repurchase program. Shares of Registrant’s common stock may be repurchased on the open market, or through derivative or negotiated transactions. Open-market repurchases will be made in compliance with the Securities and Exchange Commission’s Rule 10b-18, and are subject to market conditions, as well as applicable legal and other considerations. Registrant expects to opportunistically repurchase up to $500 million of shares during the remainder of 2018.</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40" w:type="dxa"/>
            <w:vAlign w:val="bottom"/>
            <w:tcBorders>
              <w:bottom w:val="single" w:sz="8" w:color="0000FF"/>
            </w:tcBorders>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18"/>
                <w:szCs w:val="18"/>
                <w:color w:val="auto"/>
              </w:rPr>
            </w:pPr>
          </w:p>
        </w:tc>
        <w:tc>
          <w:tcPr>
            <w:tcW w:w="6400" w:type="dxa"/>
            <w:vAlign w:val="bottom"/>
          </w:tcPr>
          <w:p>
            <w:pPr>
              <w:ind w:left="260"/>
              <w:spacing w:after="0"/>
              <w:rPr>
                <w:sz w:val="20"/>
                <w:szCs w:val="20"/>
                <w:color w:val="auto"/>
              </w:rPr>
            </w:pPr>
            <w:r>
              <w:rPr>
                <w:rFonts w:ascii="Arial" w:cs="Arial" w:eastAsia="Arial" w:hAnsi="Arial"/>
                <w:sz w:val="18"/>
                <w:szCs w:val="18"/>
                <w:color w:val="auto"/>
                <w:w w:val="99"/>
              </w:rPr>
              <w:t>Registrant’s second quarter 2018 earnings press release dated July 26, 2018</w:t>
            </w:r>
          </w:p>
        </w:tc>
      </w:tr>
    </w:tbl>
    <w:p>
      <w:pPr>
        <w:sectPr>
          <w:pgSz w:w="11900" w:h="16838" w:orient="portrait"/>
          <w:cols w:equalWidth="0" w:num="1">
            <w:col w:w="11380"/>
          </w:cols>
          <w:pgMar w:left="240" w:top="747" w:right="27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ectPr>
          <w:pgSz w:w="11900" w:h="16838" w:orient="portrait"/>
          <w:cols w:equalWidth="0" w:num="1">
            <w:col w:w="11420"/>
          </w:cols>
          <w:pgMar w:left="240" w:top="679"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authorized this Report to be signed on its behalf by the undersigned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2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80"/>
          </w:cols>
          <w:pgMar w:left="240" w:top="57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52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Registrant’s second quarter 2018 earnings press release dated July 26, 2018</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color w:val="006EBF"/>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3810</wp:posOffset>
            </wp:positionV>
            <wp:extent cx="87503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2228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909294"/>
        </w:rPr>
        <w:t>For Immediate Release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Xerox Corporation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201 Merritt 7</w:t>
      </w:r>
    </w:p>
    <w:p>
      <w:pPr>
        <w:spacing w:after="0" w:line="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4"/>
          <w:szCs w:val="14"/>
          <w:color w:val="909294"/>
        </w:rPr>
        <w:t>Norwalk, CT</w:t>
        <w:tab/>
        <w:t>06851-1056</w:t>
      </w:r>
    </w:p>
    <w:p>
      <w:pPr>
        <w:spacing w:after="0" w:line="1" w:lineRule="exact"/>
        <w:rPr>
          <w:sz w:val="20"/>
          <w:szCs w:val="20"/>
          <w:color w:val="auto"/>
        </w:rPr>
      </w:pPr>
    </w:p>
    <w:p>
      <w:pPr>
        <w:jc w:val="both"/>
        <w:ind w:left="9960"/>
        <w:spacing w:after="0"/>
        <w:tabs>
          <w:tab w:leader="none" w:pos="10300" w:val="left"/>
        </w:tabs>
        <w:rPr>
          <w:sz w:val="20"/>
          <w:szCs w:val="20"/>
          <w:color w:val="auto"/>
        </w:rPr>
      </w:pPr>
      <w:r>
        <w:rPr>
          <w:rFonts w:ascii="Arial" w:cs="Arial" w:eastAsia="Arial" w:hAnsi="Arial"/>
          <w:sz w:val="14"/>
          <w:szCs w:val="14"/>
          <w:color w:val="909294"/>
        </w:rPr>
        <w:t>Tel</w:t>
        <w:tab/>
        <w:t>+1-203-968-3000</w:t>
      </w:r>
    </w:p>
    <w:p>
      <w:pPr>
        <w:spacing w:after="0" w:line="295" w:lineRule="exact"/>
        <w:rPr>
          <w:sz w:val="20"/>
          <w:szCs w:val="20"/>
          <w:color w:val="auto"/>
        </w:rPr>
      </w:pPr>
    </w:p>
    <w:p>
      <w:pPr>
        <w:ind w:right="640"/>
        <w:spacing w:after="0" w:line="261" w:lineRule="auto"/>
        <w:rPr>
          <w:sz w:val="20"/>
          <w:szCs w:val="20"/>
          <w:color w:val="auto"/>
        </w:rPr>
      </w:pPr>
      <w:r>
        <w:rPr>
          <w:rFonts w:ascii="Arial" w:cs="Arial" w:eastAsia="Arial" w:hAnsi="Arial"/>
          <w:sz w:val="25"/>
          <w:szCs w:val="25"/>
          <w:color w:val="auto"/>
        </w:rPr>
        <w:t>Xerox CEO Sets Direction to Drive Improved Performance; Company to Repurchase Up To $500 Million of Shares in 2018</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Reports on second-quarter 2018 results and establishes business priorities</w:t>
      </w:r>
      <w:r>
        <w:rPr>
          <w:rFonts w:ascii="Arial" w:cs="Arial" w:eastAsia="Arial" w:hAnsi="Arial"/>
          <w:sz w:val="20"/>
          <w:szCs w:val="20"/>
          <w:i w:val="1"/>
          <w:iCs w:val="1"/>
          <w:color w:val="auto"/>
        </w:rPr>
        <w:t>:</w:t>
      </w:r>
    </w:p>
    <w:p>
      <w:pPr>
        <w:spacing w:after="0" w:line="1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Drive revenue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Optimize operations for simplicity to better serve clients and partners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Re-energize the innovation engine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Focus on cash flow and increase capital returns</w:t>
      </w:r>
    </w:p>
    <w:p>
      <w:pPr>
        <w:spacing w:after="0" w:line="216"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color w:val="auto"/>
        </w:rPr>
        <w:t xml:space="preserve">NORWALK, Conn., July 26, 2018 - </w:t>
      </w:r>
      <w:r>
        <w:rPr>
          <w:rFonts w:ascii="Arial" w:cs="Arial" w:eastAsia="Arial" w:hAnsi="Arial"/>
          <w:sz w:val="20"/>
          <w:szCs w:val="20"/>
          <w:u w:val="single" w:color="auto"/>
          <w:color w:val="0000FF"/>
        </w:rPr>
        <w:t>Xerox</w:t>
      </w:r>
      <w:r>
        <w:rPr>
          <w:rFonts w:ascii="Arial" w:cs="Arial" w:eastAsia="Arial" w:hAnsi="Arial"/>
          <w:sz w:val="20"/>
          <w:szCs w:val="20"/>
          <w:color w:val="auto"/>
        </w:rPr>
        <w:t xml:space="preserve"> (NYSE: XRX) Vice Chairman and CEO </w:t>
      </w:r>
      <w:r>
        <w:rPr>
          <w:rFonts w:ascii="Arial" w:cs="Arial" w:eastAsia="Arial" w:hAnsi="Arial"/>
          <w:sz w:val="20"/>
          <w:szCs w:val="20"/>
          <w:u w:val="single" w:color="auto"/>
          <w:color w:val="0000FF"/>
        </w:rPr>
        <w:t>John Visentin</w:t>
      </w:r>
      <w:r>
        <w:rPr>
          <w:rFonts w:ascii="Arial" w:cs="Arial" w:eastAsia="Arial" w:hAnsi="Arial"/>
          <w:sz w:val="20"/>
          <w:szCs w:val="20"/>
          <w:color w:val="auto"/>
        </w:rPr>
        <w:t xml:space="preserve"> today outlined his business imperatives to transform the company with an emphasis on commercializing </w:t>
      </w:r>
      <w:r>
        <w:rPr>
          <w:rFonts w:ascii="Arial" w:cs="Arial" w:eastAsia="Arial" w:hAnsi="Arial"/>
          <w:sz w:val="20"/>
          <w:szCs w:val="20"/>
          <w:u w:val="single" w:color="auto"/>
          <w:color w:val="0000FF"/>
        </w:rPr>
        <w:t>innovation</w:t>
      </w:r>
      <w:r>
        <w:rPr>
          <w:rFonts w:ascii="Arial" w:cs="Arial" w:eastAsia="Arial" w:hAnsi="Arial"/>
          <w:sz w:val="20"/>
          <w:szCs w:val="20"/>
          <w:color w:val="auto"/>
        </w:rPr>
        <w:t>, optimizing operations to better serve customers and partners, and a heightened commitment to shareholder returns. Visentin summarized his direction as part of the company’s second-quarter results.</w:t>
      </w:r>
    </w:p>
    <w:p>
      <w:pPr>
        <w:spacing w:after="0" w:line="207" w:lineRule="exact"/>
        <w:rPr>
          <w:sz w:val="20"/>
          <w:szCs w:val="20"/>
          <w:color w:val="auto"/>
        </w:rPr>
      </w:pPr>
    </w:p>
    <w:p>
      <w:pPr>
        <w:jc w:val="both"/>
        <w:ind w:right="160"/>
        <w:spacing w:after="0" w:line="243" w:lineRule="auto"/>
        <w:rPr>
          <w:sz w:val="20"/>
          <w:szCs w:val="20"/>
          <w:color w:val="auto"/>
        </w:rPr>
      </w:pPr>
      <w:r>
        <w:rPr>
          <w:rFonts w:ascii="Arial" w:cs="Arial" w:eastAsia="Arial" w:hAnsi="Arial"/>
          <w:sz w:val="20"/>
          <w:szCs w:val="20"/>
          <w:color w:val="auto"/>
        </w:rPr>
        <w:t xml:space="preserve">“It’s clear after two months as CEO of this iconic brand that we can return Xerox to the forefront as a leading tech company,” said Visentin. “We currently have </w:t>
      </w:r>
      <w:r>
        <w:rPr>
          <w:rFonts w:ascii="Arial" w:cs="Arial" w:eastAsia="Arial" w:hAnsi="Arial"/>
          <w:sz w:val="20"/>
          <w:szCs w:val="20"/>
          <w:u w:val="single" w:color="auto"/>
          <w:color w:val="0000FF"/>
        </w:rPr>
        <w:t>software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services</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printing</w:t>
      </w:r>
      <w:r>
        <w:rPr>
          <w:rFonts w:ascii="Arial" w:cs="Arial" w:eastAsia="Arial" w:hAnsi="Arial"/>
          <w:sz w:val="20"/>
          <w:szCs w:val="20"/>
          <w:color w:val="auto"/>
        </w:rPr>
        <w:t xml:space="preserve"> technologies, along with a pipeline of innovations, which can disrupt the marketplace and bring increased value to those we serve.”</w:t>
      </w:r>
    </w:p>
    <w:p>
      <w:pPr>
        <w:spacing w:after="0" w:line="206"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“Our second-quarter results demonstrate the benefit of having a business model underpinned by annuity cash flow. However, it also highlights the challenge of improving revenue and flowing cost savings to the bottom line,” he noted. “Our success will depend on operating with a relentless focus on optimization. Actions include improving the effectiveness and efficiency of our supply chain and go-to-market channels. Equally important is ensuring we provide a great experience for our customers and address their evolving business needs.”</w:t>
      </w:r>
    </w:p>
    <w:p>
      <w:pPr>
        <w:spacing w:after="0" w:line="209"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Demonstrating its commitment to enhancing shareholder returns, the Xerox board of directors authorized a $1 billion share repurchase program and the company will opportunistically repurchase up to $500 million in 2018. “This positive step forward is a strong endorsement of the company and represents an immediate action to deliver value to our investors,” said Visentin.</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The company confirmed that it is not conducting an auction process. Visentin stated, “While there has been much speculation about Xerox, I want to be clear. My mission is to do what is right for Xerox. Our focus is on leveraging the assets and capabilities we have today to create a sustainable company that provides a compelling value proposition for customers and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Second Quarter 2018 Financial Results</w:t>
      </w:r>
    </w:p>
    <w:p>
      <w:pPr>
        <w:spacing w:after="0" w:line="24" w:lineRule="exact"/>
        <w:rPr>
          <w:sz w:val="20"/>
          <w:szCs w:val="20"/>
          <w:color w:val="auto"/>
        </w:rPr>
      </w:pPr>
    </w:p>
    <w:p>
      <w:pPr>
        <w:ind w:left="340" w:hanging="332"/>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Earnings Per Share: </w:t>
      </w:r>
      <w:r>
        <w:rPr>
          <w:rFonts w:ascii="Arial" w:cs="Arial" w:eastAsia="Arial" w:hAnsi="Arial"/>
          <w:sz w:val="20"/>
          <w:szCs w:val="20"/>
          <w:color w:val="auto"/>
        </w:rPr>
        <w:t>GAAP earnings per share (EPS) from continuing operations of 42 cents, down 21 cents compared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period in 2017, primarily due to transaction costs of $58 million or 17 cents. Adjusted EPS of 80 cents, a decrease of 6 cents year over year.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Total Revenue: </w:t>
      </w:r>
      <w:r>
        <w:rPr>
          <w:rFonts w:ascii="Arial" w:cs="Arial" w:eastAsia="Arial" w:hAnsi="Arial"/>
          <w:sz w:val="20"/>
          <w:szCs w:val="20"/>
          <w:color w:val="auto"/>
        </w:rPr>
        <w:t>$2,510 million, down 2.2 percent year-over-year or 4.0 percent in constant currency</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20"/>
          <w:szCs w:val="20"/>
          <w:color w:val="auto"/>
        </w:rPr>
        <w:t>Equipment Sale Revenue: $561 million, up 0.9 percent or down 0.6 percent in constant currency</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20"/>
          <w:szCs w:val="20"/>
          <w:color w:val="auto"/>
        </w:rPr>
        <w:t>Post Sale Revenue: $1,949 million, down 3.1 percent or 5.0 percent in constant currency</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Adjusted Operating Margin: </w:t>
      </w:r>
      <w:r>
        <w:rPr>
          <w:rFonts w:ascii="Arial" w:cs="Arial" w:eastAsia="Arial" w:hAnsi="Arial"/>
          <w:sz w:val="20"/>
          <w:szCs w:val="20"/>
          <w:color w:val="auto"/>
        </w:rPr>
        <w:t>Adjusted operating margin of 11.9 percent, down 1.3 points year-over-year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Cash Balance: </w:t>
      </w:r>
      <w:r>
        <w:rPr>
          <w:rFonts w:ascii="Arial" w:cs="Arial" w:eastAsia="Arial" w:hAnsi="Arial"/>
          <w:sz w:val="20"/>
          <w:szCs w:val="20"/>
          <w:color w:val="auto"/>
        </w:rPr>
        <w:t>$1,263 million at the end of the second quarter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Operating cash flow of $235 million in the second quarter and $451 million for the first half</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Dividend: </w:t>
      </w:r>
      <w:r>
        <w:rPr>
          <w:rFonts w:ascii="Arial" w:cs="Arial" w:eastAsia="Arial" w:hAnsi="Arial"/>
          <w:sz w:val="20"/>
          <w:szCs w:val="20"/>
          <w:color w:val="auto"/>
        </w:rPr>
        <w:t>Returned $68 million to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Expectations and Outlook for Cash Flow</w:t>
      </w:r>
    </w:p>
    <w:p>
      <w:pPr>
        <w:spacing w:after="0" w:line="24"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Xerox will focus on driving strong cash generation and continues to expect full-year operating cash flow of $900 to $1,100 million and free cash flow of $750 to $950 million. The company plans to return at least 50 percent of its free cash flow to shareholders through common dividends and share repurchases on an annual basis. Xerox will use excess cash on the balance sheet to opportunistically repurchase up to $500 million of shares in 2018.</w:t>
      </w:r>
    </w:p>
    <w:p>
      <w:pPr>
        <w:spacing w:after="0" w:line="207"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The company’s management team plans to update investors on its strategy and longer-term financial expectations at an analyst day later this year or early 2019.</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Xerox</w:t>
      </w:r>
    </w:p>
    <w:p>
      <w:pPr>
        <w:spacing w:after="0" w:line="2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 xml:space="preserve">Xerox Corporation is a </w:t>
      </w:r>
      <w:r>
        <w:rPr>
          <w:rFonts w:ascii="Arial" w:cs="Arial" w:eastAsia="Arial" w:hAnsi="Arial"/>
          <w:sz w:val="20"/>
          <w:szCs w:val="20"/>
          <w:u w:val="single" w:color="auto"/>
          <w:color w:val="0000FF"/>
        </w:rPr>
        <w:t>technology</w:t>
      </w:r>
      <w:r>
        <w:rPr>
          <w:rFonts w:ascii="Arial" w:cs="Arial" w:eastAsia="Arial" w:hAnsi="Arial"/>
          <w:sz w:val="20"/>
          <w:szCs w:val="20"/>
          <w:color w:val="auto"/>
        </w:rPr>
        <w:t xml:space="preserve"> leader that innovates the way the world </w:t>
      </w:r>
      <w:r>
        <w:rPr>
          <w:rFonts w:ascii="Arial" w:cs="Arial" w:eastAsia="Arial" w:hAnsi="Arial"/>
          <w:sz w:val="20"/>
          <w:szCs w:val="20"/>
          <w:u w:val="single" w:color="auto"/>
          <w:color w:val="0000FF"/>
        </w:rPr>
        <w:t>communicates, connects and works</w:t>
      </w:r>
      <w:r>
        <w:rPr>
          <w:rFonts w:ascii="Arial" w:cs="Arial" w:eastAsia="Arial" w:hAnsi="Arial"/>
          <w:sz w:val="20"/>
          <w:szCs w:val="20"/>
          <w:color w:val="auto"/>
        </w:rPr>
        <w:t xml:space="preserve">. We understand what’s at the heart of sharing information - and all of the forms it can take. We embrace the integration of paper and digital, the increasing requirement for mobility, and the need for seamless integration between work and personal worlds. Every day, our innovative print technologies and intelligent work solutions help people communicate and work better. Discover more at </w:t>
      </w:r>
      <w:r>
        <w:rPr>
          <w:rFonts w:ascii="Arial" w:cs="Arial" w:eastAsia="Arial" w:hAnsi="Arial"/>
          <w:sz w:val="20"/>
          <w:szCs w:val="20"/>
          <w:u w:val="single" w:color="auto"/>
          <w:color w:val="0000FF"/>
        </w:rPr>
        <w:t>www.xerox.com</w:t>
      </w:r>
      <w:r>
        <w:rPr>
          <w:rFonts w:ascii="Arial" w:cs="Arial" w:eastAsia="Arial" w:hAnsi="Arial"/>
          <w:sz w:val="20"/>
          <w:szCs w:val="20"/>
          <w:color w:val="0000FF"/>
        </w:rPr>
        <w:t xml:space="preserve"> </w:t>
      </w:r>
      <w:r>
        <w:rPr>
          <w:rFonts w:ascii="Arial" w:cs="Arial" w:eastAsia="Arial" w:hAnsi="Arial"/>
          <w:sz w:val="20"/>
          <w:szCs w:val="20"/>
          <w:color w:val="000000"/>
        </w:rPr>
        <w:t>and follow us on Twitter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@Xerox</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This release refers to the following non-GAAP financial measures for the second-quarter 2018:</w:t>
      </w:r>
    </w:p>
    <w:p>
      <w:pPr>
        <w:ind w:left="340" w:right="112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EPS, which excludes restructuring and related costs (including our share of Fuji Xerox restructuring), the amortization of intangibles, non-service retirement-related costs and transaction and related costs, net.</w:t>
      </w:r>
    </w:p>
    <w:p>
      <w:pPr>
        <w:spacing w:after="0" w:line="1" w:lineRule="exact"/>
        <w:rPr>
          <w:rFonts w:ascii="Arial" w:cs="Arial" w:eastAsia="Arial" w:hAnsi="Arial"/>
          <w:sz w:val="18"/>
          <w:szCs w:val="18"/>
          <w:color w:val="auto"/>
        </w:rPr>
      </w:pPr>
    </w:p>
    <w:p>
      <w:pPr>
        <w:ind w:left="34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operating margin, which excludes the EPS adjustments noted above as well as the remainder of Other expenses, net and includes equity income, as adjusted.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Constant currency revenue growth, which excludes the effects of currency translation.</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Free cash flow, which is cash flow from continuing operations less capital expenditures.</w:t>
      </w:r>
    </w:p>
    <w:p>
      <w:pPr>
        <w:ind w:right="520"/>
        <w:spacing w:after="0" w:line="247"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55"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8" w:name="page9"/>
    <w:bookmarkEnd w:id="8"/>
    <w:p>
      <w:pPr>
        <w:spacing w:after="0" w:line="241" w:lineRule="auto"/>
        <w:rPr>
          <w:sz w:val="20"/>
          <w:szCs w:val="20"/>
          <w:color w:val="auto"/>
        </w:rPr>
      </w:pPr>
      <w:r>
        <w:rPr>
          <w:rFonts w:ascii="Arial" w:cs="Arial" w:eastAsia="Arial" w:hAnsi="Arial"/>
          <w:sz w:val="20"/>
          <w:szCs w:val="20"/>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Carl Langsenkamp, Xerox, +1-585-423-5782, </w:t>
      </w:r>
      <w:r>
        <w:rPr>
          <w:rFonts w:ascii="Arial" w:cs="Arial" w:eastAsia="Arial" w:hAnsi="Arial"/>
          <w:sz w:val="20"/>
          <w:szCs w:val="20"/>
          <w:u w:val="single" w:color="auto"/>
          <w:color w:val="0000FF"/>
        </w:rPr>
        <w:t>carl.langsenkamp@xerox.com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Jennifer Horsley, Xerox, +1-203-849-2656, </w:t>
      </w:r>
      <w:r>
        <w:rPr>
          <w:rFonts w:ascii="Arial" w:cs="Arial" w:eastAsia="Arial" w:hAnsi="Arial"/>
          <w:sz w:val="20"/>
          <w:szCs w:val="20"/>
          <w:u w:val="single" w:color="auto"/>
          <w:color w:val="0000FF"/>
        </w:rPr>
        <w:t>jennifer.horsley@xerox.com</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https://www.news.xerox.com</w:t>
      </w:r>
      <w:r>
        <w:rPr>
          <w:rFonts w:ascii="Arial" w:cs="Arial" w:eastAsia="Arial" w:hAnsi="Arial"/>
          <w:sz w:val="20"/>
          <w:szCs w:val="20"/>
          <w:color w:val="auto"/>
        </w:rPr>
        <w:t>. For open commentary, industry perspectives and views,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http://twitter.com/xerox, http://connect.blogs.xerox.com</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http://www.facebook.com/XeroxCorp</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https://www.instagram.com/xerox/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http://www.linkedin.com/company/xerox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http://www.youtube.com/XeroxCorp</w:t>
      </w:r>
      <w:r>
        <w:rPr>
          <w:rFonts w:ascii="Arial" w:cs="Arial" w:eastAsia="Arial" w:hAnsi="Arial"/>
          <w:sz w:val="20"/>
          <w:szCs w:val="20"/>
          <w:color w:val="000000"/>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Xerox and Design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9"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1,950</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1,946</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Services, maintenance and rentals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4,945</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5,021</w:t>
            </w:r>
          </w:p>
        </w:tc>
      </w:tr>
      <w:tr>
        <w:trPr>
          <w:trHeight w:val="25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1,722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1,753</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4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4,844</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Equity in net income (loss) of unconsolidated affiliates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Loss from discontinued operations, net of tax</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r>
      <w:tr>
        <w:trPr>
          <w:trHeight w:val="251"/>
        </w:trPr>
        <w:tc>
          <w:tcPr>
            <w:tcW w:w="5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Attributable to Xerox:</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income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Loss from discontinued operations, net of tax</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43"/>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0.81</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Basic Earnings per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0.64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0.80</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Diluted Earnings per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3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Income” throughout the remainder of this document.</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Unrealized (losses) gains,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r>
      <w:tr>
        <w:trPr>
          <w:trHeight w:val="19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Less: Other comprehensive income, net attributable to noncontrolling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8"/>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interests</w:t>
            </w:r>
          </w:p>
        </w:tc>
        <w:tc>
          <w:tcPr>
            <w:tcW w:w="3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 Attributable to Xerox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 Income, Net Attributable to Xerox</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11" w:name="page12"/>
    <w:bookmarkEnd w:id="11"/>
    <w:p>
      <w:pPr>
        <w:ind w:left="4920"/>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June 30, 2018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0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buildings and equipment,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Investments in affiliates, at equity</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3,897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4,813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and other benefit liabilities</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4,974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Xerox shareholders’ equity</w:t>
            </w:r>
          </w:p>
        </w:tc>
        <w:tc>
          <w:tcPr>
            <w:tcW w:w="26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5,377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5,293</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of common stock issued and outstanding</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9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255,102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254,613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88"/>
              <w:spacing w:after="0"/>
              <w:rPr>
                <w:sz w:val="20"/>
                <w:szCs w:val="20"/>
                <w:color w:val="auto"/>
              </w:rPr>
            </w:pPr>
            <w:r>
              <w:rPr>
                <w:rFonts w:ascii="Arial" w:cs="Arial" w:eastAsia="Arial" w:hAnsi="Arial"/>
                <w:sz w:val="14"/>
                <w:szCs w:val="14"/>
                <w:color w:val="auto"/>
              </w:rPr>
              <w:t>Six Months Ended</w:t>
            </w:r>
          </w:p>
        </w:tc>
      </w:tr>
      <w:tr>
        <w:trPr>
          <w:trHeight w:val="178"/>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r>
      <w:tr>
        <w:trPr>
          <w:trHeight w:val="27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4"/>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Loss from discontinued operations, net of tax</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r>
      <w:tr>
        <w:trPr>
          <w:trHeight w:val="27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Provisions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Payments for restructurings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Defined benefit pension cost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decrease in accounts receivable and billed portion of finance receivables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(increase) in inventories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finance receivables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134</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(increase) in other current and long-term assets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accounts payable and accrued compensation</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 other current and long-term liabilities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6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operating,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56"/>
        </w:trPr>
        <w:tc>
          <w:tcPr>
            <w:tcW w:w="68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r>
      <w:tr>
        <w:trPr>
          <w:trHeight w:val="264"/>
        </w:trPr>
        <w:tc>
          <w:tcPr>
            <w:tcW w:w="6860" w:type="dxa"/>
            <w:vAlign w:val="bottom"/>
            <w:gridSpan w:val="2"/>
          </w:tcPr>
          <w:p>
            <w:pPr>
              <w:ind w:left="72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56"/>
        </w:trPr>
        <w:tc>
          <w:tcPr>
            <w:tcW w:w="686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r>
      <w:tr>
        <w:trPr>
          <w:trHeight w:val="258"/>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Proceeds from sales of land, buildings and equipment</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Collections of deferred proceeds from sales of receivables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Collections on beneficial interest from sales of finance receivables</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Other investing, net</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6"/>
        </w:trPr>
        <w:tc>
          <w:tcPr>
            <w:tcW w:w="686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58"/>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payments on debt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financing,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r>
      <w:tr>
        <w:trPr>
          <w:trHeight w:val="250"/>
        </w:trPr>
        <w:tc>
          <w:tcPr>
            <w:tcW w:w="6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r>
      <w:tr>
        <w:trPr>
          <w:trHeight w:val="243"/>
        </w:trPr>
        <w:tc>
          <w:tcPr>
            <w:tcW w:w="6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r>
      <w:tr>
        <w:trPr>
          <w:trHeight w:val="244"/>
        </w:trPr>
        <w:tc>
          <w:tcPr>
            <w:tcW w:w="68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5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r>
      <w:tr>
        <w:trPr>
          <w:trHeight w:val="264"/>
        </w:trPr>
        <w:tc>
          <w:tcPr>
            <w:tcW w:w="68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2,402</w:t>
            </w:r>
          </w:p>
        </w:tc>
      </w:tr>
      <w:tr>
        <w:trPr>
          <w:trHeight w:val="24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6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color w:val="006EBF"/>
        </w:rPr>
        <w:t>Financial Review</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Fuji Xerox Transaction Termination</w:t>
      </w:r>
    </w:p>
    <w:p>
      <w:pPr>
        <w:spacing w:after="0" w:line="7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January 31, 2018, Xerox entered into agreements ("Transaction Agreements") with FUJIFILM Holding Corporation ("Fujifilm") and Fuji Xerox Co., Ltd. ("Fuji Xerox") for the combination of Xerox and Fuji Xerox. Under the terms of the Transaction Agreements, Fuji Xerox would have become a wholly-owned subsidiary of Xerox, Xerox shareholders would have received a $2.5 billion special cash dividend and Xerox would have become owned 49.9% by Xerox's shareholders as of the closing date for the transaction and 50.1% by Fujifilm.</w:t>
      </w:r>
    </w:p>
    <w:p>
      <w:pPr>
        <w:spacing w:after="0" w:line="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13, 2018, Xerox determined that it was in the best interest of the Company and its shareholders to terminate the Transaction Agreements in accordance with their terms due to, among other things, the failure by Fujifilm to deliver the audited financial statements of Fuji Xerox by April 15, 2018 and the material deviations reflected in the audited financial statements of Fuji Xerox, when delivered. The Company's termination of the Transaction Agreements is the subject of pending litigation.</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continues to maintain existing commercial relationships with Fuji Xerox and Fujifilm, including, as part of the following agreements: (i) the Joint Enterprise Contract, between the Company and Fujifilm, dated March 30, 2001, (ii) the Technology Agreement, dated April 1, 2006, by and between the Company and Fuji Xerox and (iii) the Master Program Agreement made and entered into as of September 9, 2013 by and between the Company and Fuji Xerox. On June 25, 2018, the Company disclosed to Fujifilm that it does not currently plan to renew the Technology Agreement when it expires in 2021. In addition, the Company indicated that, upon expiration, it may sell products directly into the Asia-Pacific market with sole and exclusive use of the Xerox brand name. Xerox's goal includes sourcing products, parts and supplies from the most competitive suppliers to support the needs of its customers.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Bridge Facility Termination</w:t>
      </w:r>
    </w:p>
    <w:p>
      <w:pPr>
        <w:spacing w:after="0" w:line="7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January 31, 2018, Xerox entered into a Commitment Letter with Citigroup Global Markets Inc. and Morgan Stanley Senior Funding, Inc., which provided a commitment for a $2.5 billion unsecured bridge loan facility that would have been available for Xerox to pay the special one-time cash dividend of $2.5 billion to existing shareholders of Xerox in connection with the Transaction Agreements, as described above.</w:t>
      </w:r>
    </w:p>
    <w:p>
      <w:pPr>
        <w:spacing w:after="0" w:line="4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Concurrent with the termination of the Transaction Agreements, the commitment to provide the unsecured bridge loan facility was terminated in the second quarter 2018 and, as a result, the remaining unamortized debt issuance costs of $16 million were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52" w:right="25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006EBF"/>
        </w:rPr>
        <w:t>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 of Total Revenue</w:t>
            </w: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r>
      <w:tr>
        <w:trPr>
          <w:trHeight w:val="264"/>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r>
      <w:tr>
        <w:trPr>
          <w:trHeight w:val="243"/>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2,567</w:t>
            </w:r>
          </w:p>
        </w:tc>
        <w:tc>
          <w:tcPr>
            <w:tcW w:w="12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of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Supplies, paper and other sales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240" w:type="dxa"/>
            <w:vAlign w:val="bottom"/>
            <w:tcBorders>
              <w:top w:val="single" w:sz="8" w:color="CCEEFF"/>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 maintenance and rentals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Supplies, paper and other sales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 Financing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Less: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Post Sale Revenue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2,011</w:t>
            </w:r>
          </w:p>
        </w:tc>
        <w:tc>
          <w:tcPr>
            <w:tcW w:w="124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International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77"/>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2,567</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Managed Document Services</w:t>
            </w:r>
            <w:r>
              <w:rPr>
                <w:rFonts w:ascii="Arial" w:cs="Arial" w:eastAsia="Arial" w:hAnsi="Arial"/>
                <w:sz w:val="17"/>
                <w:szCs w:val="17"/>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w:t>
            </w:r>
          </w:p>
        </w:tc>
        <w:tc>
          <w:tcPr>
            <w:tcW w:w="12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w:t>
            </w:r>
          </w:p>
        </w:tc>
      </w:tr>
      <w:tr>
        <w:trPr>
          <w:trHeight w:val="130"/>
        </w:trPr>
        <w:tc>
          <w:tcPr>
            <w:tcW w:w="39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5" w:lineRule="exact"/>
        <w:rPr>
          <w:sz w:val="20"/>
          <w:szCs w:val="20"/>
          <w:color w:val="auto"/>
        </w:rPr>
      </w:pPr>
    </w:p>
    <w:p>
      <w:pPr>
        <w:ind w:left="340" w:right="240" w:hanging="332"/>
        <w:spacing w:after="0" w:line="241" w:lineRule="auto"/>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In prior periods, this revenue was reported within Services, maintenance and rentals.</w:t>
      </w:r>
    </w:p>
    <w:p>
      <w:pPr>
        <w:ind w:left="340" w:hanging="332"/>
        <w:spacing w:after="0"/>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Refer to Appendix II for our Geographic Sales Channels and Product/Offering Definitions.</w:t>
      </w:r>
    </w:p>
    <w:p>
      <w:pPr>
        <w:spacing w:after="0" w:line="1" w:lineRule="exact"/>
        <w:rPr>
          <w:rFonts w:ascii="Arial" w:cs="Arial" w:eastAsia="Arial" w:hAnsi="Arial"/>
          <w:sz w:val="14"/>
          <w:szCs w:val="14"/>
          <w:i w:val="1"/>
          <w:iCs w:val="1"/>
          <w:color w:val="auto"/>
        </w:rPr>
      </w:pPr>
    </w:p>
    <w:p>
      <w:pPr>
        <w:ind w:left="340" w:right="480" w:hanging="332"/>
        <w:spacing w:after="0" w:line="258" w:lineRule="auto"/>
        <w:tabs>
          <w:tab w:leader="none" w:pos="3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equipment revenue, Managed Document Services (MDS) was $752 million in second quarter 2018 and $736 million in second quarter 2017, representing an increase of 2.2% including a 2.1-percentage point favorable impact from currency.</w:t>
      </w:r>
    </w:p>
    <w:p>
      <w:pPr>
        <w:spacing w:after="0" w:line="13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Second quarter 2018 total revenue decreased 2.2% as compared to second quarter 2017, with a 1.8-percentage point favorable impact from currency. Second quarter 2018 total revenue reflected the following:</w:t>
      </w:r>
    </w:p>
    <w:p>
      <w:pPr>
        <w:spacing w:after="0" w:line="120" w:lineRule="exact"/>
        <w:rPr>
          <w:sz w:val="20"/>
          <w:szCs w:val="20"/>
          <w:color w:val="auto"/>
        </w:rPr>
      </w:pPr>
    </w:p>
    <w:p>
      <w:pPr>
        <w:ind w:left="340" w:right="8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population of devices in the field, which is affected by installs and removals, as well as the page volumes generated by the usage of such devices and the revenue per printed page. Post sale revenue decreased 3.1% as compared to second quarter 2017, with a 1.9-percentage point favorable impact from currency.</w:t>
      </w:r>
    </w:p>
    <w:p>
      <w:pPr>
        <w:spacing w:after="0" w:line="3" w:lineRule="exact"/>
        <w:rPr>
          <w:rFonts w:ascii="Arial" w:cs="Arial" w:eastAsia="Arial" w:hAnsi="Arial"/>
          <w:sz w:val="18"/>
          <w:szCs w:val="18"/>
          <w:color w:val="auto"/>
        </w:rPr>
      </w:pPr>
    </w:p>
    <w:p>
      <w:pPr>
        <w:ind w:left="980" w:right="60" w:hanging="324"/>
        <w:spacing w:after="0" w:line="24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Managed Document Services (MDS) offerings, and revenues from our Communication and Marketing Solutions (CMS). These revenues decreased 3.9% with a 2.2-percentage point 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continuing trends of lower page volumes (including a higher mix of lower usage products), an ongoing competitive price environment, and a lower population of devices, which are partially associated with lower signings and installs in prior periods. These impacts are partially offset by higher revenues from MDS, driven by our SMB-focused channels, along with revenues from our Global Imaging business, inclusive of acquisitions.</w:t>
      </w:r>
    </w:p>
    <w:p>
      <w:pPr>
        <w:spacing w:after="0" w:line="4" w:lineRule="exact"/>
        <w:rPr>
          <w:rFonts w:ascii="Arial" w:cs="Arial" w:eastAsia="Arial" w:hAnsi="Arial"/>
          <w:sz w:val="18"/>
          <w:szCs w:val="18"/>
          <w:color w:val="auto"/>
        </w:rPr>
      </w:pPr>
    </w:p>
    <w:p>
      <w:pPr>
        <w:jc w:val="both"/>
        <w:ind w:left="980" w:right="100" w:hanging="324"/>
        <w:spacing w:after="0" w:line="237" w:lineRule="auto"/>
        <w:tabs>
          <w:tab w:leader="none" w:pos="9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1.5%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2017, with a 0.5-percentage point 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driven by lower network integration and software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5" w:name="page16"/>
    <w:bookmarkEnd w:id="15"/>
    <w:p>
      <w:pPr>
        <w:ind w:left="980" w:right="720"/>
        <w:spacing w:after="0" w:line="274" w:lineRule="auto"/>
        <w:rPr>
          <w:sz w:val="20"/>
          <w:szCs w:val="20"/>
          <w:color w:val="auto"/>
        </w:rPr>
      </w:pPr>
      <w:r>
        <w:rPr>
          <w:rFonts w:ascii="Arial" w:cs="Arial" w:eastAsia="Arial" w:hAnsi="Arial"/>
          <w:sz w:val="18"/>
          <w:szCs w:val="18"/>
          <w:color w:val="auto"/>
        </w:rPr>
        <w:t>licensing sales, while paper and supplies revenues increased (excluding original equipment manufacturer (OEM) supplies) primarily from higher sales in developing markets and our Global Imaging business.</w:t>
      </w:r>
    </w:p>
    <w:p>
      <w:pPr>
        <w:spacing w:after="0" w:line="1" w:lineRule="exact"/>
        <w:rPr>
          <w:sz w:val="20"/>
          <w:szCs w:val="20"/>
          <w:color w:val="auto"/>
        </w:rPr>
      </w:pPr>
    </w:p>
    <w:p>
      <w:pPr>
        <w:ind w:left="980" w:right="120" w:hanging="324"/>
        <w:spacing w:after="0" w:line="263"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8.1%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finance receivables balance due to lower equipment sales in prior periods and included a 2.8-percentage point favorable impact from currency.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June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Entry</w:t>
            </w:r>
            <w:r>
              <w:rPr>
                <w:rFonts w:ascii="Arial" w:cs="Arial" w:eastAsia="Arial" w:hAnsi="Arial"/>
                <w:sz w:val="17"/>
                <w:szCs w:val="17"/>
                <w:b w:val="1"/>
                <w:bCs w:val="1"/>
                <w:color w:val="auto"/>
                <w:vertAlign w:val="superscript"/>
              </w:rPr>
              <w:t>(1)</w:t>
            </w:r>
          </w:p>
        </w:tc>
        <w:tc>
          <w:tcPr>
            <w:tcW w:w="70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7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390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358</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High-end</w:t>
            </w: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109</w:t>
            </w:r>
          </w:p>
        </w:tc>
        <w:tc>
          <w:tcPr>
            <w:tcW w:w="11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b w:val="1"/>
                <w:bCs w:val="1"/>
                <w:color w:val="auto"/>
                <w:vertAlign w:val="superscript"/>
              </w:rPr>
              <w:t>(1)</w:t>
            </w:r>
          </w:p>
        </w:tc>
        <w:tc>
          <w:tcPr>
            <w:tcW w:w="7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1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17"/>
                <w:szCs w:val="17"/>
                <w:b w:val="1"/>
                <w:bCs w:val="1"/>
                <w:color w:val="auto"/>
                <w:vertAlign w:val="superscript"/>
              </w:rPr>
              <w:t>(2)</w:t>
            </w:r>
          </w:p>
        </w:tc>
        <w:tc>
          <w:tcPr>
            <w:tcW w:w="7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556</w:t>
            </w:r>
          </w:p>
        </w:tc>
        <w:tc>
          <w:tcPr>
            <w:tcW w:w="11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5" w:lineRule="exact"/>
        <w:rPr>
          <w:sz w:val="20"/>
          <w:szCs w:val="20"/>
          <w:color w:val="auto"/>
        </w:rPr>
      </w:pPr>
    </w:p>
    <w:p>
      <w:pPr>
        <w:ind w:left="340" w:right="800" w:hanging="332"/>
        <w:spacing w:after="0" w:line="241"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 2018 revenues from our OEM business are included in Other, which had historically been reported within Entry. This reclassification was made to provide better transparency to our business results. Prior year amounts have been adjusted to conform to this change.</w:t>
      </w:r>
    </w:p>
    <w:p>
      <w:pPr>
        <w:ind w:left="340" w:hanging="332"/>
        <w:spacing w:after="0" w:line="258"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(previously included in Post Sale Revenue). Prior year amounts have been adjusted to conform to this change.</w:t>
      </w:r>
    </w:p>
    <w:p>
      <w:pPr>
        <w:spacing w:after="0" w:line="112" w:lineRule="exact"/>
        <w:rPr>
          <w:sz w:val="20"/>
          <w:szCs w:val="20"/>
          <w:color w:val="auto"/>
        </w:rPr>
      </w:pPr>
    </w:p>
    <w:p>
      <w:pPr>
        <w:ind w:left="340" w:right="60" w:hanging="332"/>
        <w:spacing w:after="0" w:line="24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increased 0.9% as compared to second quarter 2017, with a 1.5-percentage point favorable impact from</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and was impacted by price declines of approximately 5% (which were in-line with our historic declines). The modest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included an approximate 4.0-percentage point unfavorable impact from lower OEM equipment sales while it also benefited from a favorable comparison as second quarter 2017 was measurably impacted by the timing of our ConnectKey product introduction. The increase in entry reflected higher sales of our ConnectKey devices in developing markets and U.S. indirect channels. The increase in mid-range reflected higher installs of new products across North America including higher large account sales as well as higher revenues from developing markets. The decrease in high-end sales primarily reflected lower revenues from iGen, at the top-end of the portfolio, along with lower revenues from black-and-white systems consistent with market decline trends; these declines were partially mitigated by higher activity from the recently launched Iridesse production press.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Revenue associated with equipment installations (discussed below) may be reflected up-front in Equipment sales or over time either through rental income or as part of our Managed Document Services revenues (which are both reported within our post sale revenues), depending on the terms and conditions of our agreements with customers.</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Install activity includes Managed Document Services and Xerox-branded products shipped to our Global Imaging business. Detail by product group (see Appendix II) is shown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 increase in color multifunction devices, reflecting demand for recently launched products across nearly all channels.</w:t>
      </w:r>
    </w:p>
    <w:p>
      <w:pPr>
        <w:spacing w:after="0" w:line="9" w:lineRule="exact"/>
        <w:rPr>
          <w:rFonts w:ascii="Arial" w:cs="Arial" w:eastAsia="Arial" w:hAnsi="Arial"/>
          <w:sz w:val="18"/>
          <w:szCs w:val="18"/>
          <w:color w:val="auto"/>
        </w:rPr>
      </w:pPr>
    </w:p>
    <w:p>
      <w:pPr>
        <w:ind w:left="340" w:right="6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 increase in black-and-white multifunction devices, driven largely by higher activity from low-end devices in developing markets as well as higher sales through U.S. indirect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right="8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 increase in mid-range color installs reflecting demand across large enterprise and indirect channels as well as a favorable impact due to the timing of our ConnectKey launch in the prior year.</w:t>
      </w:r>
    </w:p>
    <w:p>
      <w:pPr>
        <w:ind w:left="340" w:right="44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increase in mid-range black-and-white, reflecting demand for recently launched products as well as a favorable impact due to the timing of our ConnectKey launch in the prior year which more than offset market trends.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0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 decrease in high-end color installs, as growth from our new Iridesse production press was offset by lower installs of iGen and lower-end production systems.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 decrease in high-end black-and-white systems reflecting market trends.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Signings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Our reported signings mostly represent those from our Enterprise deals, as we do not currently include signings from our growing partner print services offerings or those from our Global Imaging business. Total Contract Value (TCV) is the estimated total contractual revenue related to signed contracts; our signings expressed in TCV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8"/>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center"/>
              <w:ind w:left="688"/>
              <w:spacing w:after="0"/>
              <w:rPr>
                <w:sz w:val="20"/>
                <w:szCs w:val="20"/>
                <w:color w:val="auto"/>
              </w:rPr>
            </w:pPr>
            <w:r>
              <w:rPr>
                <w:rFonts w:ascii="Arial" w:cs="Arial" w:eastAsia="Arial" w:hAnsi="Arial"/>
                <w:sz w:val="14"/>
                <w:szCs w:val="14"/>
                <w:color w:val="auto"/>
              </w:rPr>
              <w:t>June 30,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color w:val="auto"/>
              </w:rPr>
              <w:t>June 30, 2018</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CC %</w:t>
            </w:r>
          </w:p>
        </w:tc>
      </w:tr>
      <w:tr>
        <w:trPr>
          <w:trHeight w:val="178"/>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millions)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r>
      <w:tr>
        <w:trPr>
          <w:trHeight w:val="256"/>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Signings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(12.4)%</w:t>
            </w:r>
          </w:p>
        </w:tc>
      </w:tr>
      <w:tr>
        <w:trPr>
          <w:trHeight w:val="130"/>
        </w:trPr>
        <w:tc>
          <w:tcPr>
            <w:tcW w:w="2540" w:type="dxa"/>
            <w:vAlign w:val="bottom"/>
            <w:gridSpan w:val="4"/>
          </w:tcPr>
          <w:p>
            <w:pPr>
              <w:jc w:val="right"/>
              <w:ind w:right="768"/>
              <w:spacing w:after="0"/>
              <w:rPr>
                <w:sz w:val="20"/>
                <w:szCs w:val="20"/>
                <w:color w:val="auto"/>
              </w:rPr>
            </w:pPr>
            <w:r>
              <w:rPr>
                <w:rFonts w:ascii="Arial" w:cs="Arial" w:eastAsia="Arial" w:hAnsi="Arial"/>
                <w:sz w:val="11"/>
                <w:szCs w:val="11"/>
                <w:color w:val="auto"/>
                <w:w w:val="98"/>
              </w:rPr>
              <w:t>____________________________</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7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Second quarter 2018 signings decreased 19.6% from second quarter 2017, including a 1.1-percentage point favorable impact from currency, reflecting a lower renewal rate impacted by fewer large-deal renewal opportunities combined with ongoing competitive pressure in the market. On a trailing twelve month (TTM) basis, signings decreased 3.0% from the comparable prior year period, with a 0.9-percentage point favorable impact from currency.</w:t>
      </w:r>
    </w:p>
    <w:p>
      <w:pPr>
        <w:spacing w:after="0" w:line="96"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New business TCV increased 2.9% from second quarter 2017, with a 0.9-percentage point favorable impact from currency led by contracts signed in Europe. On a TTM basis, new business decreased 1.8%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Renewal Rate</w:t>
      </w:r>
    </w:p>
    <w:p>
      <w:pPr>
        <w:spacing w:after="0" w:line="2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Renewal rate is defined as the annual recurring revenue (ARR) on contracts that are renewed during the period as a percentage of ARR on all contracts for which a renewal decision was made during the period. Contract renewal rate for the second quarter 2018 was 75%, compared to our full year 2017 renewal rate of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right="240" w:hanging="332"/>
        <w:spacing w:after="0" w:line="211" w:lineRule="auto"/>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Entry installations exclude OEM sales; including OEM sales, Entry color multifunction devices decreased 20%, while Entry black-and-white multifunction devices increased 12%.</w:t>
      </w:r>
    </w:p>
    <w:p>
      <w:pPr>
        <w:ind w:left="340" w:right="100" w:hanging="332"/>
        <w:spacing w:after="0" w:line="218" w:lineRule="auto"/>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increased 29%, and High-end color systems decreased 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8"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6EBF"/>
        </w:rPr>
        <w:t>Costs, Expenses and Other Income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color w:val="auto"/>
              </w:rPr>
              <w:t>Three Months Ended June 30,</w:t>
            </w:r>
          </w:p>
        </w:tc>
        <w:tc>
          <w:tcPr>
            <w:tcW w:w="1100" w:type="dxa"/>
            <w:vAlign w:val="bottom"/>
            <w:tcBorders>
              <w:bottom w:val="single" w:sz="8" w:color="auto"/>
            </w:tcBorders>
          </w:tcPr>
          <w:p>
            <w:pPr>
              <w:spacing w:after="0"/>
              <w:rPr>
                <w:sz w:val="15"/>
                <w:szCs w:val="15"/>
                <w:color w:val="auto"/>
              </w:rPr>
            </w:pPr>
          </w:p>
        </w:tc>
      </w:tr>
      <w:tr>
        <w:trPr>
          <w:trHeight w:val="264"/>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B/(W)</w:t>
            </w:r>
          </w:p>
        </w:tc>
      </w:tr>
      <w:tr>
        <w:trPr>
          <w:trHeight w:val="25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Gross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Gross Margin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 pts.</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Income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 pts.</w:t>
            </w:r>
          </w:p>
        </w:tc>
      </w:tr>
      <w:tr>
        <w:trPr>
          <w:trHeight w:val="290"/>
        </w:trPr>
        <w:tc>
          <w:tcPr>
            <w:tcW w:w="6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70"/>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 pts.</w:t>
            </w:r>
          </w:p>
        </w:tc>
      </w:tr>
      <w:tr>
        <w:trPr>
          <w:trHeight w:val="130"/>
        </w:trPr>
        <w:tc>
          <w:tcPr>
            <w:tcW w:w="69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3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Second quarter 2018 pre-tax income margin of 5.3% decreased 2.2-percentage points as compared to second quarter 2017. The decrease was primarily driven by transaction and related costs, net as well as lower adjusted</w:t>
      </w:r>
      <w:r>
        <w:rPr>
          <w:rFonts w:ascii="Arial" w:cs="Arial" w:eastAsia="Arial" w:hAnsi="Arial"/>
          <w:sz w:val="21"/>
          <w:szCs w:val="21"/>
          <w:i w:val="1"/>
          <w:iCs w:val="1"/>
          <w:color w:val="auto"/>
          <w:vertAlign w:val="superscript"/>
        </w:rPr>
        <w:t>1</w:t>
      </w:r>
      <w:r>
        <w:rPr>
          <w:rFonts w:ascii="Arial" w:cs="Arial" w:eastAsia="Arial" w:hAnsi="Arial"/>
          <w:sz w:val="18"/>
          <w:szCs w:val="18"/>
          <w:color w:val="auto"/>
        </w:rPr>
        <w:t xml:space="preserve"> operating profit, partially offset by lower Other expenses,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jc w:val="both"/>
        <w:ind w:right="100"/>
        <w:spacing w:after="0" w:line="235" w:lineRule="auto"/>
        <w:rPr>
          <w:sz w:val="20"/>
          <w:szCs w:val="20"/>
          <w:color w:val="auto"/>
        </w:rPr>
      </w:pPr>
      <w:r>
        <w:rPr>
          <w:rFonts w:ascii="Arial" w:cs="Arial" w:eastAsia="Arial" w:hAnsi="Arial"/>
          <w:sz w:val="18"/>
          <w:szCs w:val="18"/>
          <w:color w:val="auto"/>
        </w:rPr>
        <w:t>Second quarter 2018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11.9% decreased 1.3-percentage points as compared to second quarter 2017, including a 0.8-percentage point unfavorable impact from SAG expenses specifically related to the exit of a real estate facility (0.5-percentage points) and the termination of an IT project (0.3-percentage points). The decline is also associated with lower post sale revenues and gross margins which more than offset cost productivity and savings, including savings from restructuring.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includes favorable transaction currency of 0.6-percentage points.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Second quarter 2018 gross margin of 39.9% decreased 0.7-percentage points compared to second quarter 2017, including a 0.6-percentage point favorable impact from transaction currency and also reflecting lower post sale margin as well as a less profitable mix of our revenues.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Second quarter 2018 equipment gross margin of 31.8% increased 3.1-percentage points as compared to second quarter 2017, reflecting benefits from transaction currency and cost productivity savings partially offset by an unfavorable mix due to higher sales of lower end devices.</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Second quarter 2018 post sale gross margin of 42.1% decreased 1.8-percentage points as compared to second quarter 2017 reflecting a one-time negative impact related to the timing of a manufacturing facility consolidation, as well as lower revenues that were only partially offset by productivity savings and modestly favorable transaction currency.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2018 RD&amp;E as a percentage of revenue of 4.0% was flat compared to second quarter 2017.</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RD&amp;E of $101 million decreased $1 million compared to second quarter 2017 and reflected cost reductions, including restructuring savings, and lower expenses from the sale of a business and associated transfers of resources to third parties during the prior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SAG as a percentage of revenue of 24.9% increased 0.5-percentage points as compared to second quarter 2017, including a 0.8-percentage point unfavorable impact from the termination of an IT project and the exit of a real estate facility.</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SAG of $624 million was $2 million lower than second quarter 2017, including an approximate $ 10 million unfavorable impact from currency as well as $20 million of charges related to the accelerated depreciation from the early termination of a capital lease associated with a surplus facility ($13 million) and the write-off of an IT project ($7 million). These adverse impacts were more than offset by cost savings, including restructuring savings, which were partially offset by higher compensation and benefit expense as well as sales incentives. Bad debt expense of $12 million was $3 million higher than second quarter 2017 and remained at less than one percent of receivables.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Second quarter 2018 Restructuring and related costs of $34 million included $40 million of severance costs related to headcount reductions of approximately 550 employees worldwide. These costs were partially offset by $6 million of net reversals for changes in estimated reserves from prior period initiatives. Second quarter 2018 actions impacted several functional areas, with approximately 30% focused on gross margin improvements, approximately 65% on SAG reductions, and the remainder focused on RD&amp;E optimization.</w:t>
      </w:r>
    </w:p>
    <w:p>
      <w:pPr>
        <w:spacing w:after="0" w:line="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Second quarter 2017 Restructuring and related costs of $39 million included net restructuring and asset impairment charges of $32 million as well as $7 million of additional costs primarily related to professional support services associated with the implementation of the strategic transformation program. Second quarter 2017 net restructuring and asset impairment charges of $32 million included $49 million of severance costs related to headcount reductions of approximately 500 employees worldwide and $1 million of lease cancellation charges. These costs were partially offset by $ 18 million of net reversals for changes in estimated reserves from prior period initiatives as well as a $5 million favorable adjustment on the early termination of the lease for the corporate airplane. The second quarter 2017 actions impacted several functional areas, with approximately 35% focused on gross margin improvements, approximately 60% on SAG reductions, and the remainder focused on RD&amp;E optimization.</w:t>
      </w:r>
    </w:p>
    <w:p>
      <w:pPr>
        <w:spacing w:after="0" w:line="9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restructuring reserve balance as of June 30, 2018 for all programs was $79 million, of which $76 million is expected to be spent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second quarter 2018, we recorded $58 million of Transaction and related costs, net which included the following:</w:t>
      </w:r>
    </w:p>
    <w:p>
      <w:pPr>
        <w:spacing w:after="0" w:line="9" w:lineRule="exact"/>
        <w:rPr>
          <w:sz w:val="20"/>
          <w:szCs w:val="20"/>
          <w:color w:val="auto"/>
        </w:rPr>
      </w:pPr>
    </w:p>
    <w:p>
      <w:pPr>
        <w:ind w:left="340" w:right="38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the previously disclosed settlement agreement reached with certain shareholders as well as third-party legal and other related costs associated with on-going litigation resulting from the terminated combination transaction and other related shareholder actions.</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 million of costs related to the commitment for a $2.5 billion unsecured bridge loan facility, which was terminated concurrent with the termination of the Fuji Xerox combination transaction.</w:t>
      </w:r>
    </w:p>
    <w:p>
      <w:pPr>
        <w:ind w:left="340" w:right="2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recoveries of approximately $15 million for litigation and related settlement costs. We continue to pursue additional recoveries from insurance carriers and other parties for costs and expenses related to the terminated transaction and shareholder litigation and therefore additional recoveries and adjustments may be recorded in future periods, when finalized. As previously disclosed, in July 2018, we reached a settlement with a financial advisor for the refund of approximately $13.5 million, which will be recorded in the third quarter 2018.</w:t>
      </w:r>
    </w:p>
    <w:p>
      <w:pPr>
        <w:spacing w:after="0" w:line="2" w:lineRule="exact"/>
        <w:rPr>
          <w:rFonts w:ascii="Arial" w:cs="Arial" w:eastAsia="Arial" w:hAnsi="Arial"/>
          <w:sz w:val="18"/>
          <w:szCs w:val="18"/>
          <w:color w:val="auto"/>
        </w:rPr>
      </w:pPr>
    </w:p>
    <w:p>
      <w:pPr>
        <w:ind w:left="340" w:right="40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Follow-on costs related to the proposed combination transaction with Fuji Xerox, which was terminated in May 2018, primarily for third-party accounting, legal, consulting and other similar types of services.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2018 Amortization of intangible assets of $12 million was $3 million lower than second quarter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Worldwide employment was approximately 34,300 as of June 30, 2018 and decreased by approximately 1,000 from December 31, 2017. The reduction is primarily due to the impact of restructuring and productivity-related reductions.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006EBF"/>
        </w:rPr>
        <w:t>Other Expenses, Net</w:t>
      </w:r>
    </w:p>
    <w:p>
      <w:pPr>
        <w:spacing w:after="0" w:line="194"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June 30,</w:t>
            </w:r>
          </w:p>
        </w:tc>
        <w:tc>
          <w:tcPr>
            <w:tcW w:w="1240" w:type="dxa"/>
            <w:vAlign w:val="bottom"/>
            <w:tcBorders>
              <w:bottom w:val="single" w:sz="8" w:color="auto"/>
            </w:tcBorders>
          </w:tcPr>
          <w:p>
            <w:pPr>
              <w:spacing w:after="0"/>
              <w:rPr>
                <w:sz w:val="15"/>
                <w:szCs w:val="15"/>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2017</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Second quarter 2018 non-financing interest expense of $27 million was $3 million higher than second quarter 2017. When combined with financing interest expense (Cost of financing), total interest expense increased by $3 million from second quarter 2017 due to a higher debt balance reflecting $1.0 billion of new debt issued in the third quarter 2017 to fund, among other things, a $500 million voluntary contribution to our U.S. defined benefit pension plans, partially offset by lower average interest rates.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Second quarter 2018 non-service retirement-related costs were $9 million lower than second quarter 2017, primarily driven by lower losses from pension settlements and the favorable impact of higher pension contributions and asset returns in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of sales of businesses and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2018 gains on sales of businesses and assets of $16 million reflected the sale of non-core business assets.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Income Taxes</w:t>
      </w:r>
    </w:p>
    <w:p>
      <w:pPr>
        <w:spacing w:after="0" w:line="13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Second quarter 2018 effective tax rate was 28.6%.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second quarter 2018 effective tax rate was 26.7%. These rates were higher than the U.S. statutory tax rate of 21% primarily due to impacts associated with the 2017 Tax Act, as discussed below, as well as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benefits associated with the following charges: Restructuring and related costs, Amortization of intangible assets, Transaction and related costs, net and non-service retirement-related costs.</w:t>
      </w:r>
    </w:p>
    <w:p>
      <w:pPr>
        <w:spacing w:after="0" w:line="10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Second quarter 2017 effective tax rate was 22.3%.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second quarter 2017 effective tax rate was 27.0%. Both rates were lower than the U.S. statutory tax rate of 35% primarily due to foreign tax credits and the geographic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benefits associated with the following charges: Restructuring and related costs, Amortization of intangible assets and non-service retirement-related costs.</w:t>
      </w:r>
    </w:p>
    <w:p>
      <w:pPr>
        <w:spacing w:after="0" w:line="10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Cuts and Jobs Act (the “Tax Act”)</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things, lowering the U.S. statutory corporate income tax rate from 35% to 21% and implementing a territorial tax system that includes a one-time transition tax on deemed repatriated earnings of foreign subsidiaries.</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fourth quarter 2017, we recorded an estimated non-cash charge of $400 million reflecting the impact associated with the provisions of the Tax Act based on currently available information. Our estimated charge incorporates assumptions made based on our current interpretation of the Tax Act as well as currently available information and may change, possibly materially, as we complete our analysis and receive additional clarification and implementation guidance. Changes in interpretations and assumptions as well as actions we may take as a result of the Tax Act, may also impact this estimated charge. The $400 million estimated provisional charge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5" w:right="239" w:bottom="1440" w:gutter="0" w:footer="0" w:header="0"/>
        </w:sectPr>
      </w:pPr>
    </w:p>
    <w:bookmarkStart w:id="20" w:name="page21"/>
    <w:bookmarkEnd w:id="20"/>
    <w:p>
      <w:pPr>
        <w:ind w:right="60"/>
        <w:spacing w:after="0" w:line="254" w:lineRule="auto"/>
        <w:rPr>
          <w:sz w:val="20"/>
          <w:szCs w:val="20"/>
          <w:color w:val="auto"/>
        </w:rPr>
      </w:pPr>
      <w:r>
        <w:rPr>
          <w:rFonts w:ascii="Arial" w:cs="Arial" w:eastAsia="Arial" w:hAnsi="Arial"/>
          <w:sz w:val="18"/>
          <w:szCs w:val="18"/>
          <w:color w:val="auto"/>
        </w:rPr>
        <w:t>continues to be our best estimate of the impacts from the Tax Act and no further adjustment of that charge was made in the second quarter 2018. However, we continue to evaluate the impacts from the Tax Act and likely will do so through the filing of our 2017 U.S. Tax Return in the third quarter 2018. Any adjustments to these provisional amounts will be reported as a component of Income tax expense in the reporting period in which any such adjustments are determined.</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Effective January 1, 2018, we became subject to several provisions of the Tax Act including computations related to Global Intangible Low Taxed Income ("GILTI"), Foreign Derived Intangible Income ("FDII"), Base Erosion and Anti-Abuse Tax ("BEAT"), and IRC Section 163(j) interest limitation (Interest Limitation). Our current estimate for the GILTI, FDII and Interest Limitation rules was determined to be immaterial, however we currently estimate that we are subject to BEAT. Accordingly, our second quarter 2018 effective tax rate includes the estimated impact for BEAT, which has also been incorporated into our estimated annual effective tax for 2018. Similar to the provisional charge recorded in the fourth quarter 2017 associated with the enactment of the Tax Act, the estimates for these additional provisions of the Tax Act were made based on our current interpretation of the Tax Act as well as currently available information and may change, as we complete our analysis and receive additional clarification and implementation guidance. Changes in interpretations and assumptions as well as actions we may take as a result of the Tax Act may also impact these estimates.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Equity in Net Income (Loss) of Unconsolidated Affiliates</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Equity in net income (loss) of unconsolidated affiliates primarily reflects our 25% share of Fuji Xerox net income. Second quarter 2018 equity income of $19 million decreased $1 million compared to second quarter 2017.</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90"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006EBF"/>
        </w:rPr>
        <w:t>Net Income from Continuing Operations</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Second quarter 2018 net income from continuing operations attributable to Xerox was $112 million, or $0.42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$213 million, or $0.80 per diluted share. Second quarter 2018 adjustments to net income include Restructuring and related costs, Amortization of intangible assets, Transaction and related costs, net and non-service retirement-related costs.</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Second quarter 2017 net income from continuing operations attributable to Xerox was $166 million, or $0.63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$224 million, or $0.86 per diluted share. Second quarter 2017 adjustments to net income include Restructuring and related costs, Amortization of intangible assets and non-service retirement-related costs.</w:t>
      </w:r>
    </w:p>
    <w:p>
      <w:pPr>
        <w:spacing w:after="0" w:line="1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the "Non-GAAP Financial Measures" section for the calculation of adjusted EPS. The calculations of basic and diluted earnings per share are included as Appendix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634" w:right="299" w:bottom="1440" w:gutter="0" w:footer="0" w:header="0"/>
        </w:sectPr>
      </w:pPr>
    </w:p>
    <w:bookmarkStart w:id="22" w:name="page23"/>
    <w:bookmarkEnd w:id="22"/>
    <w:p>
      <w:pPr>
        <w:spacing w:after="0"/>
        <w:rPr>
          <w:sz w:val="20"/>
          <w:szCs w:val="20"/>
          <w:color w:val="auto"/>
        </w:rPr>
      </w:pPr>
      <w:r>
        <w:rPr>
          <w:rFonts w:ascii="Arial" w:cs="Arial" w:eastAsia="Arial" w:hAnsi="Arial"/>
          <w:sz w:val="25"/>
          <w:szCs w:val="25"/>
          <w:b w:val="1"/>
          <w:bCs w:val="1"/>
          <w:color w:val="006EBF"/>
        </w:rPr>
        <w:t>Capital Resources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8"/>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5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50"/>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9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1,474</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Net cash provided by operating activities of continuing operations was $235 million in second quarter 2018. The $46 million decrease in operating cash from second quarter 2017 was primarily due to the following:</w:t>
      </w:r>
    </w:p>
    <w:p>
      <w:pPr>
        <w:spacing w:after="0" w:line="1" w:lineRule="exact"/>
        <w:rPr>
          <w:sz w:val="20"/>
          <w:szCs w:val="20"/>
          <w:color w:val="auto"/>
        </w:rPr>
      </w:pPr>
    </w:p>
    <w:p>
      <w:pPr>
        <w:ind w:left="340" w:right="86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$22 million decrease in pre-tax income before Transaction and related costs, net, depreciation and amortization, gain on sales of businesses and assets, restructuring charges and defined benefit pension costs.</w:t>
      </w:r>
    </w:p>
    <w:p>
      <w:pPr>
        <w:ind w:left="340" w:right="70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$53 million increase from accounts receivable primarily due to the prior year reclassification of $51 million of collections of deferred proceeds from the sales of accounts receivables to investing.</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$46 million increase from inventory due to timing of the product launch in the prior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 million increase from lower restructuring payments.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$28 million increase due to lower net tax payments.</w:t>
      </w:r>
    </w:p>
    <w:p>
      <w:pPr>
        <w:spacing w:after="0" w:line="9"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$57 million decrease from the change in accounts payable and accrued compensation primarily related to the year-over-year timing of supplier and vendor payments.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$27 million decrease in dividends received from equity investments primarily due to lower year-to-date income from Fuji Xerox.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 million decrease due to lower net run-off of finance receivables of $12 million and higher equipment on operating leases of $13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 million decrease primarily related to the prior year settlements of foreign currency derivative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$23 million decrease due to payments for Transaction and related costs, net.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 million decrease from higher pension contributions primarily in the U.K.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Net cash used in investing activities was $15 million in second quarter 2018. The $15 million change from second quarter 2017 was primarily due to the following:</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$65 million increase due to no acquisitions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 million increase primarily from the sale of non-core business assets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$51 million decrease is primarily a result of the termination of certain accounts receivables sales arrangements in fourth quarter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 million decrease due to higher capital expenditures.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cash used in financing activities was $339 million in second quarter 2018. The $259 million increase in the use of cash from second quarter 2017 was primarily due from net debt activity. 2018 reflects payments of $265 million on Senior Notes and $6 million of bridge facility costs compared to no debt activity in the prior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52"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1269BC"/>
        </w:rPr>
        <w:t>Cash, Cash Equivalents and Restricted Cash</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tax and labor litigation. Various litigation matters in Brazil require us to make cash deposits to escrow as a condition of continuing the litigation. Restricted cash amounts are classified in our Condensed Consolidated Balance Sheets based on when the cash is expected to be contractually or judicially released.</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June 30, 2018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r>
      <w:tr>
        <w:trPr>
          <w:trHeight w:val="264"/>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Tax and labor litigation deposits in Brazil</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r>
      <w:tr>
        <w:trPr>
          <w:trHeight w:val="264"/>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restricted cash</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5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Restricted cash</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1,368</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June 30, 2018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r>
      <w:tr>
        <w:trPr>
          <w:trHeight w:val="24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320" w:type="dxa"/>
            <w:vAlign w:val="bottom"/>
          </w:tcPr>
          <w:p>
            <w:pPr>
              <w:spacing w:after="0"/>
              <w:rPr>
                <w:sz w:val="22"/>
                <w:szCs w:val="22"/>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terminated swaps</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$4 million and $6 million as of June 30, 2018 and December 31, 2017, respectively.</w:t>
      </w:r>
    </w:p>
    <w:p>
      <w:pPr>
        <w:ind w:left="340" w:right="160" w:hanging="332"/>
        <w:spacing w:after="0" w:line="225" w:lineRule="auto"/>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700" w:hanging="332"/>
        <w:spacing w:after="0" w:line="220"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2017 includes a decrease of $64 million due to currency.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6" w:right="239" w:bottom="1440" w:gutter="0" w:footer="0" w:header="0"/>
        </w:sectPr>
      </w:pPr>
    </w:p>
    <w:bookmarkStart w:id="24" w:name="page25"/>
    <w:bookmarkEnd w:id="24"/>
    <w:p>
      <w:pPr>
        <w:ind w:right="120"/>
        <w:spacing w:after="0" w:line="256"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June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debt</w:t>
            </w: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Core debt</w:t>
            </w: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 Accounts receivable sold are generally short-term trade receivables with payment due dates of less than 60 days. During the fourth quarter 2017, we terminated all accounts receivable sales arrangements in North America and all but one arrangement in Europe. The remaining accounts receivable sales facility in Europe enables us to sell receivables associated with our distributor network on an ongoing basis without recourse. Under this arrangement, we sell our entire interest in the related accounts receivable for cash and no portion of the payment is held back or deferred by the purchaser.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jc w:val="center"/>
        <w:ind w:left="858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proceeds</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7"/>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Estimated increase to operating cash flows</w:t>
            </w:r>
            <w:r>
              <w:rPr>
                <w:rFonts w:ascii="Arial" w:cs="Arial" w:eastAsia="Arial" w:hAnsi="Arial"/>
                <w:sz w:val="17"/>
                <w:szCs w:val="17"/>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130"/>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ind w:left="340" w:right="40" w:hanging="332"/>
        <w:spacing w:after="0" w:line="241" w:lineRule="auto"/>
        <w:tabs>
          <w:tab w:leader="none" w:pos="3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4"/>
          <w:szCs w:val="14"/>
          <w:i w:val="1"/>
          <w:iCs w:val="1"/>
          <w:color w:val="auto"/>
        </w:rPr>
      </w:pPr>
    </w:p>
    <w:p>
      <w:pPr>
        <w:ind w:left="340" w:right="360" w:hanging="332"/>
        <w:spacing w:after="0" w:line="258" w:lineRule="auto"/>
        <w:tabs>
          <w:tab w:leader="none" w:pos="3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difference between current and prior period accounts receivable sales adjusted for the effects of the deferred proceeds, collections prior to the end of the quarter and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5" w:name="page26"/>
    <w:bookmarkEnd w:id="25"/>
    <w:p>
      <w:pPr>
        <w:spacing w:after="0"/>
        <w:rPr>
          <w:sz w:val="20"/>
          <w:szCs w:val="20"/>
          <w:color w:val="auto"/>
        </w:rPr>
      </w:pPr>
      <w:r>
        <w:rPr>
          <w:rFonts w:ascii="Arial" w:cs="Arial" w:eastAsia="Arial" w:hAnsi="Arial"/>
          <w:sz w:val="25"/>
          <w:szCs w:val="25"/>
          <w:b w:val="1"/>
          <w:bCs w:val="1"/>
          <w:color w:val="006EBF"/>
        </w:rPr>
        <w:t>Forward-Looking Statements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52" w:right="23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006EBF"/>
        </w:rPr>
        <w:t>Non-GAAP Financial Measures</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second quarter 2018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207" w:lineRule="exact"/>
        <w:rPr>
          <w:sz w:val="20"/>
          <w:szCs w:val="20"/>
          <w:color w:val="auto"/>
        </w:rPr>
      </w:pPr>
    </w:p>
    <w:p>
      <w:pPr>
        <w:jc w:val="both"/>
        <w:ind w:left="340" w:right="22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2"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Restructuring and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Restructuring and related costs include restructuring and asset impairment charges as well as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strategic transformation program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strategic transformation program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2" w:lineRule="exact"/>
        <w:rPr>
          <w:rFonts w:ascii="Arial" w:cs="Arial" w:eastAsia="Arial" w:hAnsi="Arial"/>
          <w:sz w:val="17"/>
          <w:szCs w:val="17"/>
          <w:color w:val="auto"/>
        </w:rPr>
      </w:pPr>
    </w:p>
    <w:p>
      <w:pPr>
        <w:jc w:val="both"/>
        <w:ind w:left="340" w:right="160" w:hanging="332"/>
        <w:spacing w:after="0" w:line="26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ind w:left="340"/>
        <w:spacing w:after="0" w:line="250"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as a result of our adoption of ASU 2017-07 - Reporting of Retirement Related Benefit Costs in 2018. Adjusted earnings will continue to include the service cost elements of our retirement costs, which is related to current employee service as well as the cost of our defined contribution plans.</w:t>
      </w:r>
    </w:p>
    <w:p>
      <w:pPr>
        <w:spacing w:after="0" w:line="3" w:lineRule="exact"/>
        <w:rPr>
          <w:rFonts w:ascii="Arial" w:cs="Arial" w:eastAsia="Arial" w:hAnsi="Arial"/>
          <w:sz w:val="17"/>
          <w:szCs w:val="17"/>
          <w:color w:val="auto"/>
        </w:rPr>
      </w:pPr>
    </w:p>
    <w:p>
      <w:pPr>
        <w:ind w:left="340" w:right="360" w:hanging="332"/>
        <w:spacing w:after="0" w:line="25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Xerox's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transaction with Fuji Xerox, which was terminated in May 2018, as well as costs and 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 Accordingly, we are excluding these expenses from our Adjusted Earnings Measures in order to evaluate our performance on a comparable basis.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36" w:right="259" w:bottom="1440" w:gutter="0" w:footer="0" w:header="0"/>
        </w:sectPr>
      </w:pPr>
    </w:p>
    <w:bookmarkStart w:id="27" w:name="page28"/>
    <w:bookmarkEnd w:id="27"/>
    <w:p>
      <w:pPr>
        <w:ind w:left="340" w:right="120" w:hanging="332"/>
        <w:spacing w:after="0" w:line="28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other charges - Fuji Xerox:</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adjust our 25% share of Fuji Xerox’s net income for similar items noted above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Restructuring and related costs and Transaction and related costs, net based on the same rationale discussed above.</w:t>
      </w:r>
    </w:p>
    <w:p>
      <w:pPr>
        <w:spacing w:after="0" w:line="18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 Adjusted operating income and margin also include Equity in net income (loss) of unconsolidated affiliates. Equity in net income (loss) of unconsolidated affiliates primarily reflects our 25% share of Fuji Xerox's net income. We include this amount in our measure of operating income and margin as Fuji Xerox is our primary product supplier and intermediary to the Asia/Pacific market for distribution of Xerox branded products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the local country currency. The constant currency impact for signings growth is calculated on the basis of plan currency rates. Management believes the constant currency measure provides investors an additional perspective on revenue trends. Currency impact can be determined as the difference between actual growth rates and constant currency growth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from continuing operations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right"/>
              <w:ind w:right="30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4"/>
          </w:tcPr>
          <w:p>
            <w:pPr>
              <w:jc w:val="right"/>
              <w:ind w:right="76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color w:val="auto"/>
              </w:rPr>
              <w:t>June 30, 2018</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June 30, 2017</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EPS</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1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7"/>
                <w:szCs w:val="17"/>
                <w:color w:val="auto"/>
                <w:vertAlign w:val="superscript"/>
              </w:rPr>
              <w:t>(4)</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gridSpan w:val="2"/>
            <w:vMerge w:val="restart"/>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51"/>
        </w:trPr>
        <w:tc>
          <w:tcPr>
            <w:tcW w:w="51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from continuing operations attributable to Xerox.</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ind w:left="340" w:right="440" w:hanging="332"/>
        <w:spacing w:after="0" w:line="211"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B convertible preferred stock, as applicable.</w:t>
      </w:r>
    </w:p>
    <w:p>
      <w:pPr>
        <w:ind w:left="340" w:right="20" w:hanging="332"/>
        <w:spacing w:after="0" w:line="218"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June 30, 2018 as well as shares associated with our Series B convertible preferred stock plus potential dilutive common shares as used for the calculation of diluted earnings per share for the second quarter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color w:val="auto"/>
              </w:rPr>
              <w:t>June 30, 2018</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rPr>
              <w:t>June 30, 2017</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Income Tax</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Income Tax Expense from continuing operations.</w:t>
      </w:r>
    </w:p>
    <w:p>
      <w:pPr>
        <w:ind w:left="340" w:hanging="332"/>
        <w:spacing w:after="0" w:line="187"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and EPS reconciliation for details.</w:t>
      </w:r>
    </w:p>
    <w:p>
      <w:pPr>
        <w:ind w:left="340" w:right="100" w:hanging="332"/>
        <w:spacing w:after="0" w:line="218"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from continuing operations is calculated under the same accounting principles applied to the As Reported Pre-Tax Income under ASC 740, which employs an annual effective tax rate method to the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June 30, 2018</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June 30, 2017</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expenses, net</w:t>
            </w: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w:t>
            </w:r>
          </w:p>
        </w:tc>
        <w:tc>
          <w:tcPr>
            <w:tcW w:w="34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338</w:t>
            </w:r>
          </w:p>
        </w:tc>
        <w:tc>
          <w:tcPr>
            <w:tcW w:w="34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 from continuing operations.</w:t>
      </w:r>
    </w:p>
    <w:p>
      <w:pPr>
        <w:ind w:left="340" w:hanging="332"/>
        <w:spacing w:after="0" w:line="199"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8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Guidance:</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jc w:val="right"/>
              <w:ind w:right="668"/>
              <w:spacing w:after="0"/>
              <w:rPr>
                <w:sz w:val="20"/>
                <w:szCs w:val="20"/>
                <w:color w:val="auto"/>
              </w:rPr>
            </w:pPr>
            <w:r>
              <w:rPr>
                <w:rFonts w:ascii="Arial" w:cs="Arial" w:eastAsia="Arial" w:hAnsi="Arial"/>
                <w:sz w:val="14"/>
                <w:szCs w:val="14"/>
                <w:b w:val="1"/>
                <w:bCs w:val="1"/>
                <w:color w:val="auto"/>
              </w:rPr>
              <w:t>Free Cash Flow</w:t>
            </w:r>
          </w:p>
        </w:tc>
      </w:tr>
      <w:tr>
        <w:trPr>
          <w:trHeight w:val="27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4"/>
                <w:szCs w:val="24"/>
                <w:color w:val="auto"/>
              </w:rPr>
            </w:pPr>
          </w:p>
        </w:tc>
        <w:tc>
          <w:tcPr>
            <w:tcW w:w="254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FY 2018</w:t>
            </w:r>
          </w:p>
        </w:tc>
      </w:tr>
      <w:tr>
        <w:trPr>
          <w:trHeight w:val="256"/>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Flows from Continuing Operations</w:t>
            </w:r>
          </w:p>
        </w:tc>
        <w:tc>
          <w:tcPr>
            <w:tcW w:w="2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$900 - $1,100</w:t>
            </w:r>
          </w:p>
        </w:tc>
      </w:tr>
      <w:tr>
        <w:trPr>
          <w:trHeight w:val="264"/>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Capital Expenditures</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4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Flows from Continuing Operations</w:t>
            </w:r>
          </w:p>
        </w:tc>
        <w:tc>
          <w:tcPr>
            <w:tcW w:w="2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$750 - $950</w:t>
            </w:r>
          </w:p>
        </w:tc>
      </w:tr>
      <w:tr>
        <w:trPr>
          <w:trHeight w:val="20"/>
        </w:trPr>
        <w:tc>
          <w:tcPr>
            <w:tcW w:w="8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5"/>
          <w:szCs w:val="25"/>
          <w:b w:val="1"/>
          <w:bCs w:val="1"/>
          <w:color w:val="auto"/>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Common Share</w:t>
      </w:r>
    </w:p>
    <w:p>
      <w:pPr>
        <w:jc w:val="center"/>
        <w:spacing w:after="0"/>
        <w:rPr>
          <w:sz w:val="20"/>
          <w:szCs w:val="20"/>
          <w:color w:val="auto"/>
        </w:rPr>
      </w:pPr>
      <w:r>
        <w:rPr>
          <w:rFonts w:ascii="Arial" w:cs="Arial" w:eastAsia="Arial" w:hAnsi="Arial"/>
          <w:sz w:val="18"/>
          <w:szCs w:val="18"/>
          <w:color w:val="auto"/>
        </w:rPr>
        <w:t>(in millions except per share data, shares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4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6080" w:type="dxa"/>
            <w:vAlign w:val="bottom"/>
          </w:tcPr>
          <w:p>
            <w:pPr>
              <w:ind w:left="40"/>
              <w:spacing w:after="0"/>
              <w:rPr>
                <w:sz w:val="20"/>
                <w:szCs w:val="20"/>
                <w:color w:val="auto"/>
              </w:rPr>
            </w:pPr>
            <w:r>
              <w:rPr>
                <w:rFonts w:ascii="Arial" w:cs="Arial" w:eastAsia="Arial" w:hAnsi="Arial"/>
                <w:sz w:val="14"/>
                <w:szCs w:val="14"/>
                <w:color w:val="auto"/>
              </w:rPr>
              <w:t>Adjusted net income from continuing operations available to common shareholders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attributable to Xerox</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24"/>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254,107</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Xerox</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from continuing operations available to common shareholders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Net loss from discontinued operations attributable to Xerox</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8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254,895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254,791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254,107</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256,297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color w:val="auto"/>
              </w:rPr>
              <w:t>The following securities were not included in the computation of diluted earnings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40"/>
              <w:spacing w:after="0"/>
              <w:rPr>
                <w:sz w:val="20"/>
                <w:szCs w:val="20"/>
                <w:color w:val="auto"/>
              </w:rPr>
            </w:pPr>
            <w:r>
              <w:rPr>
                <w:rFonts w:ascii="Arial" w:cs="Arial" w:eastAsia="Arial" w:hAnsi="Arial"/>
                <w:sz w:val="14"/>
                <w:szCs w:val="14"/>
                <w:color w:val="auto"/>
              </w:rPr>
              <w:t>as they were either contingently issuable shares or shares that if included would have been</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80" w:type="dxa"/>
            <w:vAlign w:val="bottom"/>
          </w:tcPr>
          <w:p>
            <w:pPr>
              <w:ind w:left="40"/>
              <w:spacing w:after="0"/>
              <w:rPr>
                <w:sz w:val="20"/>
                <w:szCs w:val="20"/>
                <w:color w:val="auto"/>
              </w:rPr>
            </w:pPr>
            <w:r>
              <w:rPr>
                <w:rFonts w:ascii="Arial" w:cs="Arial" w:eastAsia="Arial" w:hAnsi="Arial"/>
                <w:sz w:val="14"/>
                <w:szCs w:val="14"/>
                <w:color w:val="auto"/>
              </w:rPr>
              <w:t>anti-dilutive: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Anti-Dilutive Securities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12,168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12,289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9,202</w:t>
            </w:r>
          </w:p>
        </w:tc>
        <w:tc>
          <w:tcPr>
            <w:tcW w:w="0" w:type="dxa"/>
            <w:vAlign w:val="bottom"/>
          </w:tcPr>
          <w:p>
            <w:pPr>
              <w:spacing w:after="0"/>
              <w:rPr>
                <w:sz w:val="1"/>
                <w:szCs w:val="1"/>
                <w:color w:val="auto"/>
              </w:rPr>
            </w:pPr>
          </w:p>
        </w:tc>
      </w:tr>
      <w:tr>
        <w:trPr>
          <w:trHeight w:val="264"/>
        </w:trPr>
        <w:tc>
          <w:tcPr>
            <w:tcW w:w="6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52" w:right="239" w:bottom="1440" w:gutter="0" w:footer="0" w:header="0"/>
        </w:sectPr>
      </w:pPr>
    </w:p>
    <w:bookmarkStart w:id="31" w:name="page32"/>
    <w:bookmarkEnd w:id="31"/>
    <w:p>
      <w:pPr>
        <w:jc w:val="center"/>
        <w:ind w:right="-219"/>
        <w:spacing w:after="0"/>
        <w:rPr>
          <w:sz w:val="20"/>
          <w:szCs w:val="20"/>
          <w:color w:val="auto"/>
        </w:rPr>
      </w:pPr>
      <w:r>
        <w:rPr>
          <w:rFonts w:ascii="Arial" w:cs="Arial" w:eastAsia="Arial" w:hAnsi="Arial"/>
          <w:sz w:val="25"/>
          <w:szCs w:val="25"/>
          <w:b w:val="1"/>
          <w:bCs w:val="1"/>
          <w:color w:val="auto"/>
        </w:rPr>
        <w:t>APPENDIX II</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Xerox Corporation</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Geographic Sales Channels and Product/Offering Definitions</w:t>
      </w:r>
    </w:p>
    <w:p>
      <w:pPr>
        <w:spacing w:after="0" w:line="200" w:lineRule="exact"/>
        <w:rPr>
          <w:sz w:val="20"/>
          <w:szCs w:val="20"/>
          <w:color w:val="auto"/>
        </w:rPr>
      </w:pPr>
    </w:p>
    <w:p>
      <w:pPr>
        <w:spacing w:after="0" w:line="2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North America, which includes our sales channels in the U.S. and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which includes our sales channels in Europe, Eurasia, Latin America,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right="24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Managed Document Services (MDS) revenue, which includes solutions and services that span from managing print to automating processes to managing content. Our primary offerings within MDS are Managed Print Services (including from Global Imaging Systems), as well as workflow automation services, and Centralized Print Services and Solutions (CPS). MDS excludes Communication and Marketing Solutions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sectPr>
      <w:pgSz w:w="11900" w:h="16838" w:orient="portrait"/>
      <w:cols w:equalWidth="0" w:num="1">
        <w:col w:w="11200"/>
      </w:cols>
      <w:pgMar w:left="24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lvl w:ilvl="1">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2019-12-28T21:07:16Z</dcterms:created>
  <dcterms:modified xsi:type="dcterms:W3CDTF">2019-12-28T21:07:16Z</dcterms:modified>
</cp:coreProperties>
</file>