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0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229" w:lineRule="exact"/>
        <w:rPr>
          <w:sz w:val="24"/>
          <w:szCs w:val="24"/>
          <w:color w:val="auto"/>
        </w:rPr>
      </w:pPr>
    </w:p>
    <w:p>
      <w:pPr>
        <w:ind w:left="460"/>
        <w:spacing w:after="0"/>
        <w:tabs>
          <w:tab w:leader="none" w:pos="3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1-4471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XEROX CORPORATION SAVINGS PLAN</w:t>
      </w:r>
    </w:p>
    <w:p>
      <w:pPr>
        <w:spacing w:after="0" w:line="246"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XEROX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 GLOVER AVENUE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4505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NORWALK, CT 06856-4505</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REQUIRED INFORMATION</w:t>
      </w:r>
    </w:p>
    <w:p>
      <w:pPr>
        <w:spacing w:after="0" w:line="225"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Xerox Corporation Savings Plan (the “Plan”) is subject to the Employee Retirement Income Security Act of 1974 (“ERISA”). Therefore, in lieu of the requirements of Items 1-3 of Form 11-K, the financial statements and schedule of the Plan at December 31, 2014 and 2013 and for the year ended December 31, 2014, which have been prepared in accordance with the financial reporting requirements of ERISA, are filed herewith as Exhibit 99-1 and incorporated herein by reference.</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EXHIBITS</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ind w:left="40"/>
              <w:spacing w:after="0"/>
              <w:rPr>
                <w:sz w:val="20"/>
                <w:szCs w:val="20"/>
                <w:color w:val="auto"/>
              </w:rPr>
            </w:pPr>
            <w:r>
              <w:rPr>
                <w:rFonts w:ascii="Arial" w:cs="Arial" w:eastAsia="Arial" w:hAnsi="Arial"/>
                <w:sz w:val="14"/>
                <w:szCs w:val="14"/>
                <w:color w:val="auto"/>
                <w:w w:val="99"/>
              </w:rPr>
              <w:t>Exhibit</w:t>
            </w:r>
          </w:p>
        </w:tc>
        <w:tc>
          <w:tcPr>
            <w:tcW w:w="5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60" w:type="dxa"/>
            <w:vAlign w:val="bottom"/>
          </w:tcPr>
          <w:p>
            <w:pPr>
              <w:spacing w:after="0"/>
              <w:rPr>
                <w:sz w:val="14"/>
                <w:szCs w:val="14"/>
                <w:color w:val="auto"/>
              </w:rPr>
            </w:pPr>
          </w:p>
        </w:tc>
      </w:tr>
      <w:tr>
        <w:trPr>
          <w:trHeight w:val="167"/>
        </w:trPr>
        <w:tc>
          <w:tcPr>
            <w:tcW w:w="480" w:type="dxa"/>
            <w:vAlign w:val="bottom"/>
          </w:tcPr>
          <w:p>
            <w:pPr>
              <w:spacing w:after="0"/>
              <w:rPr>
                <w:sz w:val="20"/>
                <w:szCs w:val="20"/>
                <w:color w:val="auto"/>
              </w:rPr>
            </w:pPr>
            <w:r>
              <w:rPr>
                <w:rFonts w:ascii="Arial" w:cs="Arial" w:eastAsia="Arial" w:hAnsi="Arial"/>
                <w:sz w:val="14"/>
                <w:szCs w:val="14"/>
                <w:color w:val="auto"/>
                <w:w w:val="92"/>
              </w:rPr>
              <w:t>Number</w:t>
            </w:r>
          </w:p>
        </w:tc>
        <w:tc>
          <w:tcPr>
            <w:tcW w:w="10940" w:type="dxa"/>
            <w:vAlign w:val="bottom"/>
            <w:gridSpan w:val="3"/>
          </w:tcPr>
          <w:p>
            <w:pPr>
              <w:ind w:left="5420"/>
              <w:spacing w:after="0"/>
              <w:rPr>
                <w:sz w:val="20"/>
                <w:szCs w:val="20"/>
                <w:color w:val="auto"/>
              </w:rPr>
            </w:pPr>
            <w:r>
              <w:rPr>
                <w:rFonts w:ascii="Arial" w:cs="Arial" w:eastAsia="Arial" w:hAnsi="Arial"/>
                <w:sz w:val="14"/>
                <w:szCs w:val="14"/>
                <w:color w:val="auto"/>
              </w:rPr>
              <w:t>Description</w:t>
            </w:r>
          </w:p>
        </w:tc>
      </w:tr>
      <w:tr>
        <w:trPr>
          <w:trHeight w:val="20"/>
        </w:trPr>
        <w:tc>
          <w:tcPr>
            <w:tcW w:w="4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Financial Statements and Schedule of the Plan at December 31, 2014 and 2013 and for the year ended December 31, 2014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99-2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03"/>
        </w:trPr>
        <w:tc>
          <w:tcPr>
            <w:tcW w:w="4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r>
      <w:tr>
        <w:trPr>
          <w:trHeight w:val="48"/>
        </w:trPr>
        <w:tc>
          <w:tcPr>
            <w:tcW w:w="4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Pursuant to the requirements of the Securities Exchange Act of 1934, the persons who administer the plan have duly caused this annual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XEROX CORPORATION SAVINGS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M. BECKER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M. BECKER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PLAN ADMINISTRATOR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Norwalk,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2015</w:t>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Supplemental Schedule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Accompany 2014 Form 5500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of Employee Benefit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ERISA of 1974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 and 2013</w:t>
      </w:r>
    </w:p>
    <w:p>
      <w:pPr>
        <w:sectPr>
          <w:pgSz w:w="11900" w:h="16838" w:orient="portrait"/>
          <w:cols w:equalWidth="0" w:num="1">
            <w:col w:w="10219"/>
          </w:cols>
          <w:pgMar w:left="240" w:top="12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30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r>
      <w:tr>
        <w:trPr>
          <w:trHeight w:val="309"/>
        </w:trPr>
        <w:tc>
          <w:tcPr>
            <w:tcW w:w="8020" w:type="dxa"/>
            <w:vAlign w:val="bottom"/>
          </w:tcPr>
          <w:p>
            <w:pPr>
              <w:spacing w:after="0"/>
              <w:rPr>
                <w:sz w:val="20"/>
                <w:szCs w:val="20"/>
                <w:color w:val="auto"/>
              </w:rPr>
            </w:pPr>
            <w:r>
              <w:rPr>
                <w:rFonts w:ascii="Arial" w:cs="Arial" w:eastAsia="Arial" w:hAnsi="Arial"/>
                <w:sz w:val="18"/>
                <w:szCs w:val="18"/>
                <w:b w:val="1"/>
                <w:bCs w:val="1"/>
                <w:color w:val="auto"/>
              </w:rPr>
              <w:t>Independent Auditor’s Report</w:t>
            </w:r>
          </w:p>
        </w:tc>
        <w:tc>
          <w:tcPr>
            <w:tcW w:w="3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300" w:type="dxa"/>
            <w:vAlign w:val="bottom"/>
          </w:tcPr>
          <w:p>
            <w:pPr>
              <w:spacing w:after="0"/>
              <w:rPr>
                <w:sz w:val="24"/>
                <w:szCs w:val="24"/>
                <w:color w:val="auto"/>
              </w:rPr>
            </w:pPr>
          </w:p>
        </w:tc>
      </w:tr>
      <w:tr>
        <w:trPr>
          <w:trHeight w:val="324"/>
        </w:trPr>
        <w:tc>
          <w:tcPr>
            <w:tcW w:w="8020" w:type="dxa"/>
            <w:vAlign w:val="bottom"/>
          </w:tcPr>
          <w:p>
            <w:pPr>
              <w:spacing w:after="0"/>
              <w:rPr>
                <w:sz w:val="20"/>
                <w:szCs w:val="20"/>
                <w:color w:val="auto"/>
              </w:rPr>
            </w:pPr>
            <w:r>
              <w:rPr>
                <w:rFonts w:ascii="Arial" w:cs="Arial" w:eastAsia="Arial" w:hAnsi="Arial"/>
                <w:sz w:val="18"/>
                <w:szCs w:val="18"/>
                <w:color w:val="auto"/>
              </w:rPr>
              <w:t>Statements of Assets Available for Benefits</w:t>
            </w:r>
          </w:p>
        </w:tc>
        <w:tc>
          <w:tcPr>
            <w:tcW w:w="3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020" w:type="dxa"/>
            <w:vAlign w:val="bottom"/>
          </w:tcPr>
          <w:p>
            <w:pPr>
              <w:spacing w:after="0"/>
              <w:rPr>
                <w:sz w:val="20"/>
                <w:szCs w:val="20"/>
                <w:color w:val="auto"/>
              </w:rPr>
            </w:pPr>
            <w:r>
              <w:rPr>
                <w:rFonts w:ascii="Arial" w:cs="Arial" w:eastAsia="Arial" w:hAnsi="Arial"/>
                <w:sz w:val="18"/>
                <w:szCs w:val="18"/>
                <w:color w:val="auto"/>
              </w:rPr>
              <w:t>Statement of Changes in Assets Available for Benefits</w:t>
            </w:r>
          </w:p>
        </w:tc>
        <w:tc>
          <w:tcPr>
            <w:tcW w:w="3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02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330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324"/>
        </w:trPr>
        <w:tc>
          <w:tcPr>
            <w:tcW w:w="8020" w:type="dxa"/>
            <w:vAlign w:val="bottom"/>
          </w:tcPr>
          <w:p>
            <w:pPr>
              <w:spacing w:after="0"/>
              <w:rPr>
                <w:sz w:val="20"/>
                <w:szCs w:val="20"/>
                <w:color w:val="auto"/>
              </w:rPr>
            </w:pPr>
            <w:r>
              <w:rPr>
                <w:rFonts w:ascii="Arial" w:cs="Arial" w:eastAsia="Arial" w:hAnsi="Arial"/>
                <w:sz w:val="18"/>
                <w:szCs w:val="18"/>
                <w:b w:val="1"/>
                <w:bCs w:val="1"/>
                <w:color w:val="auto"/>
              </w:rPr>
              <w:t>Supplemental Schedule</w:t>
            </w:r>
          </w:p>
        </w:tc>
        <w:tc>
          <w:tcPr>
            <w:tcW w:w="3300" w:type="dxa"/>
            <w:vAlign w:val="bottom"/>
          </w:tcPr>
          <w:p>
            <w:pPr>
              <w:spacing w:after="0"/>
              <w:rPr>
                <w:sz w:val="24"/>
                <w:szCs w:val="24"/>
                <w:color w:val="auto"/>
              </w:rPr>
            </w:pPr>
          </w:p>
        </w:tc>
      </w:tr>
      <w:tr>
        <w:trPr>
          <w:trHeight w:val="324"/>
        </w:trPr>
        <w:tc>
          <w:tcPr>
            <w:tcW w:w="8020" w:type="dxa"/>
            <w:vAlign w:val="bottom"/>
          </w:tcPr>
          <w:p>
            <w:pPr>
              <w:spacing w:after="0"/>
              <w:rPr>
                <w:sz w:val="20"/>
                <w:szCs w:val="20"/>
                <w:color w:val="auto"/>
              </w:rPr>
            </w:pPr>
            <w:r>
              <w:rPr>
                <w:rFonts w:ascii="Arial" w:cs="Arial" w:eastAsia="Arial" w:hAnsi="Arial"/>
                <w:sz w:val="18"/>
                <w:szCs w:val="18"/>
                <w:color w:val="auto"/>
              </w:rPr>
              <w:t>Schedule H, Part IV, Item 4i - Schedule of Assets (Held at End of Year)</w:t>
            </w:r>
          </w:p>
        </w:tc>
        <w:tc>
          <w:tcPr>
            <w:tcW w:w="33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29" w:lineRule="exact"/>
        <w:rPr>
          <w:sz w:val="20"/>
          <w:szCs w:val="20"/>
          <w:color w:val="auto"/>
        </w:rPr>
      </w:pPr>
    </w:p>
    <w:p>
      <w:pPr>
        <w:ind w:left="580" w:right="200" w:hanging="579"/>
        <w:spacing w:after="0" w:line="277" w:lineRule="auto"/>
        <w:tabs>
          <w:tab w:leader="none" w:pos="560" w:val="left"/>
        </w:tabs>
        <w:rPr>
          <w:sz w:val="20"/>
          <w:szCs w:val="20"/>
          <w:color w:val="auto"/>
        </w:rPr>
      </w:pPr>
      <w:r>
        <w:rPr>
          <w:rFonts w:ascii="Arial" w:cs="Arial" w:eastAsia="Arial" w:hAnsi="Arial"/>
          <w:sz w:val="18"/>
          <w:szCs w:val="18"/>
          <w:color w:val="auto"/>
        </w:rPr>
        <w:t>Note:</w:t>
        <w:tab/>
        <w:t>Other schedules required by Section 2520.103-10 of the Department of Labor’s Rules and Regulations for Reporting and Disclosure under ERISA have been omitted because they are not applicable.</w:t>
      </w:r>
    </w:p>
    <w:p>
      <w:pPr>
        <w:sectPr>
          <w:pgSz w:w="11900" w:h="16838" w:orient="portrait"/>
          <w:cols w:equalWidth="0" w:num="1">
            <w:col w:w="11320"/>
          </w:cols>
          <w:pgMar w:left="240" w:top="270" w:right="339" w:bottom="1440" w:gutter="0" w:footer="0" w:header="0"/>
        </w:sectPr>
      </w:pPr>
    </w:p>
    <w:bookmarkStart w:id="4" w:name="page5"/>
    <w:bookmarkEnd w:id="4"/>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92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89217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Administrator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Xerox Corporation Savings Plan</w:t>
      </w:r>
    </w:p>
    <w:p>
      <w:pPr>
        <w:spacing w:after="0" w:line="10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our opinion, the accompanying statements of net assets available for benefits and the related statement of changes in net assets available for benefits present fairly, in all material respects, the net assets available for benefits of Xerox Corporation Savings Plan (the “Plan”) at December 31, 2014 and 2013, and the changes in net assets available for benefits for the year ended December 31, 2014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supplemental schedule of assets (held at end of year) at December 31, 2014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of assets (held at end of year) is fairly stated, in all material respects, in relation to the financial statements as a whole.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LLP, 300 Atlantic Street, Stamford, CT 06901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 (203) 539 3000, F: (813) 207 3999, www.pwc.com/us</w:t>
      </w:r>
    </w:p>
    <w:p>
      <w:pPr>
        <w:sectPr>
          <w:pgSz w:w="11900" w:h="16838" w:orient="portrait"/>
          <w:cols w:equalWidth="0" w:num="1">
            <w:col w:w="11400"/>
          </w:cols>
          <w:pgMar w:left="240" w:top="144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Assets Available for Benefits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360" w:type="dxa"/>
            <w:vAlign w:val="bottom"/>
            <w:vMerge w:val="continue"/>
          </w:tcPr>
          <w:p>
            <w:pPr>
              <w:spacing w:after="0"/>
              <w:rPr>
                <w:sz w:val="12"/>
                <w:szCs w:val="12"/>
                <w:color w:val="auto"/>
              </w:rPr>
            </w:pPr>
          </w:p>
        </w:tc>
        <w:tc>
          <w:tcPr>
            <w:tcW w:w="8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Investment interest in Master Trust at fair value (Note 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$4,433,093</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$4,509,540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 receivable</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58,925</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61,094</w:t>
            </w: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color w:val="auto"/>
              </w:rPr>
              <w:t>Employer contributions receivable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4,499,659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4,578,462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b w:val="1"/>
                <w:bCs w:val="1"/>
                <w:color w:val="auto"/>
              </w:rPr>
              <w:t>Assets available for benefits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4,499,659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4,578,462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Assets Available for Benefits</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to assets attributed to:</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Contributions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Employer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Rollovers (from RIGP and ESOP)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Rollovers</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Total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appreciation from plan interest in Master Trust, net of administrative expenses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on participant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Transfers in from affiliated plan (Note 8)</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 from assets attributed to:</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Benefits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Administrative expenses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b w:val="1"/>
          <w:bCs w:val="1"/>
          <w:color w:val="auto"/>
        </w:rPr>
        <w:t>Total deductions</w:t>
      </w:r>
    </w:p>
    <w:p>
      <w:pPr>
        <w:spacing w:after="0" w:line="4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Net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available for benefits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End of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50"/>
        <w:spacing w:after="0"/>
        <w:rPr>
          <w:sz w:val="20"/>
          <w:szCs w:val="20"/>
          <w:color w:val="auto"/>
        </w:rPr>
      </w:pPr>
      <w:r>
        <w:rPr>
          <w:rFonts w:ascii="Arial" w:cs="Arial" w:eastAsia="Arial" w:hAnsi="Arial"/>
          <w:sz w:val="12"/>
          <w:szCs w:val="12"/>
          <w:b w:val="1"/>
          <w:bCs w:val="1"/>
          <w:u w:val="single" w:color="auto"/>
          <w:color w:val="auto"/>
        </w:rPr>
        <w:t>December 31, 2014</w:t>
      </w:r>
    </w:p>
    <w:p>
      <w:pPr>
        <w:spacing w:after="0" w:line="200" w:lineRule="exact"/>
        <w:rPr>
          <w:sz w:val="20"/>
          <w:szCs w:val="20"/>
          <w:color w:val="auto"/>
        </w:rPr>
      </w:pPr>
    </w:p>
    <w:p>
      <w:pPr>
        <w:spacing w:after="0" w:line="235" w:lineRule="exact"/>
        <w:rPr>
          <w:sz w:val="20"/>
          <w:szCs w:val="20"/>
          <w:color w:val="auto"/>
        </w:rPr>
      </w:pPr>
    </w:p>
    <w:p>
      <w:pPr>
        <w:ind w:left="570" w:hanging="570"/>
        <w:spacing w:after="0"/>
        <w:tabs>
          <w:tab w:leader="none" w:pos="57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103,528</w:t>
      </w:r>
    </w:p>
    <w:p>
      <w:pPr>
        <w:spacing w:after="0" w:line="23" w:lineRule="exact"/>
        <w:rPr>
          <w:rFonts w:ascii="Arial" w:cs="Arial" w:eastAsia="Arial" w:hAnsi="Arial"/>
          <w:sz w:val="18"/>
          <w:szCs w:val="18"/>
          <w:color w:val="auto"/>
        </w:rPr>
      </w:pPr>
    </w:p>
    <w:p>
      <w:pPr>
        <w:ind w:left="670"/>
        <w:spacing w:after="0"/>
        <w:rPr>
          <w:rFonts w:ascii="Arial" w:cs="Arial" w:eastAsia="Arial" w:hAnsi="Arial"/>
          <w:sz w:val="18"/>
          <w:szCs w:val="18"/>
          <w:color w:val="auto"/>
        </w:rPr>
      </w:pPr>
      <w:r>
        <w:rPr>
          <w:rFonts w:ascii="Arial" w:cs="Arial" w:eastAsia="Arial" w:hAnsi="Arial"/>
          <w:sz w:val="18"/>
          <w:szCs w:val="18"/>
          <w:color w:val="auto"/>
        </w:rPr>
        <w:t>30,942</w:t>
      </w:r>
    </w:p>
    <w:p>
      <w:pPr>
        <w:spacing w:after="0" w:line="9" w:lineRule="exact"/>
        <w:rPr>
          <w:rFonts w:ascii="Arial" w:cs="Arial" w:eastAsia="Arial" w:hAnsi="Arial"/>
          <w:sz w:val="18"/>
          <w:szCs w:val="18"/>
          <w:color w:val="auto"/>
        </w:rPr>
      </w:pPr>
    </w:p>
    <w:p>
      <w:pPr>
        <w:ind w:left="670"/>
        <w:spacing w:after="0"/>
        <w:rPr>
          <w:rFonts w:ascii="Arial" w:cs="Arial" w:eastAsia="Arial" w:hAnsi="Arial"/>
          <w:sz w:val="18"/>
          <w:szCs w:val="18"/>
          <w:color w:val="auto"/>
        </w:rPr>
      </w:pPr>
      <w:r>
        <w:rPr>
          <w:rFonts w:ascii="Arial" w:cs="Arial" w:eastAsia="Arial" w:hAnsi="Arial"/>
          <w:sz w:val="18"/>
          <w:szCs w:val="18"/>
          <w:color w:val="auto"/>
        </w:rPr>
        <w:t>22,035</w:t>
      </w:r>
    </w:p>
    <w:p>
      <w:pPr>
        <w:spacing w:after="0" w:line="9" w:lineRule="exact"/>
        <w:rPr>
          <w:rFonts w:ascii="Arial" w:cs="Arial" w:eastAsia="Arial" w:hAnsi="Arial"/>
          <w:sz w:val="18"/>
          <w:szCs w:val="18"/>
          <w:color w:val="auto"/>
        </w:rPr>
      </w:pPr>
    </w:p>
    <w:p>
      <w:pPr>
        <w:ind w:left="750"/>
        <w:spacing w:after="0"/>
        <w:rPr>
          <w:rFonts w:ascii="Arial" w:cs="Arial" w:eastAsia="Arial" w:hAnsi="Arial"/>
          <w:sz w:val="18"/>
          <w:szCs w:val="18"/>
          <w:color w:val="auto"/>
        </w:rPr>
      </w:pPr>
      <w:r>
        <w:rPr>
          <w:rFonts w:ascii="Arial" w:cs="Arial" w:eastAsia="Arial" w:hAnsi="Arial"/>
          <w:sz w:val="18"/>
          <w:szCs w:val="18"/>
          <w:color w:val="auto"/>
        </w:rPr>
        <w:t>4,287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570"/>
        <w:spacing w:after="0"/>
        <w:rPr>
          <w:sz w:val="20"/>
          <w:szCs w:val="20"/>
          <w:color w:val="auto"/>
        </w:rPr>
      </w:pPr>
      <w:r>
        <w:rPr>
          <w:rFonts w:ascii="Arial" w:cs="Arial" w:eastAsia="Arial" w:hAnsi="Arial"/>
          <w:sz w:val="18"/>
          <w:szCs w:val="18"/>
          <w:b w:val="1"/>
          <w:bCs w:val="1"/>
          <w:color w:val="auto"/>
        </w:rPr>
        <w:t>160,792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37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p>
    <w:p>
      <w:pPr>
        <w:ind w:left="570"/>
        <w:spacing w:after="0"/>
        <w:rPr>
          <w:sz w:val="20"/>
          <w:szCs w:val="20"/>
          <w:color w:val="auto"/>
        </w:rPr>
      </w:pPr>
      <w:r>
        <w:rPr>
          <w:rFonts w:ascii="Arial" w:cs="Arial" w:eastAsia="Arial" w:hAnsi="Arial"/>
          <w:sz w:val="18"/>
          <w:szCs w:val="18"/>
          <w:color w:val="auto"/>
        </w:rPr>
        <w:t>255,010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2,440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570"/>
        <w:spacing w:after="0"/>
        <w:rPr>
          <w:sz w:val="20"/>
          <w:szCs w:val="20"/>
          <w:color w:val="auto"/>
        </w:rPr>
      </w:pPr>
      <w:r>
        <w:rPr>
          <w:rFonts w:ascii="Arial" w:cs="Arial" w:eastAsia="Arial" w:hAnsi="Arial"/>
          <w:sz w:val="18"/>
          <w:szCs w:val="18"/>
          <w:b w:val="1"/>
          <w:bCs w:val="1"/>
          <w:color w:val="auto"/>
        </w:rPr>
        <w:t>418,331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37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494,799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1,827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570"/>
        <w:spacing w:after="0"/>
        <w:rPr>
          <w:sz w:val="20"/>
          <w:szCs w:val="20"/>
          <w:color w:val="auto"/>
        </w:rPr>
      </w:pPr>
      <w:r>
        <w:rPr>
          <w:rFonts w:ascii="Arial" w:cs="Arial" w:eastAsia="Arial" w:hAnsi="Arial"/>
          <w:sz w:val="18"/>
          <w:szCs w:val="18"/>
          <w:b w:val="1"/>
          <w:bCs w:val="1"/>
          <w:color w:val="auto"/>
        </w:rPr>
        <w:t>497,134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37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(78,803)</w:t>
      </w:r>
    </w:p>
    <w:p>
      <w:pPr>
        <w:spacing w:after="0" w:line="225" w:lineRule="exact"/>
        <w:rPr>
          <w:sz w:val="20"/>
          <w:szCs w:val="20"/>
          <w:color w:val="auto"/>
        </w:rPr>
      </w:pPr>
    </w:p>
    <w:p>
      <w:pPr>
        <w:ind w:left="450"/>
        <w:spacing w:after="0"/>
        <w:rPr>
          <w:sz w:val="20"/>
          <w:szCs w:val="20"/>
          <w:color w:val="auto"/>
        </w:rPr>
      </w:pPr>
      <w:r>
        <w:rPr>
          <w:rFonts w:ascii="Arial" w:cs="Arial" w:eastAsia="Arial" w:hAnsi="Arial"/>
          <w:sz w:val="17"/>
          <w:szCs w:val="17"/>
          <w:color w:val="auto"/>
        </w:rPr>
        <w:t>4,578,462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37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8" w:lineRule="exact"/>
        <w:rPr>
          <w:sz w:val="20"/>
          <w:szCs w:val="20"/>
          <w:color w:val="auto"/>
        </w:rPr>
      </w:pPr>
    </w:p>
    <w:p>
      <w:pPr>
        <w:ind w:left="450" w:hanging="450"/>
        <w:spacing w:after="0"/>
        <w:tabs>
          <w:tab w:leader="none" w:pos="450" w:val="left"/>
        </w:tabs>
        <w:numPr>
          <w:ilvl w:val="0"/>
          <w:numId w:val="6"/>
        </w:numPr>
        <w:rPr>
          <w:rFonts w:ascii="Arial" w:cs="Arial" w:eastAsia="Arial" w:hAnsi="Arial"/>
          <w:sz w:val="17"/>
          <w:szCs w:val="17"/>
          <w:color w:val="auto"/>
        </w:rPr>
      </w:pPr>
      <w:r>
        <w:rPr>
          <w:rFonts w:ascii="Arial" w:cs="Arial" w:eastAsia="Arial" w:hAnsi="Arial"/>
          <w:sz w:val="17"/>
          <w:szCs w:val="17"/>
          <w:color w:val="auto"/>
        </w:rPr>
        <w:t>4,499,659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37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7372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ectPr>
          <w:pgSz w:w="11900" w:h="16838" w:orient="portrait"/>
          <w:cols w:equalWidth="0" w:num="2">
            <w:col w:w="9430" w:space="720"/>
            <w:col w:w="1230"/>
          </w:cols>
          <w:pgMar w:left="240" w:top="27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Xerox Corporation Savings Plan (the Plan) provides only general information. The Plan is subject to the provisions of the Employee Retirement Income Security Act of 1974 (ERISA). Participants should refer to the summary plan description and the plan document for a more complete description of the Plan’s provisions.</w:t>
      </w:r>
    </w:p>
    <w:p>
      <w:pPr>
        <w:spacing w:after="0" w:line="2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jc w:val="both"/>
        <w:ind w:left="460" w:right="7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Plan is a defined contribution plan covering substantially all full and part-time U.S. employees of Xerox Corporation (the Company) and participating subsidiaries, except those covered by a collective bargaining agreement unless that agreement calls for participation in the Plan. Employees are automatically eligible to participate in the Plan upon date of hire.</w:t>
      </w:r>
    </w:p>
    <w:p>
      <w:pPr>
        <w:spacing w:after="0" w:line="2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rFonts w:ascii="Arial" w:cs="Arial" w:eastAsia="Arial" w:hAnsi="Arial"/>
          <w:sz w:val="18"/>
          <w:szCs w:val="18"/>
          <w:b w:val="1"/>
          <w:bCs w:val="1"/>
          <w:color w:val="auto"/>
        </w:rPr>
      </w:pPr>
    </w:p>
    <w:p>
      <w:pPr>
        <w:jc w:val="both"/>
        <w:ind w:left="460" w:right="7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Plan Administrator Committee is appointed by the Vice President of Human Resources of the Company and is responsible for the general administration of the Plan and for carrying out the Plan provisions. The trustee of the Plan is State Street Bank and Trust Company. Xerox HR Solutions, LLC is the record keeper of the Plan.</w:t>
      </w:r>
    </w:p>
    <w:p>
      <w:pPr>
        <w:spacing w:after="0" w:line="2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Contributions</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Subject to limits imposed by the Internal Revenue Code, eligible employees may contribute to the Plan up to 80% of pay (as defined in the Plan document) through a combination of before-tax and after-tax payroll deductions. Participants who are at least age 50 by the end of the plan year may make an additional catch-up contribution up to $5,500 (increased to $6,000 in 2015). Participants direct the investment of their contributions into various investment options offered by the Plan.</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provides a matching contribution of 3% (100% up to 3% of eligible pay that is saved in the Plan).</w:t>
      </w:r>
    </w:p>
    <w:p>
      <w:pPr>
        <w:spacing w:after="0" w:line="117" w:lineRule="exact"/>
        <w:rPr>
          <w:rFonts w:ascii="Arial" w:cs="Arial" w:eastAsia="Arial" w:hAnsi="Arial"/>
          <w:sz w:val="18"/>
          <w:szCs w:val="18"/>
          <w:b w:val="1"/>
          <w:bCs w:val="1"/>
          <w:color w:val="auto"/>
        </w:rPr>
      </w:pPr>
    </w:p>
    <w:p>
      <w:pPr>
        <w:ind w:left="460"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To be eligible to receive the matching Company contribution, the participant must be actively employed on the last business day of the quarter (except by reason of death, retirement, approved leave of absence, disability or layoff) in which the contribution is made by the Company.</w:t>
      </w:r>
    </w:p>
    <w:p>
      <w:pPr>
        <w:spacing w:after="0" w:line="2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Vesting of Benefits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Participants are vested immediately in employee and employer contributions and actual earnings thereon.</w:t>
      </w:r>
    </w:p>
    <w:p>
      <w:pPr>
        <w:spacing w:after="0" w:line="3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Payment of Benefits</w:t>
      </w:r>
    </w:p>
    <w:p>
      <w:pPr>
        <w:spacing w:after="0" w:line="121" w:lineRule="exact"/>
        <w:rPr>
          <w:rFonts w:ascii="Arial" w:cs="Arial" w:eastAsia="Arial" w:hAnsi="Arial"/>
          <w:sz w:val="18"/>
          <w:szCs w:val="18"/>
          <w:b w:val="1"/>
          <w:bCs w:val="1"/>
          <w:color w:val="auto"/>
        </w:rPr>
      </w:pPr>
    </w:p>
    <w:p>
      <w:pPr>
        <w:ind w:left="46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Upon termination of service, a participant may elect to defer receipt of benefits or receive a lump-sum amount equal to the value of his or her account. Participants who are retiree eligible (at least 55 years of age with at least 10 years of service) when service is terminated can receive installments.</w:t>
      </w:r>
    </w:p>
    <w:p>
      <w:pPr>
        <w:spacing w:after="0" w:line="15" w:lineRule="exact"/>
        <w:rPr>
          <w:rFonts w:ascii="Arial" w:cs="Arial" w:eastAsia="Arial" w:hAnsi="Arial"/>
          <w:sz w:val="18"/>
          <w:szCs w:val="18"/>
          <w:b w:val="1"/>
          <w:bCs w:val="1"/>
          <w:color w:val="auto"/>
        </w:rPr>
      </w:pPr>
    </w:p>
    <w:p>
      <w:pPr>
        <w:ind w:left="460" w:right="1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For a participant who attains age seventy and one-half after December 31, 2011, and has terminated employment, Plan benefits will be distributed by April 1 of the calendar year following the calendar year of attainment of age seventy and one-half, in an amount equal to the Required Minimum Distribution, as defined, and the remainder of the participant’s benefits under the Plan shall be entirely distributed by the last day of the calendar year following the calendar year of attainment of age seventy and one-half. This will not apply to a participant who has elected payment in installments.</w:t>
      </w:r>
    </w:p>
    <w:p>
      <w:pPr>
        <w:spacing w:after="0" w:line="25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Investment Options</w:t>
      </w:r>
    </w:p>
    <w:p>
      <w:pPr>
        <w:spacing w:after="0" w:line="121"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Plan participants are able to direct the investment of their Plan holdings (employer and employee contributions) into various investment options as offered under the Plan on a daily basis. The investment options consist of 10 Lifecycle Funds, 15 Focused Strategy Funds that include passively and actively managed options, and the Company stock fund.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Participant Loans Receivable</w:t>
      </w:r>
    </w:p>
    <w:p>
      <w:pPr>
        <w:spacing w:after="0" w:line="121"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Participants are permitted to borrow from their accounts subject to limitations set forth in the Plan document. The loans are generally payable up to 4.5 years, except for loans to secure a private residence which can be payable up to 14.5 years and bear interest at an interest rate equal to the Citibank commercial prime rate as published in the Wall Street Journal in effect on the 15</w:t>
      </w:r>
      <w:r>
        <w:rPr>
          <w:rFonts w:ascii="Arial" w:cs="Arial" w:eastAsia="Arial" w:hAnsi="Arial"/>
          <w:sz w:val="15"/>
          <w:szCs w:val="15"/>
          <w:color w:val="auto"/>
        </w:rPr>
        <w:t>th</w:t>
      </w:r>
      <w:r>
        <w:rPr>
          <w:rFonts w:ascii="Arial" w:cs="Arial" w:eastAsia="Arial" w:hAnsi="Arial"/>
          <w:sz w:val="18"/>
          <w:szCs w:val="18"/>
          <w:color w:val="auto"/>
        </w:rPr>
        <w:t xml:space="preserve"> day of the month prior to the first day of the quarter to which it is to apply, plus 1% as set forth on January 1, April 1, July 1, and October 1 by the Plan administrator. Principal and interest payments on the loans are re-deposited into the participants’ accounts, primarily made through payroll deductions, based on their current investment allocation elections. Participants may not have more than five loans outstanding at any one time and the balance of outstanding loans for any one individual cannot exceed $50,000 or 50% of their vested account balance. Interest rates for loans ranged from 4.25% to 10.5% at December 31, 2014 and 2013, with loans maturing at various dates through 2029.</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left="460" w:right="160"/>
        <w:spacing w:after="0" w:line="342" w:lineRule="auto"/>
        <w:rPr>
          <w:sz w:val="20"/>
          <w:szCs w:val="20"/>
          <w:color w:val="auto"/>
        </w:rPr>
      </w:pPr>
      <w:r>
        <w:rPr>
          <w:rFonts w:ascii="Arial" w:cs="Arial" w:eastAsia="Arial" w:hAnsi="Arial"/>
          <w:sz w:val="16"/>
          <w:szCs w:val="16"/>
          <w:color w:val="auto"/>
        </w:rPr>
        <w:t>Each participant account is credited with the participant’s contributions, the Company’s contributions and an allocation of Plan earnings (losses). Plan earnings (losses) are allocated based on account balances by investment option. Expenses payable by the Plan are charged to participant accounts.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Plan Termination</w:t>
      </w:r>
    </w:p>
    <w:p>
      <w:pPr>
        <w:spacing w:after="0" w:line="121"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The Plan was established with the expectation that it will continue indefinitely; however, the Company reserves the right to amend or terminate the Plan.</w:t>
      </w:r>
    </w:p>
    <w:p>
      <w:pPr>
        <w:spacing w:after="0" w:line="315" w:lineRule="exact"/>
        <w:rPr>
          <w:sz w:val="20"/>
          <w:szCs w:val="20"/>
          <w:color w:val="auto"/>
        </w:rPr>
      </w:pPr>
    </w:p>
    <w:p>
      <w:pPr>
        <w:ind w:left="460" w:right="7580" w:hanging="452"/>
        <w:spacing w:after="0" w:line="378" w:lineRule="auto"/>
        <w:tabs>
          <w:tab w:leader="none" w:pos="44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Accounting</w:t>
      </w: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financial statements are prepared on the accrual basis of accounting in accordance with accounting principles generally accepted in the United States of America.</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Benefit Payments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Benefit payments are recorded when paid.</w:t>
      </w:r>
    </w:p>
    <w:p>
      <w:pPr>
        <w:spacing w:after="0" w:line="3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Participant Loans Receivable</w:t>
      </w:r>
    </w:p>
    <w:p>
      <w:pPr>
        <w:spacing w:after="0" w:line="121"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Loans receivable from participants are measured at their unpaid principal balance plus any accrued but unpaid interest. Delinquent participant loans are reclassified as distributions based upon the terms of the plan document.</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Contributions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Employee contributions are recorded when withheld from participants’ pay. Employer contributions are recorded on a quarterly basis.</w:t>
      </w:r>
    </w:p>
    <w:p>
      <w:pPr>
        <w:spacing w:after="0" w:line="3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5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Accordingly, actual results could differ from those estimates.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The assets of the Plan are held in the Xerox Corporation Trust Agreement to Fund Retirement Plans (the Master Trust). The value of the Plan’s interest in the Master Trust is based on the beginning of year value of the Plan’s interest in the trust, plus actual contributions and investment income (loss) based on participant account balances, less actual distributions and allocated administrative expenses. For financial reporting purposes, income on Plan assets and any realized or unrealized gains or losses on such assets and expenses in the Master Trust are allocated to the Plan based on participant account balances.</w:t>
      </w:r>
    </w:p>
    <w:p>
      <w:pPr>
        <w:spacing w:after="0" w:line="80" w:lineRule="exact"/>
        <w:rPr>
          <w:sz w:val="20"/>
          <w:szCs w:val="20"/>
          <w:color w:val="auto"/>
        </w:rPr>
      </w:pPr>
    </w:p>
    <w:p>
      <w:pPr>
        <w:jc w:val="both"/>
        <w:ind w:left="460" w:right="120"/>
        <w:spacing w:after="0" w:line="264" w:lineRule="auto"/>
        <w:rPr>
          <w:sz w:val="20"/>
          <w:szCs w:val="20"/>
          <w:color w:val="auto"/>
        </w:rPr>
      </w:pPr>
      <w:r>
        <w:rPr>
          <w:rFonts w:ascii="Arial" w:cs="Arial" w:eastAsia="Arial" w:hAnsi="Arial"/>
          <w:sz w:val="18"/>
          <w:szCs w:val="18"/>
          <w:color w:val="auto"/>
        </w:rPr>
        <w:t>The Master Trust holds assets for other Company-sponsored plans, some of which may be defined contribution plans and some defined benefit plans. Because the Plan’s interest in the Master Trust is based on participant investment options, there are certain Master Trust investments in which the Plan does not invest.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Valuation of Investments and Income Recognition</w:t>
      </w:r>
    </w:p>
    <w:p>
      <w:pPr>
        <w:spacing w:after="0" w:line="121"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The Plan’s investment in the Master Trust is recorded at an amount equal to the Plan’s interest in the underlying investments of the Master Trust. Investments of the Master Trust are stated at fair value. Shares of registered investment company funds are valued at the net asset value as reported by the fund managers at year-end. Common and preferred stock are stated at fair value based on published market closing prices. Fixed income investments are valued on the basis of valuations furnished by Company-approved independent pricing services. These services determine valuations for normal institutional-size trading units of such securities using valuation models or matrix pricing, which incorporates yield and/or price with respect to bonds that are considered comparable in characteristics such as rating, interest rate and maturity date and quotations from security dealers to determine current value. If these valuations are deemed to be either not reliable or not readily available, the fair value will be determined in good faith by the Company. The fair value of the common collective trusts are valued at the net asset value on the last business day of the year. Limited partnerships including real estate trusts, are valued at estimated fair value based on fair value as reported in their audited financial statements, as well as information received from the investment advisor. Purchases and sales of securities are recorded on a trade-date basis. Interest income is recorded on the accrual basis. Dividends are recorded on the ex-dividend date.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Certain administrative expenses, such as Trustee, record keeping, and investment manager fees are paid by the Master Trust and are netted against Master Trust investment income (loss). Expenses paid by the Plan include legal and audit fees. Certain other administrative expenses are paid by the Company.</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Investments are exposed to various risks, such as interest rate and market risk. Due to the risk associated with certain investments and the level of uncertainty related to changes in the value of investments, it is at least reasonably possible that the changes in values of investments in the near term could materially affect the amount reported in the Statements of Assets Available for Benefits and the Statement of Changes in Assets Available for Benefits.</w:t>
      </w:r>
    </w:p>
    <w:p>
      <w:pPr>
        <w:spacing w:after="0" w:line="79"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Plan invests a portion of its assets in securities with contractual cash flows, such as asset backed securities, collateralized mortgage obligations and commercial mortgage-backed securities. The value, liquidity, and related income of these securities are sensitive to changes in economic conditions, including real estate value, delinquencies and/or defaults and may be adversely affected by shifts in the market’s perception of the issuers, including the issuers’ creditworthiness. Early repayment of principal on some mortgage–related securities may expose the plan to a lower rate of return upon reinvestment of the principal.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color w:val="auto"/>
        </w:rPr>
        <w:t>The Plan also invests in foreign securities. Investing in foreign securities may include certain risks and considerations not typically associated with investing in U.S. securities, such as fluctuating currency values and changing local and regional economic, political and social conditions, which may result in greater market volatility. In addition, certain foreign securities may not be as liquid as U.S. securities.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New Accounting Standard</w:t>
      </w:r>
    </w:p>
    <w:p>
      <w:pPr>
        <w:spacing w:after="0" w:line="121" w:lineRule="exact"/>
        <w:rPr>
          <w:sz w:val="20"/>
          <w:szCs w:val="20"/>
          <w:color w:val="auto"/>
        </w:rPr>
      </w:pPr>
    </w:p>
    <w:p>
      <w:pPr>
        <w:ind w:left="460" w:right="200"/>
        <w:spacing w:after="0" w:line="297" w:lineRule="auto"/>
        <w:rPr>
          <w:sz w:val="20"/>
          <w:szCs w:val="20"/>
          <w:color w:val="auto"/>
        </w:rPr>
      </w:pPr>
      <w:r>
        <w:rPr>
          <w:rFonts w:ascii="Arial" w:cs="Arial" w:eastAsia="Arial" w:hAnsi="Arial"/>
          <w:sz w:val="16"/>
          <w:szCs w:val="16"/>
          <w:color w:val="auto"/>
        </w:rPr>
        <w:t xml:space="preserve">In May 2015, the Financial Accounting Standards Board issued ASU 2015-07 </w:t>
      </w:r>
      <w:r>
        <w:rPr>
          <w:rFonts w:ascii="Arial" w:cs="Arial" w:eastAsia="Arial" w:hAnsi="Arial"/>
          <w:sz w:val="16"/>
          <w:szCs w:val="16"/>
          <w:i w:val="1"/>
          <w:iCs w:val="1"/>
          <w:color w:val="auto"/>
        </w:rPr>
        <w:t>(Fair Value Measurement (Topic 820) Disclosures for Investments in</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Entities That Calculate Net Asset Value per Share (or Its Equivalent))</w:t>
      </w:r>
      <w:r>
        <w:rPr>
          <w:rFonts w:ascii="Arial" w:cs="Arial" w:eastAsia="Arial" w:hAnsi="Arial"/>
          <w:sz w:val="16"/>
          <w:szCs w:val="16"/>
          <w:color w:val="auto"/>
        </w:rPr>
        <w:t>. ASU 2015-07 removes the requirement to categorize within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hierarchy all investments for which fair value is measured using the net asset value per share practical expedient. ASU 2015-07 is effective for the fiscal year ending December 31, 2016, with early adoption permitted. This standard involves presentation and disclosure and, therefore, is not expected to have a material impact on the Plan’s Statement of Net Assets Available for Benefits.</w:t>
      </w:r>
    </w:p>
    <w:p>
      <w:pPr>
        <w:spacing w:after="0" w:line="30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Internal Revenue Service has determined and informed the Company by a letter dated September 9, 2013, that the Plan and related Master Trust are designed in accordance with applicable sections of the Internal Revenue Code (IRC). The Plan has been amended since receiving the determination letter. The Plan administrator believes that the Plan is designed and is currently being operated in compliance with the applicable requirements of the IRC.</w:t>
      </w:r>
    </w:p>
    <w:p>
      <w:pPr>
        <w:spacing w:after="0" w:line="78" w:lineRule="exact"/>
        <w:rPr>
          <w:rFonts w:ascii="Arial" w:cs="Arial" w:eastAsia="Arial" w:hAnsi="Arial"/>
          <w:sz w:val="18"/>
          <w:szCs w:val="18"/>
          <w:b w:val="1"/>
          <w:bCs w:val="1"/>
          <w:color w:val="auto"/>
        </w:rPr>
      </w:pPr>
    </w:p>
    <w:p>
      <w:pPr>
        <w:ind w:left="46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administrator has analyzed the tax positions taken by the Plan, and has concluded that as of December 31, 2014,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years prior to 2010.</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0"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w:t>
      </w:r>
    </w:p>
    <w:p>
      <w:pPr>
        <w:spacing w:after="0" w:line="121" w:lineRule="exact"/>
        <w:rPr>
          <w:rFonts w:ascii="Arial" w:cs="Arial" w:eastAsia="Arial" w:hAnsi="Arial"/>
          <w:sz w:val="18"/>
          <w:szCs w:val="18"/>
          <w:b w:val="1"/>
          <w:bCs w:val="1"/>
          <w:color w:val="auto"/>
        </w:rPr>
      </w:pPr>
    </w:p>
    <w:p>
      <w:pPr>
        <w:ind w:left="460" w:righ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 discussed in Note 2, the Plan participates in the Master Trust. The Trustee holds the Master Trust’s investment assets, provides administrative functions for each of the Plans participating in the Master Trust, and executes investment transactions as directed by participants.</w:t>
      </w:r>
    </w:p>
    <w:p>
      <w:pPr>
        <w:spacing w:after="0" w:line="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Xerox employee benefit plans represent the following percentages in the net assets of the Master Trust, for the year ended December 31:</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0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Xerox Corporation Savings Plan</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w w:val="96"/>
              </w:rPr>
              <w:t>Savings Plan of Xerox Corporation and the Xerographic Division, Rochester Regional Joint</w:t>
            </w: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Board on Behalf of Itself and Other Regional Joint Boards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Xerox Corporation Retirement Income Guarantee Plan</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rPr>
              <w:t>Retirement Income Guarantee Plan of Xerox Corporation and the Xerographic Division,</w:t>
            </w: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Rochester Regional Joint Board on Behalf of Itself and Other Regional Joint Boards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4280"/>
              <w:spacing w:after="0"/>
              <w:rPr>
                <w:sz w:val="20"/>
                <w:szCs w:val="20"/>
                <w:color w:val="auto"/>
              </w:rPr>
            </w:pPr>
            <w:r>
              <w:rPr>
                <w:rFonts w:ascii="Arial" w:cs="Arial" w:eastAsia="Arial" w:hAnsi="Arial"/>
                <w:sz w:val="18"/>
                <w:szCs w:val="18"/>
                <w:color w:val="auto"/>
              </w:rPr>
              <w:t>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information is presented for the Master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Statements of Net Assets of the Master Trust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1960" w:type="dxa"/>
            <w:vAlign w:val="bottom"/>
            <w:gridSpan w:val="6"/>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3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351,174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Fixed income investments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1,361,735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1,128,949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Xerox common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Registered investment companies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753,606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765,231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preferred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1,478,191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1,465,325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Common collective trusts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3,152,152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3,202,546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 real estate trusts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28,824</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Interest in partnerships/joint ventures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529,457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 restricted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Unrealized gain on foreign exchange contracts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 options and swaptions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Variation margin on derivative instruments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Premiums paid for open swap contracts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Unrealized gain on open swap contracts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7,806,249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7,636,931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Cash, segregated</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13,254</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720"/>
              <w:spacing w:after="0"/>
              <w:rPr>
                <w:sz w:val="20"/>
                <w:szCs w:val="20"/>
                <w:color w:val="auto"/>
              </w:rPr>
            </w:pPr>
            <w:r>
              <w:rPr>
                <w:rFonts w:ascii="Arial" w:cs="Arial" w:eastAsia="Arial" w:hAnsi="Arial"/>
                <w:sz w:val="18"/>
                <w:szCs w:val="18"/>
                <w:color w:val="auto"/>
              </w:rPr>
              <w:t>Accrued dividends and interest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17,350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Receivable for securities sold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7,841,333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7,678,678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trustee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Due to broker</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14,445</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6,997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foreign exchange contracts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Options/swaptions written at value (premium received $5,105 and $7,942, respectively)</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12,680</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Variation margin on derivative instruments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9360" w:type="dxa"/>
            <w:vAlign w:val="bottom"/>
          </w:tcPr>
          <w:p>
            <w:pPr>
              <w:ind w:left="360"/>
              <w:spacing w:after="0"/>
              <w:rPr>
                <w:sz w:val="20"/>
                <w:szCs w:val="20"/>
                <w:color w:val="auto"/>
              </w:rPr>
            </w:pPr>
            <w:r>
              <w:rPr>
                <w:rFonts w:ascii="Arial" w:cs="Arial" w:eastAsia="Arial" w:hAnsi="Arial"/>
                <w:sz w:val="18"/>
                <w:szCs w:val="18"/>
                <w:color w:val="auto"/>
              </w:rPr>
              <w:t>Premiums received for open swap contracts</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open swap contracts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23"/>
        </w:trPr>
        <w:tc>
          <w:tcPr>
            <w:tcW w:w="936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54,851</w:t>
            </w:r>
          </w:p>
        </w:tc>
        <w:tc>
          <w:tcPr>
            <w:tcW w:w="0" w:type="dxa"/>
            <w:vAlign w:val="bottom"/>
          </w:tcPr>
          <w:p>
            <w:pPr>
              <w:spacing w:after="0"/>
              <w:rPr>
                <w:sz w:val="1"/>
                <w:szCs w:val="1"/>
                <w:color w:val="auto"/>
              </w:rPr>
            </w:pPr>
          </w:p>
        </w:tc>
      </w:tr>
      <w:tr>
        <w:trPr>
          <w:trHeight w:val="223"/>
        </w:trPr>
        <w:tc>
          <w:tcPr>
            <w:tcW w:w="9360" w:type="dxa"/>
            <w:vAlign w:val="bottom"/>
          </w:tcPr>
          <w:p>
            <w:pPr>
              <w:ind w:left="720"/>
              <w:spacing w:after="0"/>
              <w:rPr>
                <w:sz w:val="20"/>
                <w:szCs w:val="20"/>
                <w:color w:val="auto"/>
              </w:rPr>
            </w:pPr>
            <w:r>
              <w:rPr>
                <w:rFonts w:ascii="Arial" w:cs="Arial" w:eastAsia="Arial" w:hAnsi="Arial"/>
                <w:sz w:val="18"/>
                <w:szCs w:val="18"/>
                <w:color w:val="auto"/>
              </w:rPr>
              <w:t>Net assets of the Master Trust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7,780,758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7,623,827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60" w:type="dxa"/>
            <w:vAlign w:val="bottom"/>
            <w:vMerge w:val="restart"/>
          </w:tcPr>
          <w:p>
            <w:pPr>
              <w:ind w:left="566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Statement of Changes in Net Assets of the Master Trust is as follows:</w:t>
      </w:r>
    </w:p>
    <w:p>
      <w:pPr>
        <w:spacing w:after="0" w:line="200" w:lineRule="exact"/>
        <w:rPr>
          <w:sz w:val="20"/>
          <w:szCs w:val="20"/>
          <w:color w:val="auto"/>
        </w:rPr>
      </w:pPr>
    </w:p>
    <w:p>
      <w:pPr>
        <w:spacing w:after="0" w:line="358" w:lineRule="exact"/>
        <w:rPr>
          <w:sz w:val="20"/>
          <w:szCs w:val="20"/>
          <w:color w:val="auto"/>
        </w:rPr>
      </w:pPr>
    </w:p>
    <w:p>
      <w:pPr>
        <w:ind w:left="18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3810</wp:posOffset>
            </wp:positionV>
            <wp:extent cx="49225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Additions to net assets attributable to</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Investments</w:t>
      </w:r>
    </w:p>
    <w:p>
      <w:pPr>
        <w:spacing w:after="0" w:line="9" w:lineRule="exact"/>
        <w:rPr>
          <w:sz w:val="20"/>
          <w:szCs w:val="20"/>
          <w:color w:val="auto"/>
        </w:rPr>
      </w:pPr>
    </w:p>
    <w:p>
      <w:pPr>
        <w:jc w:val="right"/>
        <w:ind w:right="1314"/>
        <w:spacing w:after="0"/>
        <w:rPr>
          <w:sz w:val="20"/>
          <w:szCs w:val="20"/>
          <w:color w:val="auto"/>
        </w:rPr>
      </w:pPr>
      <w:r>
        <w:rPr>
          <w:rFonts w:ascii="Arial" w:cs="Arial" w:eastAsia="Arial" w:hAnsi="Arial"/>
          <w:sz w:val="18"/>
          <w:szCs w:val="18"/>
          <w:color w:val="auto"/>
        </w:rPr>
        <w:t>Interest and dividends (net of withholding taxes of $378)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Net appreciation of investments</w:t>
      </w:r>
    </w:p>
    <w:p>
      <w:pPr>
        <w:spacing w:after="0" w:line="2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Total additions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Deductions from net assets attributable to</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Net transfers out of Master Trust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Administrative expenses</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Total deductions</w:t>
      </w:r>
    </w:p>
    <w:p>
      <w:pPr>
        <w:spacing w:after="0" w:line="36"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Net increase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-114300</wp:posOffset>
            </wp:positionV>
            <wp:extent cx="49225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Net assets available for benefits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13"/>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713"/>
        <w:spacing w:after="0"/>
        <w:rPr>
          <w:sz w:val="20"/>
          <w:szCs w:val="20"/>
          <w:color w:val="auto"/>
        </w:rPr>
      </w:pPr>
      <w:r>
        <w:rPr>
          <w:rFonts w:ascii="Arial" w:cs="Arial" w:eastAsia="Arial" w:hAnsi="Arial"/>
          <w:sz w:val="12"/>
          <w:szCs w:val="12"/>
          <w:b w:val="1"/>
          <w:bCs w:val="1"/>
          <w:u w:val="single" w:color="auto"/>
          <w:color w:val="auto"/>
        </w:rPr>
        <w:t>December 31, 2014</w:t>
      </w:r>
    </w:p>
    <w:p>
      <w:pPr>
        <w:spacing w:after="0" w:line="200" w:lineRule="exact"/>
        <w:rPr>
          <w:sz w:val="20"/>
          <w:szCs w:val="20"/>
          <w:color w:val="auto"/>
        </w:rPr>
      </w:pPr>
    </w:p>
    <w:p>
      <w:pPr>
        <w:spacing w:after="0" w:line="397" w:lineRule="exact"/>
        <w:rPr>
          <w:sz w:val="20"/>
          <w:szCs w:val="20"/>
          <w:color w:val="auto"/>
        </w:rPr>
      </w:pPr>
    </w:p>
    <w:p>
      <w:pPr>
        <w:ind w:left="586" w:hanging="586"/>
        <w:spacing w:after="0"/>
        <w:tabs>
          <w:tab w:leader="none" w:pos="586" w:val="left"/>
        </w:tabs>
        <w:numPr>
          <w:ilvl w:val="0"/>
          <w:numId w:val="11"/>
        </w:numPr>
        <w:rPr>
          <w:rFonts w:ascii="Arial" w:cs="Arial" w:eastAsia="Arial" w:hAnsi="Arial"/>
          <w:sz w:val="16"/>
          <w:szCs w:val="16"/>
          <w:color w:val="auto"/>
        </w:rPr>
      </w:pPr>
      <w:r>
        <w:rPr>
          <w:rFonts w:ascii="Arial" w:cs="Arial" w:eastAsia="Arial" w:hAnsi="Arial"/>
          <w:sz w:val="16"/>
          <w:szCs w:val="16"/>
          <w:color w:val="auto"/>
        </w:rPr>
        <w:t>101,777</w:t>
      </w:r>
    </w:p>
    <w:p>
      <w:pPr>
        <w:spacing w:after="0" w:line="46" w:lineRule="exact"/>
        <w:rPr>
          <w:rFonts w:ascii="Arial" w:cs="Arial" w:eastAsia="Arial" w:hAnsi="Arial"/>
          <w:sz w:val="16"/>
          <w:szCs w:val="16"/>
          <w:color w:val="auto"/>
        </w:rPr>
      </w:pPr>
    </w:p>
    <w:p>
      <w:pPr>
        <w:ind w:left="586"/>
        <w:spacing w:after="0"/>
        <w:rPr>
          <w:rFonts w:ascii="Arial" w:cs="Arial" w:eastAsia="Arial" w:hAnsi="Arial"/>
          <w:sz w:val="16"/>
          <w:szCs w:val="16"/>
          <w:color w:val="auto"/>
        </w:rPr>
      </w:pPr>
      <w:r>
        <w:rPr>
          <w:rFonts w:ascii="Arial" w:cs="Arial" w:eastAsia="Arial" w:hAnsi="Arial"/>
          <w:sz w:val="16"/>
          <w:szCs w:val="16"/>
          <w:color w:val="auto"/>
        </w:rPr>
        <w:t>690,328</w:t>
      </w:r>
    </w:p>
    <w:p>
      <w:pPr>
        <w:spacing w:after="0" w:line="44" w:lineRule="exact"/>
        <w:rPr>
          <w:rFonts w:ascii="Arial" w:cs="Arial" w:eastAsia="Arial" w:hAnsi="Arial"/>
          <w:sz w:val="16"/>
          <w:szCs w:val="16"/>
          <w:color w:val="auto"/>
        </w:rPr>
      </w:pPr>
    </w:p>
    <w:p>
      <w:pPr>
        <w:ind w:left="586"/>
        <w:spacing w:after="0"/>
        <w:rPr>
          <w:rFonts w:ascii="Arial" w:cs="Arial" w:eastAsia="Arial" w:hAnsi="Arial"/>
          <w:sz w:val="16"/>
          <w:szCs w:val="16"/>
          <w:color w:val="auto"/>
        </w:rPr>
      </w:pPr>
      <w:r>
        <w:rPr>
          <w:rFonts w:ascii="Arial" w:cs="Arial" w:eastAsia="Arial" w:hAnsi="Arial"/>
          <w:sz w:val="16"/>
          <w:szCs w:val="16"/>
          <w:color w:val="auto"/>
        </w:rPr>
        <w:t>792,105</w:t>
      </w:r>
    </w:p>
    <w:p>
      <w:pPr>
        <w:spacing w:after="0" w:line="275" w:lineRule="exact"/>
        <w:rPr>
          <w:rFonts w:ascii="Arial" w:cs="Arial" w:eastAsia="Arial" w:hAnsi="Arial"/>
          <w:sz w:val="16"/>
          <w:szCs w:val="16"/>
          <w:color w:val="auto"/>
        </w:rPr>
      </w:pPr>
    </w:p>
    <w:p>
      <w:pPr>
        <w:ind w:left="586"/>
        <w:spacing w:after="0"/>
        <w:rPr>
          <w:rFonts w:ascii="Arial" w:cs="Arial" w:eastAsia="Arial" w:hAnsi="Arial"/>
          <w:sz w:val="16"/>
          <w:szCs w:val="16"/>
          <w:color w:val="auto"/>
        </w:rPr>
      </w:pPr>
      <w:r>
        <w:rPr>
          <w:rFonts w:ascii="Arial" w:cs="Arial" w:eastAsia="Arial" w:hAnsi="Arial"/>
          <w:sz w:val="16"/>
          <w:szCs w:val="16"/>
          <w:color w:val="auto"/>
        </w:rPr>
        <w:t>496,637</w:t>
      </w:r>
    </w:p>
    <w:p>
      <w:pPr>
        <w:spacing w:after="0" w:line="46" w:lineRule="exact"/>
        <w:rPr>
          <w:rFonts w:ascii="Arial" w:cs="Arial" w:eastAsia="Arial" w:hAnsi="Arial"/>
          <w:sz w:val="16"/>
          <w:szCs w:val="16"/>
          <w:color w:val="auto"/>
        </w:rPr>
      </w:pPr>
    </w:p>
    <w:p>
      <w:pPr>
        <w:ind w:left="666"/>
        <w:spacing w:after="0"/>
        <w:rPr>
          <w:rFonts w:ascii="Arial" w:cs="Arial" w:eastAsia="Arial" w:hAnsi="Arial"/>
          <w:sz w:val="16"/>
          <w:szCs w:val="16"/>
          <w:color w:val="auto"/>
        </w:rPr>
      </w:pPr>
      <w:r>
        <w:rPr>
          <w:rFonts w:ascii="Arial" w:cs="Arial" w:eastAsia="Arial" w:hAnsi="Arial"/>
          <w:sz w:val="16"/>
          <w:szCs w:val="16"/>
          <w:color w:val="auto"/>
        </w:rPr>
        <w:t>31,503</w:t>
      </w:r>
    </w:p>
    <w:p>
      <w:pPr>
        <w:spacing w:after="0" w:line="32" w:lineRule="exact"/>
        <w:rPr>
          <w:rFonts w:ascii="Arial" w:cs="Arial" w:eastAsia="Arial" w:hAnsi="Arial"/>
          <w:sz w:val="16"/>
          <w:szCs w:val="16"/>
          <w:color w:val="auto"/>
        </w:rPr>
      </w:pPr>
    </w:p>
    <w:p>
      <w:pPr>
        <w:ind w:left="586"/>
        <w:spacing w:after="0"/>
        <w:rPr>
          <w:rFonts w:ascii="Arial" w:cs="Arial" w:eastAsia="Arial" w:hAnsi="Arial"/>
          <w:sz w:val="16"/>
          <w:szCs w:val="16"/>
          <w:color w:val="auto"/>
        </w:rPr>
      </w:pPr>
      <w:r>
        <w:rPr>
          <w:rFonts w:ascii="Arial" w:cs="Arial" w:eastAsia="Arial" w:hAnsi="Arial"/>
          <w:sz w:val="16"/>
          <w:szCs w:val="16"/>
          <w:color w:val="auto"/>
        </w:rPr>
        <w:t>107,034</w:t>
      </w:r>
    </w:p>
    <w:p>
      <w:pPr>
        <w:spacing w:after="0" w:line="44" w:lineRule="exact"/>
        <w:rPr>
          <w:rFonts w:ascii="Arial" w:cs="Arial" w:eastAsia="Arial" w:hAnsi="Arial"/>
          <w:sz w:val="16"/>
          <w:szCs w:val="16"/>
          <w:color w:val="auto"/>
        </w:rPr>
      </w:pPr>
    </w:p>
    <w:p>
      <w:pPr>
        <w:ind w:left="586"/>
        <w:spacing w:after="0"/>
        <w:rPr>
          <w:rFonts w:ascii="Arial" w:cs="Arial" w:eastAsia="Arial" w:hAnsi="Arial"/>
          <w:sz w:val="16"/>
          <w:szCs w:val="16"/>
          <w:color w:val="auto"/>
        </w:rPr>
      </w:pPr>
      <w:r>
        <w:rPr>
          <w:rFonts w:ascii="Arial" w:cs="Arial" w:eastAsia="Arial" w:hAnsi="Arial"/>
          <w:sz w:val="16"/>
          <w:szCs w:val="16"/>
          <w:color w:val="auto"/>
        </w:rPr>
        <w:t>635,174</w:t>
      </w:r>
    </w:p>
    <w:p>
      <w:pPr>
        <w:spacing w:after="0" w:line="59" w:lineRule="exact"/>
        <w:rPr>
          <w:rFonts w:ascii="Arial" w:cs="Arial" w:eastAsia="Arial" w:hAnsi="Arial"/>
          <w:sz w:val="16"/>
          <w:szCs w:val="16"/>
          <w:color w:val="auto"/>
        </w:rPr>
      </w:pPr>
    </w:p>
    <w:p>
      <w:pPr>
        <w:ind w:left="586"/>
        <w:spacing w:after="0"/>
        <w:rPr>
          <w:rFonts w:ascii="Arial" w:cs="Arial" w:eastAsia="Arial" w:hAnsi="Arial"/>
          <w:sz w:val="16"/>
          <w:szCs w:val="16"/>
          <w:color w:val="auto"/>
        </w:rPr>
      </w:pPr>
      <w:r>
        <w:rPr>
          <w:rFonts w:ascii="Arial" w:cs="Arial" w:eastAsia="Arial" w:hAnsi="Arial"/>
          <w:sz w:val="16"/>
          <w:szCs w:val="16"/>
          <w:color w:val="auto"/>
        </w:rPr>
        <w:t>156,931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-998855</wp:posOffset>
            </wp:positionV>
            <wp:extent cx="7372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-844550</wp:posOffset>
            </wp:positionV>
            <wp:extent cx="7372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-278765</wp:posOffset>
            </wp:positionV>
            <wp:extent cx="7372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7372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8" w:lineRule="exact"/>
        <w:rPr>
          <w:sz w:val="20"/>
          <w:szCs w:val="20"/>
          <w:color w:val="auto"/>
        </w:rPr>
      </w:pPr>
    </w:p>
    <w:p>
      <w:pPr>
        <w:ind w:left="446"/>
        <w:spacing w:after="0"/>
        <w:rPr>
          <w:sz w:val="20"/>
          <w:szCs w:val="20"/>
          <w:color w:val="auto"/>
        </w:rPr>
      </w:pPr>
      <w:r>
        <w:rPr>
          <w:rFonts w:ascii="Arial" w:cs="Arial" w:eastAsia="Arial" w:hAnsi="Arial"/>
          <w:sz w:val="16"/>
          <w:szCs w:val="16"/>
          <w:color w:val="auto"/>
        </w:rPr>
        <w:t>7,623,827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372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39" w:lineRule="exact"/>
        <w:rPr>
          <w:sz w:val="20"/>
          <w:szCs w:val="20"/>
          <w:color w:val="auto"/>
        </w:rPr>
      </w:pPr>
    </w:p>
    <w:p>
      <w:pPr>
        <w:ind w:left="446" w:hanging="446"/>
        <w:spacing w:after="0"/>
        <w:tabs>
          <w:tab w:leader="none" w:pos="4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7,780,758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372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7372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14" w:space="720"/>
            <w:col w:w="1885"/>
          </w:cols>
          <w:pgMar w:left="240" w:top="270" w:right="1440" w:bottom="1440" w:gutter="0" w:footer="0" w:header="0"/>
        </w:sectPr>
      </w:pPr>
    </w:p>
    <w:p>
      <w:pPr>
        <w:spacing w:after="0" w:line="106" w:lineRule="exact"/>
        <w:rPr>
          <w:sz w:val="20"/>
          <w:szCs w:val="20"/>
          <w:color w:val="auto"/>
        </w:rPr>
      </w:pPr>
    </w:p>
    <w:p>
      <w:pPr>
        <w:ind w:left="5620" w:right="1499" w:hanging="5612"/>
        <w:spacing w:after="0" w:line="44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transfers include employer contributions, employee contributions, rollovers, benefit payments and other transfers. 10</w:t>
      </w:r>
    </w:p>
    <w:p>
      <w:pPr>
        <w:sectPr>
          <w:pgSz w:w="11900" w:h="16838" w:orient="portrait"/>
          <w:cols w:equalWidth="0" w:num="1">
            <w:col w:w="10219"/>
          </w:cols>
          <w:pgMar w:left="240" w:top="270"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 Fiduciary</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named fiduciary with respect to the overall investment strategy for the Master Trust investments, along with all other day to day fiduciary investment responsibilities, is the Xerox Retirement Investment Committee (XRIC). The Xerox Corporate Treasurer chairs the XRIC, which is composed of corporate members who oversee the management of the funds on a regular basis.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During 2014, the Master Trust’s investments (including investments bought, sold, and held during the year) appreciated (depreciated) in value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648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investments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172,461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Registered investment companies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(2,137)</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Common and preferred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98,531</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174,633</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Xerox 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Futures contracts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Options/Swaptions contracts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12,840</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in real estate trusts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Interest in partnerships/joint ventures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178,269</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Swap contracts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23,803</w:t>
            </w:r>
          </w:p>
        </w:tc>
        <w:tc>
          <w:tcPr>
            <w:tcW w:w="120" w:type="dxa"/>
            <w:vAlign w:val="bottom"/>
            <w:shd w:val="clear" w:color="auto" w:fill="CCEEFF"/>
          </w:tcPr>
          <w:p>
            <w:pPr>
              <w:spacing w:after="0"/>
              <w:rPr>
                <w:sz w:val="18"/>
                <w:szCs w:val="18"/>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Net appreciation</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690,328</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market-based framework hierarchy for measuring fair value, and expands disclosures about fair value measurements in the notes to the financial statements. ASC 820 is applicable whenever another accounting pronouncement requires or permits assets and liabilities to be measured at fair value.</w:t>
      </w:r>
    </w:p>
    <w:p>
      <w:pPr>
        <w:spacing w:after="0" w:line="73" w:lineRule="exact"/>
        <w:rPr>
          <w:rFonts w:ascii="Arial" w:cs="Arial" w:eastAsia="Arial" w:hAnsi="Arial"/>
          <w:sz w:val="18"/>
          <w:szCs w:val="18"/>
          <w:b w:val="1"/>
          <w:bCs w:val="1"/>
          <w:color w:val="auto"/>
        </w:rPr>
      </w:pPr>
    </w:p>
    <w:p>
      <w:pPr>
        <w:ind w:left="460"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accordance with ASC 820, fair value is defined as the price that would be received to sell an asset in an orderly transaction between market participants at the measurement date in the principal or most advantageous market of the asset.</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ASC 820 established a three-tier hierarchy based on transparency of inputs to the valuation of an asset or liability:</w:t>
      </w:r>
    </w:p>
    <w:p>
      <w:pPr>
        <w:spacing w:after="0" w:line="252" w:lineRule="exact"/>
        <w:rPr>
          <w:sz w:val="20"/>
          <w:szCs w:val="20"/>
          <w:color w:val="auto"/>
        </w:rPr>
      </w:pPr>
    </w:p>
    <w:p>
      <w:pPr>
        <w:ind w:left="360"/>
        <w:spacing w:after="0"/>
        <w:tabs>
          <w:tab w:leader="none" w:pos="1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for identical, unrestricted assets or liabilities.</w:t>
      </w:r>
    </w:p>
    <w:p>
      <w:pPr>
        <w:spacing w:after="0" w:line="117" w:lineRule="exact"/>
        <w:rPr>
          <w:sz w:val="20"/>
          <w:szCs w:val="20"/>
          <w:color w:val="auto"/>
        </w:rPr>
      </w:pPr>
    </w:p>
    <w:p>
      <w:pPr>
        <w:ind w:left="1960" w:right="100" w:hanging="1584"/>
        <w:spacing w:after="0" w:line="264" w:lineRule="auto"/>
        <w:tabs>
          <w:tab w:leader="none" w:pos="1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Prices determined using other significant observable inputs. Observable inputs are inputs that other market participants would use in valuing a portfolio instrument. These may include quoted prices for similar securities, interest rates, foreign exchange rates, prepayment speeds, credit risk and others.</w:t>
      </w:r>
    </w:p>
    <w:p>
      <w:pPr>
        <w:spacing w:after="0" w:line="73" w:lineRule="exact"/>
        <w:rPr>
          <w:sz w:val="20"/>
          <w:szCs w:val="20"/>
          <w:color w:val="auto"/>
        </w:rPr>
      </w:pPr>
    </w:p>
    <w:p>
      <w:pPr>
        <w:ind w:left="1960" w:hanging="1584"/>
        <w:spacing w:after="0" w:line="279" w:lineRule="auto"/>
        <w:tabs>
          <w:tab w:leader="none" w:pos="1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determined using significant unobservable inputs. In situations where quoted prices or observable inputs are unavailable (for example, when there is little or no market activity for an investment at the end of the period), unobservable inputs may be used. Unobservable inputs reflect the Plan Administrator’s own assumptions about the factors market participants would use in valuing a portfolio instrument, and would be based on the best information available.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w:t>
      </w:r>
    </w:p>
    <w:p>
      <w:pPr>
        <w:spacing w:after="0" w:line="2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primary Level 3 assets are Real Estate and Private Equity/Venture Capital investments. The fair value of the real estate investment funds are based on the Net Asset Value (NAV) of the ownership interest in the funds. NAV information is received from the investment advisers and is primarily derived from third-party real estate appraisals for the properties owned. The fair value for the private equity/venture capital partnership investments are based on our share of the estimated fair values for the underlying investments held by these partnerships as reported in their audited financial statements. The valuation techniques and inputs for the Level 3 assets have been consistently applied for all periods presented. The investment advisers are selected by the XRIC. The authority for monitoring the valuation process of all investments is delegated by the XRIC to the Chief Investment Officer to whom the Xerox Trust Investment group reports. The Trust Investment group meets with investment advisers and performs quarterly reviews of the funds’ fair value measurements with investment advisers comparing those valuations to similar funds’ valuations outside of the Master Trust. Any changes in the fair value measurements are followed up and brought to the XRIC’s attention at their quarterly meetings.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hierarchy, each fund was assigned a level 1, 2 or 3, based on where each fund’s assets were invested in.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Master Trust (Defined Contribution and Defined Benefit Plans)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80" w:type="dxa"/>
            <w:vAlign w:val="bottom"/>
            <w:gridSpan w:val="18"/>
          </w:tcPr>
          <w:p>
            <w:pPr>
              <w:jc w:val="right"/>
              <w:ind w:right="520"/>
              <w:spacing w:after="0"/>
              <w:rPr>
                <w:sz w:val="20"/>
                <w:szCs w:val="20"/>
                <w:color w:val="auto"/>
              </w:rPr>
            </w:pPr>
            <w:r>
              <w:rPr>
                <w:rFonts w:ascii="Arial" w:cs="Arial" w:eastAsia="Arial" w:hAnsi="Arial"/>
                <w:sz w:val="14"/>
                <w:szCs w:val="14"/>
                <w:b w:val="1"/>
                <w:bCs w:val="1"/>
                <w:color w:val="auto"/>
                <w:w w:val="99"/>
              </w:rPr>
              <w:t>Investment Assets at Fair Value as of December 31, 2014</w:t>
            </w:r>
          </w:p>
        </w:tc>
      </w:tr>
      <w:tr>
        <w:trPr>
          <w:trHeight w:val="17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351,174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351,174</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Xerox common stock</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137,970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137,970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Common and preferred stock</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large cap</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827,886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827,886</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U.S. mid cap</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165,152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165,152</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small cap</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264,166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264,166</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Internationally developed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220,987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220,987</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Domestic equity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650,811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650,811</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income</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21,321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303,527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324,848</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International equity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462,377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462,377</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Domestic / International equity / Fixed Income</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1,714,116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1,714,116</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Registered investment companies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Domestic equity</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529,647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529,647</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International equity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126,841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126,841</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Emerging markets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97,118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97,118</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Fixed income investments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securities issued by government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306,633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306,633</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955,148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955,148</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69,163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69,163</w:t>
            </w: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Asset backed securities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5,707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5,707</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 Loans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25,084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Interest in partnerships / joint ventures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125,921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403,536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529,457</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in real estate trusts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28,918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Interest in restricted stock</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947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Purchased options and swaptions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Unrealized gain on foreign exchange contracts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3,699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3,699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futures contracts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Unrealized gain on swap contracts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2,371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2,371</w:t>
            </w: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assets at fair value</w:t>
            </w:r>
          </w:p>
        </w:tc>
        <w:tc>
          <w:tcPr>
            <w:tcW w:w="9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2,391,907</w:t>
            </w:r>
          </w:p>
        </w:tc>
        <w:tc>
          <w:tcPr>
            <w:tcW w:w="142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4,978,106</w:t>
            </w:r>
          </w:p>
        </w:tc>
        <w:tc>
          <w:tcPr>
            <w:tcW w:w="110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433,401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7,803,414</w:t>
            </w:r>
          </w:p>
        </w:tc>
        <w:tc>
          <w:tcPr>
            <w:tcW w:w="100" w:type="dxa"/>
            <w:vAlign w:val="bottom"/>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80" w:type="dxa"/>
            <w:vAlign w:val="bottom"/>
            <w:gridSpan w:val="18"/>
          </w:tcPr>
          <w:p>
            <w:pPr>
              <w:ind w:left="160"/>
              <w:spacing w:after="0"/>
              <w:rPr>
                <w:sz w:val="20"/>
                <w:szCs w:val="20"/>
                <w:color w:val="auto"/>
              </w:rPr>
            </w:pPr>
            <w:r>
              <w:rPr>
                <w:rFonts w:ascii="Arial" w:cs="Arial" w:eastAsia="Arial" w:hAnsi="Arial"/>
                <w:sz w:val="14"/>
                <w:szCs w:val="14"/>
                <w:b w:val="1"/>
                <w:bCs w:val="1"/>
                <w:color w:val="auto"/>
              </w:rPr>
              <w:t>Investment Liabilities at Fair Value as of December 31, 2014</w:t>
            </w:r>
          </w:p>
        </w:tc>
      </w:tr>
      <w:tr>
        <w:trPr>
          <w:trHeight w:val="171"/>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4"/>
                <w:szCs w:val="14"/>
                <w:color w:val="auto"/>
              </w:rPr>
            </w:pPr>
          </w:p>
        </w:tc>
        <w:tc>
          <w:tcPr>
            <w:tcW w:w="10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Written options and swaptions</w:t>
            </w:r>
          </w:p>
        </w:tc>
        <w:tc>
          <w:tcPr>
            <w:tcW w:w="180" w:type="dxa"/>
            <w:vAlign w:val="bottom"/>
            <w:gridSpan w:val="3"/>
          </w:tcPr>
          <w:p>
            <w:pPr>
              <w:jc w:val="right"/>
              <w:ind w:right="8"/>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2,372</w:t>
            </w:r>
          </w:p>
        </w:tc>
        <w:tc>
          <w:tcPr>
            <w:tcW w:w="320" w:type="dxa"/>
            <w:vAlign w:val="bottom"/>
          </w:tcPr>
          <w:p>
            <w:pPr>
              <w:spacing w:after="0"/>
              <w:rPr>
                <w:sz w:val="18"/>
                <w:szCs w:val="18"/>
                <w:color w:val="auto"/>
              </w:rPr>
            </w:pPr>
          </w:p>
        </w:tc>
        <w:tc>
          <w:tcPr>
            <w:tcW w:w="16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2,372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foreign exchange contracts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Unrealized loss on futures contracts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79"/>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swap contracts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7,203</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7,203</w:t>
            </w: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Total investment liabilities at fair value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3"/>
              </w:rPr>
              <w:t>10,187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10,207</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77"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cumulative appreciation (depreciation) of futures contracts. Only current day’s variation margin is reported within the Statements of Net Assets of the Master Trust.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Defined Contribution Plans only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gridSpan w:val="14"/>
          </w:tcPr>
          <w:p>
            <w:pPr>
              <w:jc w:val="right"/>
              <w:ind w:right="560"/>
              <w:spacing w:after="0"/>
              <w:rPr>
                <w:sz w:val="20"/>
                <w:szCs w:val="20"/>
                <w:color w:val="auto"/>
              </w:rPr>
            </w:pPr>
            <w:r>
              <w:rPr>
                <w:rFonts w:ascii="Arial" w:cs="Arial" w:eastAsia="Arial" w:hAnsi="Arial"/>
                <w:sz w:val="14"/>
                <w:szCs w:val="14"/>
                <w:b w:val="1"/>
                <w:bCs w:val="1"/>
                <w:color w:val="auto"/>
              </w:rPr>
              <w:t>Investment Assets at Fair Value as of December 31,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325,525</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Xerox common stock</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137,970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Common and preferred stocks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U.S. large cap</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464,644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mid cap</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U.S. small cap</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226,349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226,349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Internationally developed markets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Domestic equity</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Fixed income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21,321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169,116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190,437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equity</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Domestic/International equity/Fixed Income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1,714,116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1,714,116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Domestic equity</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445,516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equity</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in restricted stock</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947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assets at fair value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1,492,455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3,191,064</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947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4,684,466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1 and 2 of the fair value hierarchy during the year.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240" w:top="270" w:right="8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Master Trust (Defined Contribution and Defined Benefit Plans)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40" w:type="dxa"/>
            <w:vAlign w:val="bottom"/>
            <w:gridSpan w:val="14"/>
          </w:tcPr>
          <w:p>
            <w:pPr>
              <w:jc w:val="right"/>
              <w:ind w:right="520"/>
              <w:spacing w:after="0"/>
              <w:rPr>
                <w:sz w:val="20"/>
                <w:szCs w:val="20"/>
                <w:color w:val="auto"/>
              </w:rPr>
            </w:pPr>
            <w:r>
              <w:rPr>
                <w:rFonts w:ascii="Arial" w:cs="Arial" w:eastAsia="Arial" w:hAnsi="Arial"/>
                <w:sz w:val="14"/>
                <w:szCs w:val="14"/>
                <w:b w:val="1"/>
                <w:bCs w:val="1"/>
                <w:color w:val="auto"/>
              </w:rPr>
              <w:t>Investment Assets at Fair Value as of December 31, 2013</w:t>
            </w:r>
          </w:p>
        </w:tc>
        <w:tc>
          <w:tcPr>
            <w:tcW w:w="0" w:type="dxa"/>
            <w:vAlign w:val="bottom"/>
          </w:tcPr>
          <w:p>
            <w:pPr>
              <w:spacing w:after="0"/>
              <w:rPr>
                <w:sz w:val="1"/>
                <w:szCs w:val="1"/>
                <w:color w:val="auto"/>
              </w:rPr>
            </w:pPr>
          </w:p>
        </w:tc>
      </w:tr>
      <w:tr>
        <w:trPr>
          <w:trHeight w:val="186"/>
        </w:trPr>
        <w:tc>
          <w:tcPr>
            <w:tcW w:w="60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Short term investments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412,410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Xerox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134,859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Common and preferred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large cap</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804,975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U.S. mid cap</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162,464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small cap</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280,779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Internationally developed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217,107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Domestic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628,724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628,724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224,358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International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547,602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Emerging markets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81,783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Domestic / International equity / Fixed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1,697,689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1,697,689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Domestic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599,862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Emerging markets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100,169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Debt securities issued by government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188,889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869,150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61,489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Bank Loans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3,898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in partnerships / joint ventures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378,084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in real estate trusts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28,824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in restricted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Purchased options and swaptions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foreign exchange contracts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Unrealized gain on futures contracts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8"/>
                <w:szCs w:val="18"/>
                <w:color w:val="auto"/>
                <w:w w:val="93"/>
              </w:rPr>
              <w:t>153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swap contracts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Total investment assets at fair value</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2,387,958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4,841,418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406,917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7,636,293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14"/>
          </w:tcPr>
          <w:p>
            <w:pPr>
              <w:jc w:val="right"/>
              <w:ind w:right="420"/>
              <w:spacing w:after="0"/>
              <w:rPr>
                <w:sz w:val="20"/>
                <w:szCs w:val="20"/>
                <w:color w:val="auto"/>
              </w:rPr>
            </w:pPr>
            <w:r>
              <w:rPr>
                <w:rFonts w:ascii="Arial" w:cs="Arial" w:eastAsia="Arial" w:hAnsi="Arial"/>
                <w:sz w:val="14"/>
                <w:szCs w:val="14"/>
                <w:b w:val="1"/>
                <w:bCs w:val="1"/>
                <w:color w:val="auto"/>
                <w:w w:val="98"/>
              </w:rPr>
              <w:t>Investment Liabilities at Fair Value as of December 31,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Written options and swaptions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12,680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foreign exchange contracts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Unrealized loss on futures contracts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swap contracts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Total investment liabilities at fair value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33,372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77"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cumulative appreciation (depreciation) of futures contracts. Only current day’s variation margin is reported within the Statement of Net Assets of the Master Trust.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7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Defined Contribution Plans only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gridSpan w:val="13"/>
          </w:tcPr>
          <w:p>
            <w:pPr>
              <w:jc w:val="right"/>
              <w:ind w:right="420"/>
              <w:spacing w:after="0"/>
              <w:rPr>
                <w:sz w:val="20"/>
                <w:szCs w:val="20"/>
                <w:color w:val="auto"/>
              </w:rPr>
            </w:pPr>
            <w:r>
              <w:rPr>
                <w:rFonts w:ascii="Arial" w:cs="Arial" w:eastAsia="Arial" w:hAnsi="Arial"/>
                <w:sz w:val="14"/>
                <w:szCs w:val="14"/>
                <w:b w:val="1"/>
                <w:bCs w:val="1"/>
                <w:color w:val="auto"/>
                <w:w w:val="96"/>
              </w:rPr>
              <w:t>Investment Assets at Fair Value as of December 31, 2013</w:t>
            </w:r>
          </w:p>
        </w:tc>
        <w:tc>
          <w:tcPr>
            <w:tcW w:w="0" w:type="dxa"/>
            <w:vAlign w:val="bottom"/>
          </w:tcPr>
          <w:p>
            <w:pPr>
              <w:spacing w:after="0"/>
              <w:rPr>
                <w:sz w:val="1"/>
                <w:szCs w:val="1"/>
                <w:color w:val="auto"/>
              </w:rPr>
            </w:pPr>
          </w:p>
        </w:tc>
      </w:tr>
      <w:tr>
        <w:trPr>
          <w:trHeight w:val="186"/>
        </w:trPr>
        <w:tc>
          <w:tcPr>
            <w:tcW w:w="6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386,875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Xerox common stock</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134,859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134,859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Common and preferred stocks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U.S. large cap</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459,032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mid cap</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U.S. small cap</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247,367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Internationally developed markets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Domestic equity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582,575</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22,390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161,522</w:t>
            </w:r>
          </w:p>
        </w:tc>
        <w:tc>
          <w:tcPr>
            <w:tcW w:w="1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equity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390,674</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Domestic/International equity/Fixed Income</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1,697,689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1,697,689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Domestic equity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524,559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equity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in restricted stock</w:t>
            </w:r>
          </w:p>
        </w:tc>
        <w:tc>
          <w:tcPr>
            <w:tcW w:w="1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220"/>
              <w:spacing w:after="0"/>
              <w:rPr>
                <w:sz w:val="20"/>
                <w:szCs w:val="20"/>
                <w:color w:val="auto"/>
              </w:rPr>
            </w:pPr>
            <w:r>
              <w:rPr>
                <w:rFonts w:ascii="Arial" w:cs="Arial" w:eastAsia="Arial" w:hAnsi="Arial"/>
                <w:sz w:val="18"/>
                <w:szCs w:val="18"/>
                <w:color w:val="auto"/>
                <w:w w:val="79"/>
              </w:rPr>
              <w:t>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1,543,933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3,219,335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4,763,277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1 and 2 of the fair value hierarchy during the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Investment Assets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level 3 investment assets represent approximately five percent of the total Master Trust investments and are comprised of the partnerships, real estate funds and investments in restricted stock. The table below sets forth a summary of changes in the fair value of the Master Trust’s level 3 investment assets for the year ended December 31, 2014. The classification of an investment within level 3 is based upon the significance of the unobservable inputs to the overall fair value measurement.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Level 3 Investment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80" w:type="dxa"/>
            <w:vAlign w:val="bottom"/>
            <w:gridSpan w:val="11"/>
          </w:tcPr>
          <w:p>
            <w:pPr>
              <w:jc w:val="right"/>
              <w:spacing w:after="0"/>
              <w:rPr>
                <w:sz w:val="20"/>
                <w:szCs w:val="20"/>
                <w:color w:val="auto"/>
              </w:rPr>
            </w:pPr>
            <w:r>
              <w:rPr>
                <w:rFonts w:ascii="Arial" w:cs="Arial" w:eastAsia="Arial" w:hAnsi="Arial"/>
                <w:sz w:val="14"/>
                <w:szCs w:val="14"/>
                <w:b w:val="1"/>
                <w:bCs w:val="1"/>
                <w:color w:val="auto"/>
              </w:rPr>
              <w:t>Investment Assets at Fair Value as of December 31, 2014</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Partnerships</w:t>
            </w:r>
          </w:p>
        </w:tc>
        <w:tc>
          <w:tcPr>
            <w:tcW w:w="240" w:type="dxa"/>
            <w:vAlign w:val="bottom"/>
          </w:tcPr>
          <w:p>
            <w:pPr>
              <w:spacing w:after="0"/>
              <w:rPr>
                <w:sz w:val="16"/>
                <w:szCs w:val="16"/>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6"/>
                <w:szCs w:val="16"/>
                <w:color w:val="auto"/>
              </w:rPr>
            </w:pPr>
          </w:p>
        </w:tc>
        <w:tc>
          <w:tcPr>
            <w:tcW w:w="15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8"/>
              </w:rPr>
              <w:t>Restricted Stock</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378,084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28,824</w:t>
            </w:r>
          </w:p>
        </w:tc>
        <w:tc>
          <w:tcPr>
            <w:tcW w:w="58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Additions: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32,558</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Change in unrealized gains *</w:t>
            </w:r>
          </w:p>
        </w:tc>
        <w:tc>
          <w:tcPr>
            <w:tcW w:w="14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13,903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7,365</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Purchases, issuances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85,389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Realized losses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Sales, settlements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(54,317)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(7,486)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(61,803)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(59,937)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(9,353)</w:t>
            </w:r>
          </w:p>
        </w:tc>
        <w:tc>
          <w:tcPr>
            <w:tcW w:w="58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(69,537)</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Balance, End of year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403,536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28,918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433,401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in unrealized gains (losses) relating to investments held at December 31, 2014 was $15,778,000, which is comprised primarily of Partnerships of $9,027,000 and Real Estate of $6,998,000.</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0"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Level 3 Investment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Partnerships</w:t>
            </w:r>
          </w:p>
        </w:tc>
        <w:tc>
          <w:tcPr>
            <w:tcW w:w="3540" w:type="dxa"/>
            <w:vAlign w:val="bottom"/>
            <w:gridSpan w:val="12"/>
          </w:tcPr>
          <w:p>
            <w:pPr>
              <w:ind w:left="20"/>
              <w:spacing w:after="0"/>
              <w:rPr>
                <w:sz w:val="20"/>
                <w:szCs w:val="20"/>
                <w:color w:val="auto"/>
              </w:rPr>
            </w:pPr>
            <w:r>
              <w:rPr>
                <w:rFonts w:ascii="Arial" w:cs="Arial" w:eastAsia="Arial" w:hAnsi="Arial"/>
                <w:sz w:val="14"/>
                <w:szCs w:val="14"/>
                <w:b w:val="1"/>
                <w:bCs w:val="1"/>
                <w:color w:val="auto"/>
                <w:w w:val="92"/>
              </w:rPr>
              <w:t>Investment Assets at Fair Value as of December 31, 2013</w:t>
            </w:r>
          </w:p>
        </w:tc>
        <w:tc>
          <w:tcPr>
            <w:tcW w:w="8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9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Real Estate</w:t>
            </w:r>
          </w:p>
        </w:tc>
        <w:tc>
          <w:tcPr>
            <w:tcW w:w="120" w:type="dxa"/>
            <w:vAlign w:val="bottom"/>
          </w:tcPr>
          <w:p>
            <w:pPr>
              <w:spacing w:after="0"/>
              <w:rPr>
                <w:sz w:val="16"/>
                <w:szCs w:val="16"/>
                <w:color w:val="auto"/>
              </w:rPr>
            </w:pPr>
          </w:p>
        </w:tc>
        <w:tc>
          <w:tcPr>
            <w:tcW w:w="2300" w:type="dxa"/>
            <w:vAlign w:val="bottom"/>
            <w:gridSpan w:val="7"/>
          </w:tcPr>
          <w:p>
            <w:pPr>
              <w:ind w:left="40"/>
              <w:spacing w:after="0"/>
              <w:rPr>
                <w:sz w:val="20"/>
                <w:szCs w:val="20"/>
                <w:color w:val="auto"/>
              </w:rPr>
            </w:pPr>
            <w:r>
              <w:rPr>
                <w:rFonts w:ascii="Arial" w:cs="Arial" w:eastAsia="Arial" w:hAnsi="Arial"/>
                <w:sz w:val="14"/>
                <w:szCs w:val="14"/>
                <w:b w:val="1"/>
                <w:bCs w:val="1"/>
                <w:color w:val="auto"/>
              </w:rPr>
              <w:t>Restricted Stock Common Stock</w:t>
            </w: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1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312,417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56,720</w:t>
            </w:r>
          </w:p>
        </w:tc>
        <w:tc>
          <w:tcPr>
            <w:tcW w:w="400" w:type="dxa"/>
            <w:vAlign w:val="bottom"/>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$ 369,347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Additions: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Change in unrealized gains *</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31,513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39,657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Purchases, issuances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137,318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$ 148,651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Realized losses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(184)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Sales, settlements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(58,775)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(37,536)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Transfer out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(71,651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(39,229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1"/>
              </w:rPr>
              <w:t>(184)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(111,081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21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378,084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28,824</w:t>
            </w:r>
          </w:p>
        </w:tc>
        <w:tc>
          <w:tcPr>
            <w:tcW w:w="400" w:type="dxa"/>
            <w:vAlign w:val="bottom"/>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$ 406,917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right="180" w:hanging="212"/>
        <w:spacing w:after="0" w:line="277"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in unrealized gains (losses) relating to investments held at December 31, 2013 was $30,985,000, which is comprised primarily of Partnerships of $24,531,000 and Real Estate of $6,655,000.</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At December 31, 2014 and 2013, the Vanguard Fiduciary Trust Company Target Retirement 2020 investment of $753,967,000 and $757,596,000, respectively, represented more than 5% of the Master Trust net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Fair Value Measurements of the Investments in Certain Entities that Calculate Net Asset Value per Share at December 31, 2014 </w:t>
      </w:r>
      <w:r>
        <w:rPr>
          <w:rFonts w:ascii="Arial" w:cs="Arial" w:eastAsia="Arial" w:hAnsi="Arial"/>
          <w:sz w:val="17"/>
          <w:szCs w:val="17"/>
          <w:b w:val="1"/>
          <w:bCs w:val="1"/>
          <w:i w:val="1"/>
          <w:iCs w:val="1"/>
          <w:color w:val="auto"/>
        </w:rPr>
        <w:t>(in millions)</w:t>
      </w:r>
      <w:r>
        <w:rPr>
          <w:rFonts w:ascii="Arial" w:cs="Arial" w:eastAsia="Arial" w:hAnsi="Arial"/>
          <w:sz w:val="17"/>
          <w:szCs w:val="17"/>
          <w:b w:val="1"/>
          <w:bCs w:val="1"/>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Redemption</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Trade to</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Unfunded</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Frequency</w:t>
            </w:r>
          </w:p>
        </w:tc>
        <w:tc>
          <w:tcPr>
            <w:tcW w:w="1020" w:type="dxa"/>
            <w:vAlign w:val="bottom"/>
            <w:vMerge w:val="continue"/>
          </w:tcPr>
          <w:p>
            <w:pPr>
              <w:spacing w:after="0"/>
              <w:rPr>
                <w:sz w:val="12"/>
                <w:szCs w:val="12"/>
                <w:color w:val="auto"/>
              </w:rPr>
            </w:pPr>
          </w:p>
        </w:tc>
        <w:tc>
          <w:tcPr>
            <w:tcW w:w="9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9"/>
              </w:rPr>
              <w:t>(If currently</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Settlement</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eligible)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Terms</w:t>
            </w:r>
          </w:p>
        </w:tc>
        <w:tc>
          <w:tcPr>
            <w:tcW w:w="940" w:type="dxa"/>
            <w:vAlign w:val="bottom"/>
          </w:tcPr>
          <w:p>
            <w:pPr>
              <w:jc w:val="center"/>
              <w:ind w:left="14"/>
              <w:spacing w:after="0"/>
              <w:rPr>
                <w:sz w:val="20"/>
                <w:szCs w:val="20"/>
                <w:color w:val="auto"/>
              </w:rPr>
            </w:pPr>
            <w:r>
              <w:rPr>
                <w:rFonts w:ascii="Arial" w:cs="Arial" w:eastAsia="Arial" w:hAnsi="Arial"/>
                <w:sz w:val="14"/>
                <w:szCs w:val="14"/>
                <w:b w:val="1"/>
                <w:bCs w:val="1"/>
                <w:color w:val="auto"/>
                <w:w w:val="93"/>
              </w:rPr>
              <w:t>Notice Period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Commingled fund investing in Fixed Income </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daily, pending</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market conditions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to 3 days</w:t>
            </w:r>
          </w:p>
        </w:tc>
        <w:tc>
          <w:tcPr>
            <w:tcW w:w="9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Arial" w:cs="Arial" w:eastAsia="Arial" w:hAnsi="Arial"/>
                <w:sz w:val="18"/>
                <w:szCs w:val="18"/>
                <w:color w:val="auto"/>
              </w:rPr>
              <w:t xml:space="preserve">Commingled fund investing in Domestic Equity </w:t>
            </w: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1"/>
              </w:rPr>
              <w:t>daily, pending</w:t>
            </w: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650.8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N/A</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market conditions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 to 3 days</w:t>
            </w:r>
          </w:p>
        </w:tc>
        <w:tc>
          <w:tcPr>
            <w:tcW w:w="940" w:type="dxa"/>
            <w:vAlign w:val="bottom"/>
          </w:tcPr>
          <w:p>
            <w:pPr>
              <w:jc w:val="center"/>
              <w:ind w:lef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Commingled fund investing in International Equity </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daily, pending</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market conditions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to 3 days</w:t>
            </w:r>
          </w:p>
        </w:tc>
        <w:tc>
          <w:tcPr>
            <w:tcW w:w="9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Arial" w:cs="Arial" w:eastAsia="Arial" w:hAnsi="Arial"/>
                <w:sz w:val="18"/>
                <w:szCs w:val="18"/>
                <w:color w:val="auto"/>
              </w:rPr>
              <w:t>Commingled fund investing in mutual funds investing in fixed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1"/>
              </w:rPr>
              <w:t>daily, pending</w:t>
            </w: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 xml:space="preserve">income and equity securities </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1,714.1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N/A</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market conditions</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 to 3 days</w:t>
            </w:r>
          </w:p>
        </w:tc>
        <w:tc>
          <w:tcPr>
            <w:tcW w:w="940" w:type="dxa"/>
            <w:vAlign w:val="bottom"/>
          </w:tcPr>
          <w:p>
            <w:pPr>
              <w:jc w:val="center"/>
              <w:ind w:lef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Partnership Fund investing 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 xml:space="preserve">International Equity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N/A</w:t>
            </w: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monthly</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 to 3 days</w:t>
            </w: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88"/>
              </w:rPr>
              <w:t>15 days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Private Equity Funds </w:t>
            </w: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 to 5 years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9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 xml:space="preserve">Private Real Estate Funds </w:t>
            </w: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 to 6 years</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940" w:type="dxa"/>
            <w:vAlign w:val="bottom"/>
          </w:tcPr>
          <w:p>
            <w:pPr>
              <w:jc w:val="center"/>
              <w:ind w:lef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3,710.4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147.4</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represents certain investments of the Master Trust that calculate net asset value per share.</w:t>
      </w:r>
    </w:p>
    <w:p>
      <w:pPr>
        <w:spacing w:after="0" w:line="22" w:lineRule="exact"/>
        <w:rPr>
          <w:sz w:val="20"/>
          <w:szCs w:val="20"/>
          <w:color w:val="auto"/>
        </w:rPr>
      </w:pPr>
    </w:p>
    <w:p>
      <w:pPr>
        <w:ind w:left="460" w:right="40" w:hanging="452"/>
        <w:spacing w:after="0" w:line="282"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These categories represent investments in Common Collective Trusts investing in domestic equity, international equity, and fixed income securities. All the Common Collective Trust funds have daily liquidity and are not subject to any redemption restrictions at the measurement date. The funds have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different trading terms varying from one to three days.</w:t>
      </w:r>
    </w:p>
    <w:p>
      <w:pPr>
        <w:spacing w:after="0" w:line="8" w:lineRule="exact"/>
        <w:rPr>
          <w:sz w:val="20"/>
          <w:szCs w:val="20"/>
          <w:color w:val="auto"/>
        </w:rPr>
      </w:pPr>
    </w:p>
    <w:p>
      <w:pPr>
        <w:ind w:left="460" w:hanging="452"/>
        <w:spacing w:after="0" w:line="265"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7"/>
          <w:szCs w:val="17"/>
          <w:color w:val="auto"/>
        </w:rPr>
        <w:t>This category includes three partnership funds that invest in international equity. The funds allow for monthly redemptions and contributions on the first of each month. The fund manager must be notified by the 15</w:t>
      </w:r>
      <w:r>
        <w:rPr>
          <w:rFonts w:ascii="Arial" w:cs="Arial" w:eastAsia="Arial" w:hAnsi="Arial"/>
          <w:sz w:val="14"/>
          <w:szCs w:val="14"/>
          <w:color w:val="auto"/>
        </w:rPr>
        <w:t>th</w:t>
      </w:r>
      <w:r>
        <w:rPr>
          <w:rFonts w:ascii="Arial" w:cs="Arial" w:eastAsia="Arial" w:hAnsi="Arial"/>
          <w:sz w:val="17"/>
          <w:szCs w:val="17"/>
          <w:color w:val="auto"/>
        </w:rPr>
        <w:t xml:space="preserve"> of the preceding month for redemptions and contributions.</w:t>
      </w:r>
    </w:p>
    <w:p>
      <w:pPr>
        <w:ind w:left="460" w:right="20" w:hanging="452"/>
        <w:spacing w:after="0" w:line="281" w:lineRule="auto"/>
        <w:tabs>
          <w:tab w:leader="none" w:pos="460" w:val="left"/>
        </w:tabs>
        <w:numPr>
          <w:ilvl w:val="0"/>
          <w:numId w:val="22"/>
        </w:numPr>
        <w:rPr>
          <w:rFonts w:ascii="Arial" w:cs="Arial" w:eastAsia="Arial" w:hAnsi="Arial"/>
          <w:sz w:val="14"/>
          <w:szCs w:val="14"/>
          <w:color w:val="auto"/>
        </w:rPr>
      </w:pPr>
      <w:r>
        <w:rPr>
          <w:rFonts w:ascii="Arial" w:cs="Arial" w:eastAsia="Arial" w:hAnsi="Arial"/>
          <w:sz w:val="16"/>
          <w:szCs w:val="16"/>
          <w:color w:val="auto"/>
        </w:rPr>
        <w:t>This category includes 17 partnership funds that invest in private equity both domestically and internationally. These investments can never be redeemed during the life of the funds. Instead, distributions are received through the liquidation of the underlying assets of the funds. It is estimated that the underlying assets will be liquidated over the next 1 to 5 years. Unfunded commitments of $145.1 million remain in nine of the funds.</w:t>
      </w:r>
    </w:p>
    <w:p>
      <w:pPr>
        <w:spacing w:after="0" w:line="2" w:lineRule="exact"/>
        <w:rPr>
          <w:sz w:val="20"/>
          <w:szCs w:val="20"/>
          <w:color w:val="auto"/>
        </w:rPr>
      </w:pPr>
    </w:p>
    <w:p>
      <w:pPr>
        <w:ind w:left="460" w:right="40" w:hanging="452"/>
        <w:spacing w:after="0" w:line="274"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7"/>
          <w:szCs w:val="17"/>
          <w:color w:val="auto"/>
        </w:rPr>
        <w:t>This category includes 10 investments in domestic and international real estate funds. The fair value of these investments is estimated using the NAV of the Trust’s ownership interest in partners’ capital. The valuation inputs of these investments are derived from third party appraisals. These investments can never be redeemed during the life of the funds. Distributions from each fund will be received as the underlying investments if the funds are liquidated over the next 1 to 6 years. Unfunded commitments of $2.3 million remain in three of the funds.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Policy</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Master Trust may enter into contractual arrangements (derivatives) in carrying out its investment strategy, and is limited to the use of derivatives allowed by the Investment Policy Statement, principally to: (1) hedge a portion of the Master Trust’s portfolio to limit or minimize exposure to certain risks, (2) gain an exposure to a market more rapidly or less expensively than could be accomplished through the use of the cash markets, and (3) reduce the cost of structuring the portfolio or capture value disparities between financial instruments. The Master Trust may utilize both exchange traded investment instruments such as equity and fixed income futures and options on fixed income futures, forward currency contracts, interest rate swaps, credit default swaps (CDS), swaptions and options. When engaging in forward currency contracts and any other over-the-counter derivatives, there is exposure to credit risk in the event of non-performance by the counterparties to these transactions. The Master Trust manages this exposure through credit approvals and limited monitoring procedures. Procedures are in place to regularly monitor and report market and counterparty credit risks associated with these instruments. This counterparty risk is further mitigated through the netting provisions of various agreements with certain counterparties that permit net settlement under specific conditions and, for certain counterparties, by providing collateral. These netting provisions may be part of an International Swap and Derivative Association agreement (ISDA) or other types of agreements. Such netting provisions govern the ability to offset amounts the Master Trust owes a counterparty against amounts the counterparty owes the Master Trust (net settlement). The agreements are specific to an individual counterparty within a particular investment account and generally allow net settlement in the event of contract termination. Furthermore, these agreements generally permit termination by either party prior to maturity upon the occurrence of certain stated events, such as failure to pay or bankruptcy. In addition, ISDAs specify other events, the occurrence of which would allow one of the parties to terminate. Collateral requirements are determined based on the net aggregate unrealized gain or loss on all bilateral derivatives with each counterparty, subject to minimum transfer amounts. Any additional collateral required due to changes in securities values is transferred the next business day.</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Master Trust discloses all derivatives on the Statement of Net Assets of the Master Trust (Footnote 4) on a gross basis. All collateral amounts (pledged and received) for the individual types of derivatives are disclosed in the following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2014 and 2013, derivatives were used only in the defined benefit plans of the Master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Prior year derivative disclosures were revised to conform to current year derivative disclosures presentation.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significant accounting policies associated with the Master Trust’s use of derivatives.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Currency Exchange Contracts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Forward currency contracts are generally utilized to hedge a portion of the currency exposure that results from the Master Trust’s holdings of equity and fixed income securities denominated in foreign currencies.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Forward currency contracts are generally marked-to-market at the prevailing forward exchange rate of the underlying currencies and the difference between contract value and market value is recorded as unrealized appreciation (depreciation) in Master Trust net assets. When the forward currency contract is closed, the Master Trust transfers the unrealized appreciation (depreciation) to a realized gain (loss) equal to the change in the value of the forward exchange contract when it was opened and the value at the time it was closed or offset. Sales and purchases of forward currency contracts having the same settlement date and broker are offset, and any gain (loss) is realized on the date of offset.</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risks may arise upon entering into a forward currency contract from the potential inability of counterparties to meet the terms of their contracts. Additionally, when utilizing forward currency contracts to hedge, the Master Trust gives up the opportunity to profit from favorable exchange rate movements during the term of the contract. As of December 31, 2014 and 2013, the value of currencies under forward currency contracts represents less than 1% of total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open forward currency contracts of the Master Trust at December 31, 2014 and 2013 is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80" w:type="dxa"/>
            <w:vAlign w:val="bottom"/>
          </w:tcPr>
          <w:p>
            <w:pPr>
              <w:spacing w:after="0"/>
              <w:rPr>
                <w:sz w:val="10"/>
                <w:szCs w:val="10"/>
                <w:color w:val="auto"/>
              </w:rPr>
            </w:pPr>
          </w:p>
        </w:tc>
        <w:tc>
          <w:tcPr>
            <w:tcW w:w="122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Amount</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Gross Amounts</w:t>
            </w:r>
          </w:p>
        </w:tc>
        <w:tc>
          <w:tcPr>
            <w:tcW w:w="122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Gross Amounts</w:t>
            </w: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Unrealized</w:t>
            </w:r>
          </w:p>
        </w:tc>
        <w:tc>
          <w:tcPr>
            <w:tcW w:w="94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Unrealized</w:t>
            </w:r>
          </w:p>
        </w:tc>
        <w:tc>
          <w:tcPr>
            <w:tcW w:w="1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of Unrealized</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Gains in the</w:t>
            </w:r>
          </w:p>
        </w:tc>
        <w:tc>
          <w:tcPr>
            <w:tcW w:w="8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Liablities in the</w:t>
            </w:r>
          </w:p>
        </w:tc>
        <w:tc>
          <w:tcPr>
            <w:tcW w:w="200" w:type="dxa"/>
            <w:vAlign w:val="bottom"/>
          </w:tcPr>
          <w:p>
            <w:pPr>
              <w:spacing w:after="0"/>
              <w:rPr>
                <w:sz w:val="12"/>
                <w:szCs w:val="12"/>
                <w:color w:val="auto"/>
              </w:rPr>
            </w:pPr>
          </w:p>
        </w:tc>
        <w:tc>
          <w:tcPr>
            <w:tcW w:w="7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 in the</w:t>
            </w: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Liablities in the</w:t>
            </w:r>
          </w:p>
        </w:tc>
        <w:tc>
          <w:tcPr>
            <w:tcW w:w="2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6"/>
              </w:rPr>
              <w:t>Maturity Date</w:t>
            </w: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8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Statement of Net</w:t>
            </w:r>
          </w:p>
        </w:tc>
        <w:tc>
          <w:tcPr>
            <w:tcW w:w="9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Unrealized</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Maturity Date</w:t>
            </w: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Statement of Net</w:t>
            </w: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Statement of Net</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Net Assets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Assets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123"/>
        </w:trPr>
        <w:tc>
          <w:tcPr>
            <w:tcW w:w="14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rPr>
              <w:t>Australian Dollar</w:t>
            </w:r>
          </w:p>
        </w:tc>
        <w:tc>
          <w:tcPr>
            <w:tcW w:w="8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1/5/2015-</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4"/>
                <w:szCs w:val="14"/>
                <w:color w:val="auto"/>
              </w:rPr>
              <w:t>2/12/2015</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2/10/2014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(146)</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Brazilian Real</w:t>
            </w:r>
          </w:p>
        </w:tc>
        <w:tc>
          <w:tcPr>
            <w:tcW w:w="880" w:type="dxa"/>
            <w:vAlign w:val="bottom"/>
          </w:tcPr>
          <w:p>
            <w:pPr>
              <w:spacing w:after="0" w:line="130" w:lineRule="exact"/>
              <w:rPr>
                <w:sz w:val="20"/>
                <w:szCs w:val="20"/>
                <w:color w:val="auto"/>
              </w:rPr>
            </w:pPr>
            <w:r>
              <w:rPr>
                <w:rFonts w:ascii="Arial" w:cs="Arial" w:eastAsia="Arial" w:hAnsi="Arial"/>
                <w:sz w:val="14"/>
                <w:szCs w:val="14"/>
                <w:color w:val="auto"/>
              </w:rPr>
              <w:t>1/5/2015-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7/2/2015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4,989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900" w:type="dxa"/>
            <w:vAlign w:val="bottom"/>
          </w:tcPr>
          <w:p>
            <w:pPr>
              <w:spacing w:after="0"/>
              <w:rPr>
                <w:sz w:val="20"/>
                <w:szCs w:val="20"/>
                <w:color w:val="auto"/>
              </w:rPr>
            </w:pPr>
            <w:r>
              <w:rPr>
                <w:rFonts w:ascii="Arial" w:cs="Arial" w:eastAsia="Arial" w:hAnsi="Arial"/>
                <w:sz w:val="14"/>
                <w:szCs w:val="14"/>
                <w:color w:val="auto"/>
              </w:rPr>
              <w:t>1/3/2014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Canadian Dollar</w:t>
            </w: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2/12/2015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2/10/2014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line="149" w:lineRule="exact"/>
              <w:rPr>
                <w:sz w:val="20"/>
                <w:szCs w:val="20"/>
                <w:color w:val="auto"/>
              </w:rPr>
            </w:pPr>
            <w:r>
              <w:rPr>
                <w:rFonts w:ascii="Arial" w:cs="Arial" w:eastAsia="Arial" w:hAnsi="Arial"/>
                <w:sz w:val="14"/>
                <w:szCs w:val="14"/>
                <w:color w:val="auto"/>
              </w:rPr>
              <w:t>Danish Krone</w:t>
            </w:r>
          </w:p>
        </w:tc>
        <w:tc>
          <w:tcPr>
            <w:tcW w:w="880" w:type="dxa"/>
            <w:vAlign w:val="bottom"/>
          </w:tcPr>
          <w:p>
            <w:pPr>
              <w:spacing w:after="0" w:line="149" w:lineRule="exact"/>
              <w:rPr>
                <w:sz w:val="20"/>
                <w:szCs w:val="20"/>
                <w:color w:val="auto"/>
              </w:rPr>
            </w:pPr>
            <w:r>
              <w:rPr>
                <w:rFonts w:ascii="Arial" w:cs="Arial" w:eastAsia="Arial" w:hAnsi="Arial"/>
                <w:sz w:val="14"/>
                <w:szCs w:val="14"/>
                <w:color w:val="auto"/>
              </w:rPr>
              <w:t>2/12/2015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2/10/2014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2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Euro</w:t>
            </w:r>
          </w:p>
        </w:tc>
        <w:tc>
          <w:tcPr>
            <w:tcW w:w="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2/12/2015-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2/4/14-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4"/>
                <w:szCs w:val="14"/>
                <w:color w:val="auto"/>
              </w:rPr>
              <w:t>2/19/2015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68,760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(297)</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1,324</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3/13/14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6"/>
              </w:rPr>
              <w:t>127,285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(1,292)</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49"/>
        </w:trPr>
        <w:tc>
          <w:tcPr>
            <w:tcW w:w="1460" w:type="dxa"/>
            <w:vAlign w:val="bottom"/>
          </w:tcPr>
          <w:p>
            <w:pPr>
              <w:spacing w:after="0" w:line="149" w:lineRule="exact"/>
              <w:rPr>
                <w:sz w:val="20"/>
                <w:szCs w:val="20"/>
                <w:color w:val="auto"/>
              </w:rPr>
            </w:pPr>
            <w:r>
              <w:rPr>
                <w:rFonts w:ascii="Arial" w:cs="Arial" w:eastAsia="Arial" w:hAnsi="Arial"/>
                <w:sz w:val="14"/>
                <w:szCs w:val="14"/>
                <w:color w:val="auto"/>
              </w:rPr>
              <w:t>Hong Kong Dollar</w:t>
            </w:r>
          </w:p>
        </w:tc>
        <w:tc>
          <w:tcPr>
            <w:tcW w:w="880" w:type="dxa"/>
            <w:vAlign w:val="bottom"/>
          </w:tcPr>
          <w:p>
            <w:pPr>
              <w:spacing w:after="0" w:line="149" w:lineRule="exact"/>
              <w:rPr>
                <w:sz w:val="20"/>
                <w:szCs w:val="20"/>
                <w:color w:val="auto"/>
              </w:rPr>
            </w:pPr>
            <w:r>
              <w:rPr>
                <w:rFonts w:ascii="Arial" w:cs="Arial" w:eastAsia="Arial" w:hAnsi="Arial"/>
                <w:sz w:val="14"/>
                <w:szCs w:val="14"/>
                <w:color w:val="auto"/>
              </w:rPr>
              <w:t>2/12/2015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2/10/2014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Indian Rupee</w:t>
            </w: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2/26/2015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Japanese Yen</w:t>
            </w:r>
          </w:p>
        </w:tc>
        <w:tc>
          <w:tcPr>
            <w:tcW w:w="880" w:type="dxa"/>
            <w:vAlign w:val="bottom"/>
          </w:tcPr>
          <w:p>
            <w:pPr>
              <w:spacing w:after="0" w:line="130" w:lineRule="exact"/>
              <w:rPr>
                <w:sz w:val="20"/>
                <w:szCs w:val="20"/>
                <w:color w:val="auto"/>
              </w:rPr>
            </w:pPr>
            <w:r>
              <w:rPr>
                <w:rFonts w:ascii="Arial" w:cs="Arial" w:eastAsia="Arial" w:hAnsi="Arial"/>
                <w:sz w:val="14"/>
                <w:szCs w:val="14"/>
                <w:color w:val="auto"/>
              </w:rPr>
              <w:t>1/5/2015-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2/10/14-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2/12/2015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41,035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(198)</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584</w:t>
            </w:r>
          </w:p>
        </w:tc>
        <w:tc>
          <w:tcPr>
            <w:tcW w:w="1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2/18/14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38,796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(255)</w:t>
            </w:r>
          </w:p>
        </w:tc>
        <w:tc>
          <w:tcPr>
            <w:tcW w:w="2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1,358</w:t>
            </w:r>
          </w:p>
        </w:tc>
        <w:tc>
          <w:tcPr>
            <w:tcW w:w="0" w:type="dxa"/>
            <w:vAlign w:val="bottom"/>
          </w:tcPr>
          <w:p>
            <w:pPr>
              <w:spacing w:after="0"/>
              <w:rPr>
                <w:sz w:val="1"/>
                <w:szCs w:val="1"/>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Mexican Peso</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2/13/14-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4"/>
                <w:szCs w:val="14"/>
                <w:color w:val="auto"/>
              </w:rPr>
              <w:t>2/5/2015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3/20/14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line="149" w:lineRule="exact"/>
              <w:rPr>
                <w:sz w:val="20"/>
                <w:szCs w:val="20"/>
                <w:color w:val="auto"/>
              </w:rPr>
            </w:pPr>
            <w:r>
              <w:rPr>
                <w:rFonts w:ascii="Arial" w:cs="Arial" w:eastAsia="Arial" w:hAnsi="Arial"/>
                <w:sz w:val="14"/>
                <w:szCs w:val="14"/>
                <w:color w:val="auto"/>
              </w:rPr>
              <w:t>New Zealand Dollar</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2/10/2014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Norwegian Kroner</w:t>
            </w: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2/12/2015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2/10/2014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line="130" w:lineRule="exact"/>
              <w:rPr>
                <w:sz w:val="20"/>
                <w:szCs w:val="20"/>
                <w:color w:val="auto"/>
              </w:rPr>
            </w:pPr>
            <w:r>
              <w:rPr>
                <w:rFonts w:ascii="Arial" w:cs="Arial" w:eastAsia="Arial" w:hAnsi="Arial"/>
                <w:sz w:val="14"/>
                <w:szCs w:val="14"/>
                <w:color w:val="auto"/>
              </w:rPr>
              <w:t>Pound Sterling</w:t>
            </w:r>
          </w:p>
        </w:tc>
        <w:tc>
          <w:tcPr>
            <w:tcW w:w="880" w:type="dxa"/>
            <w:vAlign w:val="bottom"/>
          </w:tcPr>
          <w:p>
            <w:pPr>
              <w:spacing w:after="0" w:line="130" w:lineRule="exact"/>
              <w:rPr>
                <w:sz w:val="20"/>
                <w:szCs w:val="20"/>
                <w:color w:val="auto"/>
              </w:rPr>
            </w:pPr>
            <w:r>
              <w:rPr>
                <w:rFonts w:ascii="Arial" w:cs="Arial" w:eastAsia="Arial" w:hAnsi="Arial"/>
                <w:sz w:val="14"/>
                <w:szCs w:val="14"/>
                <w:color w:val="auto"/>
              </w:rPr>
              <w:t>2/3/2015-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2/10/14-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2/12/2015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26,414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397</w:t>
            </w:r>
          </w:p>
        </w:tc>
        <w:tc>
          <w:tcPr>
            <w:tcW w:w="1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3/12/14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68,615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(1,228)</w:t>
            </w:r>
          </w:p>
        </w:tc>
        <w:tc>
          <w:tcPr>
            <w:tcW w:w="2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30"/>
        </w:trPr>
        <w:tc>
          <w:tcPr>
            <w:tcW w:w="1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Russian Ruble</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1/15/14-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4/15/14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60" w:type="dxa"/>
            <w:vAlign w:val="bottom"/>
          </w:tcPr>
          <w:p>
            <w:pPr>
              <w:spacing w:after="0" w:line="149" w:lineRule="exact"/>
              <w:rPr>
                <w:sz w:val="20"/>
                <w:szCs w:val="20"/>
                <w:color w:val="auto"/>
              </w:rPr>
            </w:pPr>
            <w:r>
              <w:rPr>
                <w:rFonts w:ascii="Arial" w:cs="Arial" w:eastAsia="Arial" w:hAnsi="Arial"/>
                <w:sz w:val="14"/>
                <w:szCs w:val="14"/>
                <w:color w:val="auto"/>
              </w:rPr>
              <w:t>Singapore Dollar</w:t>
            </w:r>
          </w:p>
        </w:tc>
        <w:tc>
          <w:tcPr>
            <w:tcW w:w="880" w:type="dxa"/>
            <w:vAlign w:val="bottom"/>
          </w:tcPr>
          <w:p>
            <w:pPr>
              <w:spacing w:after="0" w:line="149" w:lineRule="exact"/>
              <w:rPr>
                <w:sz w:val="20"/>
                <w:szCs w:val="20"/>
                <w:color w:val="auto"/>
              </w:rPr>
            </w:pPr>
            <w:r>
              <w:rPr>
                <w:rFonts w:ascii="Arial" w:cs="Arial" w:eastAsia="Arial" w:hAnsi="Arial"/>
                <w:sz w:val="14"/>
                <w:szCs w:val="14"/>
                <w:color w:val="auto"/>
              </w:rPr>
              <w:t>2/12/2015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2/10/2014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Swedish Krona</w:t>
            </w:r>
          </w:p>
        </w:tc>
        <w:tc>
          <w:tcPr>
            <w:tcW w:w="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2/12/2015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2/10/2014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1460" w:type="dxa"/>
            <w:vAlign w:val="bottom"/>
          </w:tcPr>
          <w:p>
            <w:pPr>
              <w:spacing w:after="0" w:line="149" w:lineRule="exact"/>
              <w:rPr>
                <w:sz w:val="20"/>
                <w:szCs w:val="20"/>
                <w:color w:val="auto"/>
              </w:rPr>
            </w:pPr>
            <w:r>
              <w:rPr>
                <w:rFonts w:ascii="Arial" w:cs="Arial" w:eastAsia="Arial" w:hAnsi="Arial"/>
                <w:sz w:val="14"/>
                <w:szCs w:val="14"/>
                <w:color w:val="auto"/>
              </w:rPr>
              <w:t>Swiss Franc</w:t>
            </w:r>
          </w:p>
        </w:tc>
        <w:tc>
          <w:tcPr>
            <w:tcW w:w="880" w:type="dxa"/>
            <w:vAlign w:val="bottom"/>
          </w:tcPr>
          <w:p>
            <w:pPr>
              <w:spacing w:after="0" w:line="149" w:lineRule="exact"/>
              <w:rPr>
                <w:sz w:val="20"/>
                <w:szCs w:val="20"/>
                <w:color w:val="auto"/>
              </w:rPr>
            </w:pPr>
            <w:r>
              <w:rPr>
                <w:rFonts w:ascii="Arial" w:cs="Arial" w:eastAsia="Arial" w:hAnsi="Arial"/>
                <w:sz w:val="14"/>
                <w:szCs w:val="14"/>
                <w:color w:val="auto"/>
              </w:rPr>
              <w:t>2/12/2015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8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2/10/2014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20,956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(331)</w:t>
            </w:r>
          </w:p>
        </w:tc>
        <w:tc>
          <w:tcPr>
            <w:tcW w:w="2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169,279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3,699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(612)</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3,087</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u w:val="single" w:color="auto"/>
                <w:color w:val="auto"/>
                <w:w w:val="76"/>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292,787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2,378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(3,412)</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2014, the Master Trust was in receipt of collateral in the form of Government Securities of $768,000 from Broker for counterparties.</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Contracts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Master Trust used equity index and fixed income futures contracts to manage exposure to the market. Buying futures tends to increase the Master Trust’s exposure to the underlying instrument. Selling futures tends to decrease the Master Trust’s exposure to the underlying instrument held or hedge the fair value of other fund investments. The Master Trust does not employ leverage in its use of derivatives. Futures contracts are valued at the last settlement price at the end of each day on the exchange upon which they are traded. Upon entering into a futures contract, the Master Trust is required to deposit either in cash or securities an amount (initial margin) equal to a certain percentage of the nominal value of the contract. Pursuant to the futures contract, the Master Trust agrees to receive from, or pay to, the broker an amount of cash equal to the daily fluctuation in the value of the futures contract. Such receipts or payments are known as “variation margin” which are generally settled daily and are included in the unrealized gains (losses) on futures contracts. The Master Trust will record a variation margin receivable or payable in the Master Trust net assets for variation margins which have not yet been paid at the end of the year.</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Futures contracts involve, to varying degrees, credit and market risks. The Master Trust enters into futures contracts on exchanges where the exchange acts as the counterparty to the transaction. Thus, credit risk on such transactions is limited to the failure of the exchange. The daily settlement on the futures contracts serves to greatly reduce credit risk. Losses in value may arise from changes in the value of the underlying instruments or if there is an illiquid secondary market for the contracts. In addition, there is the risk that there may not be an exact correlation between a futures contract and the underlying index or security. As of December 31, 2014 and 2013, the unrealized gain/loss of future contracts represents less than 1% of total investments.</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2014 and 2013, U.S. Government Securities with market value of $383,000 and $600,375, respectively, and cash balances of $113,000 and $983,000, respectively, were pledged to cover margin requirements for open futures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open fixed income futures of the Master Trust is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 for the year ended: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1"/>
              </w:rPr>
              <w:t>December 31, 2013</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tcPr>
          <w:p>
            <w:pPr>
              <w:spacing w:after="0"/>
              <w:rPr>
                <w:sz w:val="10"/>
                <w:szCs w:val="10"/>
                <w:color w:val="auto"/>
              </w:rPr>
            </w:pPr>
          </w:p>
        </w:tc>
        <w:tc>
          <w:tcPr>
            <w:tcW w:w="6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Contracts</w:t>
            </w:r>
          </w:p>
        </w:tc>
        <w:tc>
          <w:tcPr>
            <w:tcW w:w="280" w:type="dxa"/>
            <w:vAlign w:val="bottom"/>
          </w:tcPr>
          <w:p>
            <w:pPr>
              <w:spacing w:after="0"/>
              <w:rPr>
                <w:sz w:val="10"/>
                <w:szCs w:val="10"/>
                <w:color w:val="auto"/>
              </w:rPr>
            </w:pPr>
          </w:p>
        </w:tc>
        <w:tc>
          <w:tcPr>
            <w:tcW w:w="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Notional</w:t>
            </w: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Unrealized</w:t>
            </w:r>
          </w:p>
        </w:tc>
        <w:tc>
          <w:tcPr>
            <w:tcW w:w="300" w:type="dxa"/>
            <w:vAlign w:val="bottom"/>
          </w:tcPr>
          <w:p>
            <w:pPr>
              <w:spacing w:after="0"/>
              <w:rPr>
                <w:sz w:val="10"/>
                <w:szCs w:val="10"/>
                <w:color w:val="auto"/>
              </w:rPr>
            </w:pP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Contracts</w:t>
            </w:r>
          </w:p>
        </w:tc>
        <w:tc>
          <w:tcPr>
            <w:tcW w:w="26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Notional</w:t>
            </w:r>
          </w:p>
        </w:tc>
        <w:tc>
          <w:tcPr>
            <w:tcW w:w="2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Long /</w:t>
            </w:r>
          </w:p>
        </w:tc>
        <w:tc>
          <w:tcPr>
            <w:tcW w:w="2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 /</w:t>
            </w:r>
          </w:p>
        </w:tc>
        <w:tc>
          <w:tcPr>
            <w:tcW w:w="10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Long /</w:t>
            </w: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Gain /</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4"/>
                <w:szCs w:val="14"/>
                <w:b w:val="1"/>
                <w:bCs w:val="1"/>
                <w:color w:val="auto"/>
              </w:rPr>
              <w:t>(Short)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w:t>
            </w: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(Short)</w:t>
            </w:r>
          </w:p>
        </w:tc>
        <w:tc>
          <w:tcPr>
            <w:tcW w:w="26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90 day Eurodollar Future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$473,353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US Treasury 2-30 year Futures</w:t>
            </w:r>
          </w:p>
        </w:tc>
        <w:tc>
          <w:tcPr>
            <w:tcW w:w="10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86"/>
              </w:rPr>
              <w:t>123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20,184</w:t>
            </w:r>
          </w:p>
        </w:tc>
        <w:tc>
          <w:tcPr>
            <w:tcW w:w="12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6,664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123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20,184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1,959</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480,017</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Credit Default Swaps and Swaptions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Master Trust may invest in interest rate swap contracts. The Master Trust uses interest rate swap contracts to manage its exposure to interest rates. Interest rate swap contracts typically represent the exchange between the Master Trust and a counterparty of respective commitments to make variable rate and fixed rate payments with respect to a notional amount of principal. Such contracts have a term coincident with the maturity date of the Master Trust, with settlement scheduled for the termination date of the contract.</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period that the swap contract is open, the contract is marked-to-market as the net amount due to or from the Master Trust in accordance with the terms of the contract based on the closing level of the relevant index or security and interest accrual through the valuation date. Swaps are marked-to-market daily based upon values from third party vendors or quotations from market makers to the extent available and the change in value, if any, is recorded as an unrealized gain or loss on the Statement of Net Assets Available for Benefits. Periodic cash settlements on interest rate swaps are recorded as realized gains or losses. Interest rate swap contracts may include extended effective dates.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Entering into a swap contract involves, to varying degrees, elements of credit, market and/or interest rate risk in excess of the amounts reported in the Statement of Net Assets of the Master Trust. Notional principal amounts are used to express the extent of involvement in the transactions, but are not delivered under the contracts. Accordingly, credit risk is limited to any amounts receivable from the counterparty. To reduce credit risk from potential counterparty default, the Master Trust enters into swap contracts with counterparties whose creditworthiness has been approved by the Company. The Master Trust bears the market risk arising from any change in index or security values or interest rates. Under certain circumstances, the Master Trust may be required to pledge collateral to or may receive collateral from swap counterparties. Initial upfront payments received or made upon entering into a swap contract are included in the fair value of the swap.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interest rate swap contracts were open at December 31,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Notional</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Premiums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Paid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64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Fixed rate</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(Received)</w:t>
            </w:r>
          </w:p>
        </w:tc>
        <w:tc>
          <w:tcPr>
            <w:tcW w:w="80" w:type="dxa"/>
            <w:vAlign w:val="bottom"/>
          </w:tcPr>
          <w:p>
            <w:pPr>
              <w:spacing w:after="0"/>
              <w:rPr>
                <w:sz w:val="16"/>
                <w:szCs w:val="16"/>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Pay Fixed and Receive 6-Month EURIBOR</w:t>
            </w:r>
          </w:p>
        </w:tc>
        <w:tc>
          <w:tcPr>
            <w:tcW w:w="11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1.25%</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2025</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6,900</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Pay Fixed and Receive 12-Month EURIBOR</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0.35%-1.00%</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2017-2019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 Fixed and Receive 12-Month USCPI</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Pay Fixed and Receive 3-Month EURIBOR</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0.40%</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16,800</w:t>
            </w:r>
          </w:p>
        </w:tc>
        <w:tc>
          <w:tcPr>
            <w:tcW w:w="14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 Fixed and Receive 3-Month LIBOR USD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1.00%-3.11%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2019-2034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(1,735)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Pay Fixed and Receive 6-Month LIBOR GPB</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5,800</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 Fixed and Receive 6-Month LIBOR JPY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2023-2024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1,143,600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Pay Fixed and Receive Eurostat Eurozone HICP</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0.75%-1.05%</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11,000</w:t>
            </w:r>
          </w:p>
        </w:tc>
        <w:tc>
          <w:tcPr>
            <w:tcW w:w="14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 Fixed and Receive Eurostat Eurozone MCPI</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Pay 28-day MX Interbank TIIE and Receive Fixed</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5.61%-6.80%</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2021-2023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86,800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 3-Month BBSW and Receive Fixed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Pay 3-Month LIBOR USD and Receive Fixed</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1.64%-3.06%</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2022-2044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91,400</w:t>
            </w:r>
          </w:p>
        </w:tc>
        <w:tc>
          <w:tcPr>
            <w:tcW w:w="14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(2,880)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1,459,350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(5,792)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00" w:type="dxa"/>
            <w:vAlign w:val="bottom"/>
            <w:vMerge w:val="restart"/>
          </w:tcPr>
          <w:p>
            <w:pPr>
              <w:jc w:val="right"/>
              <w:ind w:right="571"/>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CDS contracts were open at December 31, 2014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2"/>
              </w:rPr>
              <w:t>Reference Obligation</w:t>
            </w:r>
          </w:p>
        </w:tc>
        <w:tc>
          <w:tcPr>
            <w:tcW w:w="3100" w:type="dxa"/>
            <w:vAlign w:val="bottom"/>
            <w:vMerge w:val="restart"/>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Moody’s</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58"/>
        </w:trPr>
        <w:tc>
          <w:tcPr>
            <w:tcW w:w="1320" w:type="dxa"/>
            <w:vAlign w:val="bottom"/>
            <w:vMerge w:val="continue"/>
          </w:tcPr>
          <w:p>
            <w:pPr>
              <w:spacing w:after="0"/>
              <w:rPr>
                <w:sz w:val="13"/>
                <w:szCs w:val="13"/>
                <w:color w:val="auto"/>
              </w:rPr>
            </w:pPr>
          </w:p>
        </w:tc>
        <w:tc>
          <w:tcPr>
            <w:tcW w:w="3100" w:type="dxa"/>
            <w:vAlign w:val="bottom"/>
            <w:vMerge w:val="continue"/>
          </w:tcPr>
          <w:p>
            <w:pPr>
              <w:spacing w:after="0"/>
              <w:rPr>
                <w:sz w:val="13"/>
                <w:szCs w:val="13"/>
                <w:color w:val="auto"/>
              </w:rPr>
            </w:pPr>
          </w:p>
        </w:tc>
        <w:tc>
          <w:tcPr>
            <w:tcW w:w="10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Credit Rating</w:t>
            </w:r>
          </w:p>
        </w:tc>
        <w:tc>
          <w:tcPr>
            <w:tcW w:w="5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
        </w:trPr>
        <w:tc>
          <w:tcPr>
            <w:tcW w:w="13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95"/>
              </w:rPr>
              <w:t>BARRICK GOLD</w:t>
            </w:r>
          </w:p>
        </w:tc>
        <w:tc>
          <w:tcPr>
            <w:tcW w:w="3100" w:type="dxa"/>
            <w:vAlign w:val="bottom"/>
            <w:vMerge w:val="restart"/>
          </w:tcPr>
          <w:p>
            <w:pPr>
              <w:ind w:left="80"/>
              <w:spacing w:after="0"/>
              <w:rPr>
                <w:sz w:val="20"/>
                <w:szCs w:val="20"/>
                <w:color w:val="auto"/>
              </w:rPr>
            </w:pPr>
            <w:r>
              <w:rPr>
                <w:rFonts w:ascii="Arial" w:cs="Arial" w:eastAsia="Arial" w:hAnsi="Arial"/>
                <w:sz w:val="18"/>
                <w:szCs w:val="18"/>
                <w:color w:val="auto"/>
              </w:rPr>
              <w:t>CORPORATION</w:t>
            </w: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20" w:type="dxa"/>
            <w:vAlign w:val="bottom"/>
            <w:vMerge w:val="continue"/>
          </w:tcPr>
          <w:p>
            <w:pPr>
              <w:spacing w:after="0"/>
              <w:rPr>
                <w:sz w:val="16"/>
                <w:szCs w:val="16"/>
                <w:color w:val="auto"/>
              </w:rPr>
            </w:pPr>
          </w:p>
        </w:tc>
        <w:tc>
          <w:tcPr>
            <w:tcW w:w="3100" w:type="dxa"/>
            <w:vAlign w:val="bottom"/>
            <w:vMerge w:val="continue"/>
          </w:tcPr>
          <w:p>
            <w:pPr>
              <w:spacing w:after="0"/>
              <w:rPr>
                <w:sz w:val="16"/>
                <w:szCs w:val="16"/>
                <w:color w:val="auto"/>
              </w:rPr>
            </w:pP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5"/>
              </w:rPr>
              <w:t>Baa2</w:t>
            </w:r>
          </w:p>
        </w:tc>
        <w:tc>
          <w:tcPr>
            <w:tcW w:w="180" w:type="dxa"/>
            <w:vAlign w:val="bottom"/>
            <w:vMerge w:val="continue"/>
          </w:tcPr>
          <w:p>
            <w:pPr>
              <w:spacing w:after="0"/>
              <w:rPr>
                <w:sz w:val="16"/>
                <w:szCs w:val="16"/>
                <w:color w:val="auto"/>
              </w:rPr>
            </w:pPr>
          </w:p>
        </w:tc>
        <w:tc>
          <w:tcPr>
            <w:tcW w:w="520" w:type="dxa"/>
            <w:vAlign w:val="bottom"/>
            <w:gridSpan w:val="2"/>
          </w:tcPr>
          <w:p>
            <w:pPr>
              <w:ind w:left="60"/>
              <w:spacing w:after="0" w:line="189"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BRAZIL GOVT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CDX.NA.HY.23</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Not Rated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CDX.NA.IG.19</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Not Rated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CDX.NA.IG.23</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Not Rated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COMMONWEALTH BANK OF AUSTRALIA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Not Rated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D.R. HORTON INC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Ba1</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ENCANA CORP</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FINMECCANICA SPA</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Ba1</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FORD MOTOR CO</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Baa3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GAZPROM OAO VIA GAZ CAPITAL SA</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GENERAL MOTORS CO</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Ba1</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GREEK GOVT</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Not Rated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ITALY GOVT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ITRAXX EUROPE CROSSOVER SERIES 20</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Not Rated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ITRAXX EUROPE SERIES 22</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Not Rated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KB HOME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B2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METLIFE INC</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MEXICO GOVT</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MGM RESORTS INTERNATIONAL</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B3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NEWMONT MINING CORP (HOLDING CO)</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NRG ENERGY INC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B1</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PETROBRAS GLOBAL FINANCE BV</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RUSSIAN GOVT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SBERBANK OF RUSSIA VIA SB CAPITAL SA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SPAIN GOVT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TESCO PLC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Baa3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UNITYMEDIA KABELBW GMBH</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B3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VIRGIN MEDIA FINANCE PLC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B2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-3987165</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-3703955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-3429635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-3155315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-2331720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-1508760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Premiums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Maturity Date</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Buy/Sell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(Received)</w:t>
            </w:r>
          </w:p>
        </w:tc>
        <w:tc>
          <w:tcPr>
            <w:tcW w:w="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195"/>
        </w:trPr>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2018-2019</w:t>
            </w:r>
          </w:p>
        </w:tc>
        <w:tc>
          <w:tcPr>
            <w:tcW w:w="160" w:type="dxa"/>
            <w:vAlign w:val="bottom"/>
          </w:tcPr>
          <w:p>
            <w:pPr>
              <w:spacing w:after="0"/>
              <w:rPr>
                <w:sz w:val="16"/>
                <w:szCs w:val="16"/>
                <w:color w:val="auto"/>
              </w:rPr>
            </w:pPr>
          </w:p>
        </w:tc>
        <w:tc>
          <w:tcPr>
            <w:tcW w:w="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Sell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0"/>
              </w:rPr>
              <w:t>2018-2024</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522</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33,700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83,500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1,342</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0"/>
              </w:rPr>
              <w:t>2018-2019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0"/>
              </w:rPr>
              <w:t>2015-2019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0"/>
              </w:rPr>
              <w:t>2018-2019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21,300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12,250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0"/>
              </w:rPr>
              <w:t>2018-2019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0"/>
              </w:rPr>
              <w:t>2018-2019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0"/>
              </w:rPr>
              <w:t>2018-2019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13,400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0"/>
              </w:rPr>
              <w:t>2019-2021</w:t>
            </w:r>
          </w:p>
        </w:tc>
        <w:tc>
          <w:tcPr>
            <w:tcW w:w="160" w:type="dxa"/>
            <w:vAlign w:val="bottom"/>
          </w:tcPr>
          <w:p>
            <w:pPr>
              <w:spacing w:after="0"/>
              <w:rPr>
                <w:sz w:val="20"/>
                <w:szCs w:val="2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Sell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217,400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2,346</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60" w:space="220"/>
            <w:col w:w="5200"/>
          </w:cols>
          <w:pgMar w:left="240" w:top="270" w:right="279" w:bottom="1440" w:gutter="0" w:footer="0" w:header="0"/>
        </w:sectPr>
      </w:pPr>
    </w:p>
    <w:p>
      <w:pPr>
        <w:spacing w:after="0" w:line="1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CDS contracts are agreements in which one party pays fixed periodic payments to a counterparty in consideration for a guarantee from the counterparty to make a specific payment should a specified negative credit event(s) take place. The Master Trust entered into CDS contracts to hedge the Master Trust’s exposure on a debt security that it owns or in lieu of selling such debt security.</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the purchaser of a CDS contract, the Master Trust purchases protection by paying a periodic interest rate on the notional amount to the counterparty. The interest amount is accrued daily as a component of unrealized appreciation (depreciation) and is recorded as a realized loss upon payment. If a credit event as specified in the contract occurs, the Master Trust may have the option either to deliver the reference obligation to the seller in exchange for a cash payment of its par amount, or to receive a net cash settlement equal to the par amount less an agreed-upon value of the reference obligation as of the date of the credit event. The difference between the value of the obligation or cash delivered and the notional amount received will be recorded as a realized gain (loss).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0" w:right="2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the seller of a CDS contract, the Master Trust sells protection to a buyer and will generally receive a periodic interest rate on the notional amount. The interest amount is accrued daily as a component of unrealized appreciation (depreciation) and is recorded as a realized gain upon receipt of the payment. If a credit event as specified in the contract occurs, the Master Trust may either be required to accept the reference obligation from the buyer in exchange for a cash payment of its notional amount, or to pay the buyer a net cash settlement equal to the notional amount less an agreed-upon value of the reference obligation as of the date of the credit event. The difference between the value of the obligation or cash received and the notional amount paid will be recorded as a realized gain (loss). The maximum potential amount of undiscounted future payments the Master Trust could be required to make as the seller of protection under a CDS contract is equal to the notional amount of the reference obligation.</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protection seller, the Master Trust bears the risk of loss from the credit events specified in the contract. Although specified events are contract specific, credit events are generally defined as bankruptcy, failure to pay, restructuring, obligation acceleration, obligation default, or repudiation/moratorium. For CDS contracts on credit indices, quoted market prices and resulting market values serve as an indicator of the current status of the payment/performance risk. Increasing market values, in absolute terms when compared to the notional amount of the swap, represent a deterioration of the reference entity’s credit soundness and a greater likelihood or risk of default or other credit event occurring as defined under the terms of the contract. CDS contracts are valued daily, and the change in value is recorded as unrealized appreciation (depreciation) until the termination of the swap, at which time a realized gain (loss) is recorded.</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CDS contracts can involve greater risks than if a plan had invested in the reference obligation directly since, in addition to general market risks, CDS’s are subject to counterparty credit risk, leverage risk, hedging risk, correlation risk and liquidity risk. The Master Trust will enter into CDS transactions only with counterparties that meet certain standards of creditworthiness.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2014, the Master Trust had pledged cash collateral of $2,625,000 and Government Securities of $4,077,000 to swap counterparties.</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interest rate swap contracts were open at December 31,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Notional</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Premiums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62"/>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6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122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Fixed rate</w:t>
            </w: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Amount</w:t>
            </w:r>
          </w:p>
        </w:tc>
        <w:tc>
          <w:tcPr>
            <w:tcW w:w="9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(Received)</w:t>
            </w:r>
          </w:p>
        </w:tc>
        <w:tc>
          <w:tcPr>
            <w:tcW w:w="80" w:type="dxa"/>
            <w:vAlign w:val="bottom"/>
          </w:tcPr>
          <w:p>
            <w:pPr>
              <w:spacing w:after="0"/>
              <w:rPr>
                <w:sz w:val="15"/>
                <w:szCs w:val="15"/>
                <w:color w:val="auto"/>
              </w:rPr>
            </w:pPr>
          </w:p>
        </w:tc>
        <w:tc>
          <w:tcPr>
            <w:tcW w:w="76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5"/>
                <w:szCs w:val="15"/>
                <w:color w:val="auto"/>
              </w:rPr>
            </w:pPr>
          </w:p>
        </w:tc>
        <w:tc>
          <w:tcPr>
            <w:tcW w:w="7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Pay Fixed and Receive 6-Month USD Libor</w:t>
            </w: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1-3%</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2023-2024</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$635,700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Pay Fixed and Receive 6-Month USD EURIBOR</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2.25%</w:t>
            </w: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2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 3-Month USD Libor and Receive Fixed</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1.64%-3.68%   2022-2043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348,300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(17,169)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(17,166)</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Pay 6-Month BBSW and Receive Fixed</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4.00%</w:t>
            </w: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991,600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(17,212)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(17,208)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CDS contracts were open at December 31,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gridSpan w:val="2"/>
            <w:vMerge w:val="restart"/>
          </w:tcPr>
          <w:p>
            <w:pPr>
              <w:spacing w:after="0"/>
              <w:rPr>
                <w:sz w:val="20"/>
                <w:szCs w:val="20"/>
                <w:color w:val="auto"/>
              </w:rPr>
            </w:pPr>
            <w:r>
              <w:rPr>
                <w:rFonts w:ascii="Arial" w:cs="Arial" w:eastAsia="Arial" w:hAnsi="Arial"/>
                <w:sz w:val="14"/>
                <w:szCs w:val="14"/>
                <w:color w:val="auto"/>
              </w:rPr>
              <w:t>Reference Obligation</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Moody’s</w:t>
            </w:r>
          </w:p>
        </w:tc>
        <w:tc>
          <w:tcPr>
            <w:tcW w:w="520" w:type="dxa"/>
            <w:vAlign w:val="bottom"/>
            <w:gridSpan w:val="2"/>
          </w:tcPr>
          <w:p>
            <w:pPr>
              <w:ind w:left="20"/>
              <w:spacing w:after="0"/>
              <w:rPr>
                <w:sz w:val="20"/>
                <w:szCs w:val="20"/>
                <w:color w:val="auto"/>
              </w:rPr>
            </w:pPr>
            <w:r>
              <w:rPr>
                <w:rFonts w:ascii="Arial" w:cs="Arial" w:eastAsia="Arial" w:hAnsi="Arial"/>
                <w:sz w:val="14"/>
                <w:szCs w:val="14"/>
                <w:color w:val="auto"/>
              </w:rPr>
              <w:t>Fixed</w:t>
            </w:r>
          </w:p>
        </w:tc>
        <w:tc>
          <w:tcPr>
            <w:tcW w:w="0" w:type="dxa"/>
            <w:vAlign w:val="bottom"/>
          </w:tcPr>
          <w:p>
            <w:pPr>
              <w:spacing w:after="0"/>
              <w:rPr>
                <w:sz w:val="1"/>
                <w:szCs w:val="1"/>
                <w:color w:val="auto"/>
              </w:rPr>
            </w:pPr>
          </w:p>
        </w:tc>
      </w:tr>
      <w:tr>
        <w:trPr>
          <w:trHeight w:val="154"/>
        </w:trPr>
        <w:tc>
          <w:tcPr>
            <w:tcW w:w="4180" w:type="dxa"/>
            <w:vAlign w:val="bottom"/>
            <w:gridSpan w:val="2"/>
            <w:vMerge w:val="continue"/>
          </w:tcPr>
          <w:p>
            <w:pPr>
              <w:spacing w:after="0"/>
              <w:rPr>
                <w:sz w:val="13"/>
                <w:szCs w:val="13"/>
                <w:color w:val="auto"/>
              </w:rPr>
            </w:pPr>
          </w:p>
        </w:tc>
        <w:tc>
          <w:tcPr>
            <w:tcW w:w="98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5"/>
              </w:rPr>
              <w:t>Credit Rating</w:t>
            </w:r>
          </w:p>
        </w:tc>
        <w:tc>
          <w:tcPr>
            <w:tcW w:w="52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85"/>
              </w:rPr>
              <w:t>FINM ECCANICA</w:t>
            </w:r>
          </w:p>
        </w:tc>
        <w:tc>
          <w:tcPr>
            <w:tcW w:w="2940" w:type="dxa"/>
            <w:vAlign w:val="bottom"/>
            <w:vMerge w:val="restart"/>
          </w:tcPr>
          <w:p>
            <w:pPr>
              <w:ind w:left="220"/>
              <w:spacing w:after="0"/>
              <w:rPr>
                <w:sz w:val="20"/>
                <w:szCs w:val="20"/>
                <w:color w:val="auto"/>
              </w:rPr>
            </w:pPr>
            <w:r>
              <w:rPr>
                <w:rFonts w:ascii="Arial" w:cs="Arial" w:eastAsia="Arial" w:hAnsi="Arial"/>
                <w:sz w:val="18"/>
                <w:szCs w:val="18"/>
                <w:color w:val="auto"/>
              </w:rPr>
              <w:t>S.P.A.</w:t>
            </w: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vMerge w:val="continue"/>
          </w:tcPr>
          <w:p>
            <w:pPr>
              <w:spacing w:after="0"/>
              <w:rPr>
                <w:sz w:val="16"/>
                <w:szCs w:val="16"/>
                <w:color w:val="auto"/>
              </w:rPr>
            </w:pPr>
          </w:p>
        </w:tc>
        <w:tc>
          <w:tcPr>
            <w:tcW w:w="2940" w:type="dxa"/>
            <w:vAlign w:val="bottom"/>
            <w:vMerge w:val="continue"/>
          </w:tcPr>
          <w:p>
            <w:pPr>
              <w:spacing w:after="0"/>
              <w:rPr>
                <w:sz w:val="16"/>
                <w:szCs w:val="16"/>
                <w:color w:val="auto"/>
              </w:rPr>
            </w:pPr>
          </w:p>
        </w:tc>
        <w:tc>
          <w:tcPr>
            <w:tcW w:w="780" w:type="dxa"/>
            <w:vAlign w:val="bottom"/>
          </w:tcPr>
          <w:p>
            <w:pPr>
              <w:jc w:val="center"/>
              <w:spacing w:after="0" w:line="189" w:lineRule="exact"/>
              <w:rPr>
                <w:sz w:val="20"/>
                <w:szCs w:val="20"/>
                <w:color w:val="auto"/>
              </w:rPr>
            </w:pPr>
            <w:r>
              <w:rPr>
                <w:rFonts w:ascii="Arial" w:cs="Arial" w:eastAsia="Arial" w:hAnsi="Arial"/>
                <w:sz w:val="18"/>
                <w:szCs w:val="18"/>
                <w:color w:val="auto"/>
                <w:w w:val="93"/>
              </w:rPr>
              <w:t>Ba1</w:t>
            </w:r>
          </w:p>
        </w:tc>
        <w:tc>
          <w:tcPr>
            <w:tcW w:w="200" w:type="dxa"/>
            <w:vAlign w:val="bottom"/>
            <w:vMerge w:val="continue"/>
          </w:tcPr>
          <w:p>
            <w:pPr>
              <w:spacing w:after="0"/>
              <w:rPr>
                <w:sz w:val="16"/>
                <w:szCs w:val="16"/>
                <w:color w:val="auto"/>
              </w:rPr>
            </w:pPr>
          </w:p>
        </w:tc>
        <w:tc>
          <w:tcPr>
            <w:tcW w:w="520" w:type="dxa"/>
            <w:vAlign w:val="bottom"/>
            <w:gridSpan w:val="2"/>
          </w:tcPr>
          <w:p>
            <w:pPr>
              <w:ind w:left="60"/>
              <w:spacing w:after="0" w:line="189" w:lineRule="exact"/>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ENCANA CORPORATION</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WR</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KB HOME</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B2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Markit Index of Investment Grade CDX</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(CDX.NA.IG.21)</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Not Rated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REPUBLIC OF ITALY</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UNITED MEXICAN STATES</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Aa3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FEDERATIVE REPUBLIC OF BRAZIL</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BARRICK GOLD CORPORATION</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NRG ENERGY, INC.</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B1</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PETROLEO BRASILEIRO S/A PETROBRAS</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Baa1</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NEWMONT MINING CORPORATION</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Baa2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D.R. HORTON, INC.</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Ba2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TOKYO ELECTRIC POWER COMPANY, INC</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Ba2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MGM RESORTS</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B3</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INTERNATIONAL KB HOME</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B2</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-2340610</wp:posOffset>
            </wp:positionV>
            <wp:extent cx="72466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rPr>
              <w:t>Maturity</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color w:val="auto"/>
              </w:rPr>
              <w:t>Notional</w:t>
            </w:r>
          </w:p>
        </w:tc>
        <w:tc>
          <w:tcPr>
            <w:tcW w:w="2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Premiums Paid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color w:val="auto"/>
              </w:rPr>
              <w:t>Unrealized</w:t>
            </w:r>
          </w:p>
        </w:tc>
      </w:tr>
      <w:tr>
        <w:trPr>
          <w:trHeight w:val="167"/>
        </w:trPr>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Date</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Buy / Sell</w:t>
            </w:r>
          </w:p>
        </w:tc>
        <w:tc>
          <w:tcPr>
            <w:tcW w:w="2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w w:val="91"/>
              </w:rPr>
              <w:t>(Received)</w:t>
            </w:r>
          </w:p>
        </w:tc>
        <w:tc>
          <w:tcPr>
            <w:tcW w:w="800" w:type="dxa"/>
            <w:vAlign w:val="bottom"/>
            <w:gridSpan w:val="3"/>
          </w:tcPr>
          <w:p>
            <w:pPr>
              <w:jc w:val="right"/>
              <w:ind w:right="380"/>
              <w:spacing w:after="0"/>
              <w:rPr>
                <w:sz w:val="20"/>
                <w:szCs w:val="20"/>
                <w:color w:val="auto"/>
              </w:rPr>
            </w:pPr>
            <w:r>
              <w:rPr>
                <w:rFonts w:ascii="Arial" w:cs="Arial" w:eastAsia="Arial" w:hAnsi="Arial"/>
                <w:sz w:val="14"/>
                <w:szCs w:val="14"/>
                <w:color w:val="auto"/>
              </w:rPr>
              <w:t>Value</w:t>
            </w:r>
          </w:p>
        </w:tc>
        <w:tc>
          <w:tcPr>
            <w:tcW w:w="760" w:type="dxa"/>
            <w:vAlign w:val="bottom"/>
            <w:gridSpan w:val="3"/>
          </w:tcPr>
          <w:p>
            <w:pPr>
              <w:spacing w:after="0"/>
              <w:rPr>
                <w:sz w:val="20"/>
                <w:szCs w:val="20"/>
                <w:color w:val="auto"/>
              </w:rPr>
            </w:pPr>
            <w:r>
              <w:rPr>
                <w:rFonts w:ascii="Arial" w:cs="Arial" w:eastAsia="Arial" w:hAnsi="Arial"/>
                <w:sz w:val="14"/>
                <w:szCs w:val="14"/>
                <w:color w:val="auto"/>
              </w:rPr>
              <w:t>Gain/(Loss)</w:t>
            </w:r>
          </w:p>
        </w:tc>
      </w:tr>
      <w:tr>
        <w:trPr>
          <w:trHeight w:val="195"/>
        </w:trPr>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Sell</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1,300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148</w:t>
            </w:r>
          </w:p>
        </w:tc>
        <w:tc>
          <w:tcPr>
            <w:tcW w:w="30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168</w:t>
            </w: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w:t>
            </w:r>
          </w:p>
        </w:tc>
        <w:tc>
          <w:tcPr>
            <w:tcW w:w="60" w:type="dxa"/>
            <w:vAlign w:val="bottom"/>
          </w:tcPr>
          <w:p>
            <w:pPr>
              <w:spacing w:after="0"/>
              <w:rPr>
                <w:sz w:val="16"/>
                <w:szCs w:val="16"/>
                <w:color w:val="auto"/>
              </w:rPr>
            </w:pP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418"/>
        </w:trPr>
        <w:tc>
          <w:tcPr>
            <w:tcW w:w="780" w:type="dxa"/>
            <w:vAlign w:val="bottom"/>
          </w:tcPr>
          <w:p>
            <w:pPr>
              <w:jc w:val="center"/>
              <w:spacing w:after="0"/>
              <w:rPr>
                <w:sz w:val="20"/>
                <w:szCs w:val="20"/>
                <w:color w:val="auto"/>
              </w:rPr>
            </w:pPr>
            <w:r>
              <w:rPr>
                <w:rFonts w:ascii="Arial" w:cs="Arial" w:eastAsia="Arial" w:hAnsi="Arial"/>
                <w:sz w:val="18"/>
                <w:szCs w:val="18"/>
                <w:color w:val="auto"/>
                <w:w w:val="90"/>
              </w:rPr>
              <w:t>2017-2018</w:t>
            </w:r>
          </w:p>
        </w:tc>
        <w:tc>
          <w:tcPr>
            <w:tcW w:w="2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38,600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3,200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230"/>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Sell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23"/>
        </w:trPr>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75,500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1,212</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6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5800" w:space="120"/>
            <w:col w:w="5500"/>
          </w:cols>
          <w:pgMar w:left="240" w:top="270"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swaption contracts were open at December 31,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(Written)</w:t>
            </w:r>
          </w:p>
        </w:tc>
        <w:tc>
          <w:tcPr>
            <w:tcW w:w="1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Pay/Receive</w:t>
            </w:r>
          </w:p>
        </w:tc>
        <w:tc>
          <w:tcPr>
            <w:tcW w:w="332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Floating Rate Index</w:t>
            </w: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Rate</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4"/>
                <w:szCs w:val="14"/>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Notional</w:t>
            </w:r>
          </w:p>
        </w:tc>
        <w:tc>
          <w:tcPr>
            <w:tcW w:w="100" w:type="dxa"/>
            <w:vAlign w:val="bottom"/>
          </w:tcPr>
          <w:p>
            <w:pPr>
              <w:spacing w:after="0"/>
              <w:rPr>
                <w:sz w:val="14"/>
                <w:szCs w:val="14"/>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2"/>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Purchased</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Floating rate</w:t>
            </w:r>
          </w:p>
        </w:tc>
        <w:tc>
          <w:tcPr>
            <w:tcW w:w="3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Written</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Pay</w:t>
            </w:r>
          </w:p>
        </w:tc>
        <w:tc>
          <w:tcPr>
            <w:tcW w:w="18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10-Year Interest Swaption</w:t>
            </w: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3-Month USD-</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2.2%-2.3%</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2015</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(32,200)</w:t>
            </w:r>
          </w:p>
        </w:tc>
        <w:tc>
          <w:tcPr>
            <w:tcW w:w="3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(Call)</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LIBOR</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Written</w:t>
            </w:r>
          </w:p>
        </w:tc>
        <w:tc>
          <w:tcPr>
            <w:tcW w:w="11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Pay</w:t>
            </w: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10-Year Interest Swaption</w:t>
            </w:r>
          </w:p>
        </w:tc>
        <w:tc>
          <w:tcPr>
            <w:tcW w:w="18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6-Month EURIBOR</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1.0%</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7"/>
                <w:szCs w:val="17"/>
                <w:color w:val="auto"/>
              </w:rPr>
            </w:pPr>
          </w:p>
        </w:tc>
        <w:tc>
          <w:tcPr>
            <w:tcW w:w="94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(1,700)</w:t>
            </w:r>
          </w:p>
        </w:tc>
        <w:tc>
          <w:tcPr>
            <w:tcW w:w="100" w:type="dxa"/>
            <w:vAlign w:val="bottom"/>
          </w:tcPr>
          <w:p>
            <w:pPr>
              <w:spacing w:after="0"/>
              <w:rPr>
                <w:sz w:val="17"/>
                <w:szCs w:val="17"/>
                <w:color w:val="auto"/>
              </w:rPr>
            </w:pPr>
          </w:p>
        </w:tc>
        <w:tc>
          <w:tcPr>
            <w:tcW w:w="5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(Call)</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w:t>
            </w:r>
          </w:p>
        </w:tc>
        <w:tc>
          <w:tcPr>
            <w:tcW w:w="1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Pay</w:t>
            </w: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10-Year Interest Swaption</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3-Month USD-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2.8%-3.6%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(90,575)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(Put)</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LIBOR</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Written</w:t>
            </w:r>
          </w:p>
        </w:tc>
        <w:tc>
          <w:tcPr>
            <w:tcW w:w="11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Pay</w:t>
            </w: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10-Year Interest Swaption</w:t>
            </w:r>
          </w:p>
        </w:tc>
        <w:tc>
          <w:tcPr>
            <w:tcW w:w="18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6-Month EURIBOR</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1.6%</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7"/>
                <w:szCs w:val="17"/>
                <w:color w:val="auto"/>
              </w:rPr>
            </w:pPr>
          </w:p>
        </w:tc>
        <w:tc>
          <w:tcPr>
            <w:tcW w:w="94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(1,700)</w:t>
            </w:r>
          </w:p>
        </w:tc>
        <w:tc>
          <w:tcPr>
            <w:tcW w:w="100" w:type="dxa"/>
            <w:vAlign w:val="bottom"/>
          </w:tcPr>
          <w:p>
            <w:pPr>
              <w:spacing w:after="0"/>
              <w:rPr>
                <w:sz w:val="17"/>
                <w:szCs w:val="17"/>
                <w:color w:val="auto"/>
              </w:rPr>
            </w:pPr>
          </w:p>
        </w:tc>
        <w:tc>
          <w:tcPr>
            <w:tcW w:w="5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(Put)</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w:t>
            </w:r>
          </w:p>
        </w:tc>
        <w:tc>
          <w:tcPr>
            <w:tcW w:w="1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Pay</w:t>
            </w: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2-Year Interest Swaption</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6-Month EURIBOR</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(10,800)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(Call)</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Written</w:t>
            </w:r>
          </w:p>
        </w:tc>
        <w:tc>
          <w:tcPr>
            <w:tcW w:w="11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Pay</w:t>
            </w: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2-Year Interest Swaption</w:t>
            </w:r>
          </w:p>
        </w:tc>
        <w:tc>
          <w:tcPr>
            <w:tcW w:w="18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6-Month EURIBOR</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0.4%</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7"/>
                <w:szCs w:val="17"/>
                <w:color w:val="auto"/>
              </w:rPr>
            </w:pPr>
          </w:p>
        </w:tc>
        <w:tc>
          <w:tcPr>
            <w:tcW w:w="94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(10,800)</w:t>
            </w:r>
          </w:p>
        </w:tc>
        <w:tc>
          <w:tcPr>
            <w:tcW w:w="100" w:type="dxa"/>
            <w:vAlign w:val="bottom"/>
          </w:tcPr>
          <w:p>
            <w:pPr>
              <w:spacing w:after="0"/>
              <w:rPr>
                <w:sz w:val="17"/>
                <w:szCs w:val="17"/>
                <w:color w:val="auto"/>
              </w:rPr>
            </w:pPr>
          </w:p>
        </w:tc>
        <w:tc>
          <w:tcPr>
            <w:tcW w:w="5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(Put)</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w:t>
            </w:r>
          </w:p>
        </w:tc>
        <w:tc>
          <w:tcPr>
            <w:tcW w:w="1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Pay</w:t>
            </w: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30-Year Interest Swaption</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3-Month USD-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(21,200)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(Put)</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LIBOR</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Written</w:t>
            </w:r>
          </w:p>
        </w:tc>
        <w:tc>
          <w:tcPr>
            <w:tcW w:w="11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Pay</w:t>
            </w: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5-Year Credit Default Rate</w:t>
            </w:r>
          </w:p>
        </w:tc>
        <w:tc>
          <w:tcPr>
            <w:tcW w:w="18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CDX.O IG23</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3"/>
              </w:rPr>
              <w:t>0.9%-1.0%</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7"/>
                <w:szCs w:val="17"/>
                <w:color w:val="auto"/>
              </w:rPr>
            </w:pPr>
          </w:p>
        </w:tc>
        <w:tc>
          <w:tcPr>
            <w:tcW w:w="94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(36,800)</w:t>
            </w:r>
          </w:p>
        </w:tc>
        <w:tc>
          <w:tcPr>
            <w:tcW w:w="100" w:type="dxa"/>
            <w:vAlign w:val="bottom"/>
          </w:tcPr>
          <w:p>
            <w:pPr>
              <w:spacing w:after="0"/>
              <w:rPr>
                <w:sz w:val="17"/>
                <w:szCs w:val="17"/>
                <w:color w:val="auto"/>
              </w:rPr>
            </w:pPr>
          </w:p>
        </w:tc>
        <w:tc>
          <w:tcPr>
            <w:tcW w:w="5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Swaption</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w:t>
            </w:r>
          </w:p>
        </w:tc>
        <w:tc>
          <w:tcPr>
            <w:tcW w:w="1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Pay</w:t>
            </w: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5-Year Credit Default Rate</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ITRAXX.0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0.5%-0.6%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Swaption</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Written</w:t>
            </w:r>
          </w:p>
        </w:tc>
        <w:tc>
          <w:tcPr>
            <w:tcW w:w="11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Pay</w:t>
            </w: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5-Year Interest Rate</w:t>
            </w:r>
          </w:p>
        </w:tc>
        <w:tc>
          <w:tcPr>
            <w:tcW w:w="18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3-Month USD-</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5.2%</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2016</w:t>
            </w:r>
          </w:p>
        </w:tc>
        <w:tc>
          <w:tcPr>
            <w:tcW w:w="100" w:type="dxa"/>
            <w:vAlign w:val="bottom"/>
          </w:tcPr>
          <w:p>
            <w:pPr>
              <w:spacing w:after="0"/>
              <w:rPr>
                <w:sz w:val="17"/>
                <w:szCs w:val="17"/>
                <w:color w:val="auto"/>
              </w:rPr>
            </w:pPr>
          </w:p>
        </w:tc>
        <w:tc>
          <w:tcPr>
            <w:tcW w:w="94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(6,200)</w:t>
            </w:r>
          </w:p>
        </w:tc>
        <w:tc>
          <w:tcPr>
            <w:tcW w:w="100" w:type="dxa"/>
            <w:vAlign w:val="bottom"/>
          </w:tcPr>
          <w:p>
            <w:pPr>
              <w:spacing w:after="0"/>
              <w:rPr>
                <w:sz w:val="17"/>
                <w:szCs w:val="17"/>
                <w:color w:val="auto"/>
              </w:rPr>
            </w:pPr>
          </w:p>
        </w:tc>
        <w:tc>
          <w:tcPr>
            <w:tcW w:w="5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Swaption (Put)</w:t>
            </w:r>
          </w:p>
        </w:tc>
        <w:tc>
          <w:tcPr>
            <w:tcW w:w="1840" w:type="dxa"/>
            <w:vAlign w:val="bottom"/>
            <w:gridSpan w:val="3"/>
          </w:tcPr>
          <w:p>
            <w:pPr>
              <w:ind w:left="180"/>
              <w:spacing w:after="0"/>
              <w:rPr>
                <w:sz w:val="20"/>
                <w:szCs w:val="20"/>
                <w:color w:val="auto"/>
              </w:rPr>
            </w:pPr>
            <w:r>
              <w:rPr>
                <w:rFonts w:ascii="Arial" w:cs="Arial" w:eastAsia="Arial" w:hAnsi="Arial"/>
                <w:sz w:val="18"/>
                <w:szCs w:val="18"/>
                <w:color w:val="auto"/>
              </w:rPr>
              <w:t>LIBOR</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w:t>
            </w:r>
          </w:p>
        </w:tc>
        <w:tc>
          <w:tcPr>
            <w:tcW w:w="1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Pay</w:t>
            </w: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5-Year Interest Swaption</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3-Month USD-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3.8%-4.0%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8"/>
              </w:rPr>
              <w:t>(154,500)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(1,409)</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(Put)</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LIBOR</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Written</w:t>
            </w:r>
          </w:p>
        </w:tc>
        <w:tc>
          <w:tcPr>
            <w:tcW w:w="11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Pay</w:t>
            </w: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EU22 Credit Default Rate</w:t>
            </w:r>
          </w:p>
        </w:tc>
        <w:tc>
          <w:tcPr>
            <w:tcW w:w="18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ITRAXX.0</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3"/>
              </w:rPr>
              <w:t>0.5%-1.0%</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7"/>
                <w:szCs w:val="17"/>
                <w:color w:val="auto"/>
              </w:rPr>
            </w:pPr>
          </w:p>
        </w:tc>
        <w:tc>
          <w:tcPr>
            <w:tcW w:w="94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(28,100)</w:t>
            </w:r>
          </w:p>
        </w:tc>
        <w:tc>
          <w:tcPr>
            <w:tcW w:w="100" w:type="dxa"/>
            <w:vAlign w:val="bottom"/>
          </w:tcPr>
          <w:p>
            <w:pPr>
              <w:spacing w:after="0"/>
              <w:rPr>
                <w:sz w:val="17"/>
                <w:szCs w:val="17"/>
                <w:color w:val="auto"/>
              </w:rPr>
            </w:pPr>
          </w:p>
        </w:tc>
        <w:tc>
          <w:tcPr>
            <w:tcW w:w="5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Swaption</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w:t>
            </w:r>
          </w:p>
        </w:tc>
        <w:tc>
          <w:tcPr>
            <w:tcW w:w="1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Pay</w:t>
            </w: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10-Year Interest Swaption</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3-Month USD-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145,700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(Call)</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LIBOR</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Purchased</w:t>
            </w:r>
          </w:p>
        </w:tc>
        <w:tc>
          <w:tcPr>
            <w:tcW w:w="11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Pay</w:t>
            </w: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2-Year Interest Swaption</w:t>
            </w:r>
          </w:p>
        </w:tc>
        <w:tc>
          <w:tcPr>
            <w:tcW w:w="184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3-Month USD-</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1.1%</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7"/>
                <w:szCs w:val="17"/>
                <w:color w:val="auto"/>
              </w:rPr>
            </w:pPr>
          </w:p>
        </w:tc>
        <w:tc>
          <w:tcPr>
            <w:tcW w:w="94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84,400</w:t>
            </w:r>
          </w:p>
        </w:tc>
        <w:tc>
          <w:tcPr>
            <w:tcW w:w="100" w:type="dxa"/>
            <w:vAlign w:val="bottom"/>
          </w:tcPr>
          <w:p>
            <w:pPr>
              <w:spacing w:after="0"/>
              <w:rPr>
                <w:sz w:val="17"/>
                <w:szCs w:val="17"/>
                <w:color w:val="auto"/>
              </w:rPr>
            </w:pPr>
          </w:p>
        </w:tc>
        <w:tc>
          <w:tcPr>
            <w:tcW w:w="5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(Call)</w:t>
            </w:r>
          </w:p>
        </w:tc>
        <w:tc>
          <w:tcPr>
            <w:tcW w:w="1840" w:type="dxa"/>
            <w:vAlign w:val="bottom"/>
            <w:gridSpan w:val="3"/>
          </w:tcPr>
          <w:p>
            <w:pPr>
              <w:ind w:left="180"/>
              <w:spacing w:after="0"/>
              <w:rPr>
                <w:sz w:val="20"/>
                <w:szCs w:val="20"/>
                <w:color w:val="auto"/>
              </w:rPr>
            </w:pPr>
            <w:r>
              <w:rPr>
                <w:rFonts w:ascii="Arial" w:cs="Arial" w:eastAsia="Arial" w:hAnsi="Arial"/>
                <w:sz w:val="18"/>
                <w:szCs w:val="18"/>
                <w:color w:val="auto"/>
              </w:rPr>
              <w:t>LIBOR</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w:t>
            </w:r>
          </w:p>
        </w:tc>
        <w:tc>
          <w:tcPr>
            <w:tcW w:w="11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Pay</w:t>
            </w: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30-Year Interest Swaption</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3-Month USD-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3.9%-5.2%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2015-2017</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81,100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(Put)</w:t>
            </w:r>
          </w:p>
        </w:tc>
        <w:tc>
          <w:tcPr>
            <w:tcW w:w="1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LIBOR</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(86,475</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Master Trust may write or purchase interest rate swaption agreements which are options to enter into a pre-defined swap agreement by some specified date in the future. The writer of the swaption becomes a counterparty to the swap if the buyer exercises. The interest rate swaption agreement will specify whether the buyer of the swaption will be a fixed rate receiver or a fixed rate payer upon exercise. Options on swap contracts are considered over-the-counter financial derivative instruments that derive their value from underlying asset prices, indices, reference rates, and other inputs or a combination of these factors. These contracts are normally valued on the basis of broker dealer quotations or by pricing service providers.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2014, total premiums received was $5,105,209. At December 31, 2014, the Master Trust was in receipt of cash collateral of $590,000 from the broker for swaptions.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swaption contracts were open at December 31,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(Written)</w:t>
            </w:r>
          </w:p>
        </w:tc>
        <w:tc>
          <w:tcPr>
            <w:tcW w:w="2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Pay/Receive</w:t>
            </w: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Floating Rate</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Notional</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64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3"/>
              </w:rPr>
              <w:t>Purchased</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Floating rate</w:t>
            </w:r>
          </w:p>
        </w:tc>
        <w:tc>
          <w:tcPr>
            <w:tcW w:w="3500" w:type="dxa"/>
            <w:vAlign w:val="bottom"/>
          </w:tcPr>
          <w:p>
            <w:pPr>
              <w:ind w:left="1400"/>
              <w:spacing w:after="0" w:line="129" w:lineRule="exact"/>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1"/>
                <w:szCs w:val="11"/>
                <w:color w:val="auto"/>
              </w:rPr>
            </w:pPr>
          </w:p>
        </w:tc>
        <w:tc>
          <w:tcPr>
            <w:tcW w:w="14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Index</w:t>
            </w:r>
          </w:p>
        </w:tc>
        <w:tc>
          <w:tcPr>
            <w:tcW w:w="10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Exercise Rate</w:t>
            </w:r>
          </w:p>
        </w:tc>
        <w:tc>
          <w:tcPr>
            <w:tcW w:w="12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Expiration Date</w:t>
            </w:r>
          </w:p>
        </w:tc>
        <w:tc>
          <w:tcPr>
            <w:tcW w:w="100" w:type="dxa"/>
            <w:vAlign w:val="bottom"/>
          </w:tcPr>
          <w:p>
            <w:pPr>
              <w:spacing w:after="0"/>
              <w:rPr>
                <w:sz w:val="11"/>
                <w:szCs w:val="11"/>
                <w:color w:val="auto"/>
              </w:rPr>
            </w:pPr>
          </w:p>
        </w:tc>
        <w:tc>
          <w:tcPr>
            <w:tcW w:w="96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Value</w:t>
            </w:r>
          </w:p>
        </w:tc>
      </w:tr>
      <w:tr>
        <w:trPr>
          <w:trHeight w:val="21"/>
        </w:trPr>
        <w:tc>
          <w:tcPr>
            <w:tcW w:w="20" w:type="dxa"/>
            <w:vAlign w:val="bottom"/>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Pay</w:t>
            </w: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1-Year Interest Rate Swaption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3-Month USD-</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(Put)</w:t>
            </w:r>
          </w:p>
        </w:tc>
        <w:tc>
          <w:tcPr>
            <w:tcW w:w="1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LIBOR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Written</w:t>
            </w:r>
          </w:p>
        </w:tc>
        <w:tc>
          <w:tcPr>
            <w:tcW w:w="12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Pay</w:t>
            </w: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2-Year Interest Rate Swaption</w:t>
            </w:r>
          </w:p>
        </w:tc>
        <w:tc>
          <w:tcPr>
            <w:tcW w:w="16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3-Month USD-</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2.0%</w:t>
            </w:r>
          </w:p>
        </w:tc>
        <w:tc>
          <w:tcPr>
            <w:tcW w:w="20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88"/>
              </w:rPr>
              <w:t>(175,300)</w:t>
            </w:r>
          </w:p>
        </w:tc>
        <w:tc>
          <w:tcPr>
            <w:tcW w:w="80" w:type="dxa"/>
            <w:vAlign w:val="bottom"/>
          </w:tcPr>
          <w:p>
            <w:pPr>
              <w:spacing w:after="0"/>
              <w:rPr>
                <w:sz w:val="17"/>
                <w:szCs w:val="17"/>
                <w:color w:val="auto"/>
              </w:rPr>
            </w:pPr>
          </w:p>
        </w:tc>
        <w:tc>
          <w:tcPr>
            <w:tcW w:w="6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(317)</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(Put)</w:t>
            </w:r>
          </w:p>
        </w:tc>
        <w:tc>
          <w:tcPr>
            <w:tcW w:w="1640" w:type="dxa"/>
            <w:vAlign w:val="bottom"/>
            <w:gridSpan w:val="3"/>
          </w:tcPr>
          <w:p>
            <w:pPr>
              <w:ind w:left="200"/>
              <w:spacing w:after="0"/>
              <w:rPr>
                <w:sz w:val="20"/>
                <w:szCs w:val="20"/>
                <w:color w:val="auto"/>
              </w:rPr>
            </w:pPr>
            <w:r>
              <w:rPr>
                <w:rFonts w:ascii="Arial" w:cs="Arial" w:eastAsia="Arial" w:hAnsi="Arial"/>
                <w:sz w:val="18"/>
                <w:szCs w:val="18"/>
                <w:color w:val="auto"/>
              </w:rPr>
              <w:t>LIBOR</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w:t>
            </w:r>
          </w:p>
        </w:tc>
        <w:tc>
          <w:tcPr>
            <w:tcW w:w="1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Pay</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5-Year Credit Default Rate</w:t>
            </w:r>
          </w:p>
        </w:tc>
        <w:tc>
          <w:tcPr>
            <w:tcW w:w="1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CDX.NA.1G.2.1</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0.7%-1.2%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Swaption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Written</w:t>
            </w:r>
          </w:p>
        </w:tc>
        <w:tc>
          <w:tcPr>
            <w:tcW w:w="12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Pay</w:t>
            </w: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5-Year Interest Rate Swaption</w:t>
            </w:r>
          </w:p>
        </w:tc>
        <w:tc>
          <w:tcPr>
            <w:tcW w:w="16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3-Month USD-</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1"/>
              </w:rPr>
              <w:t>1.5-5.2%</w:t>
            </w:r>
          </w:p>
        </w:tc>
        <w:tc>
          <w:tcPr>
            <w:tcW w:w="20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0"/>
              </w:rPr>
              <w:t>2014-2016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(38,200)</w:t>
            </w:r>
          </w:p>
        </w:tc>
        <w:tc>
          <w:tcPr>
            <w:tcW w:w="80" w:type="dxa"/>
            <w:vAlign w:val="bottom"/>
          </w:tcPr>
          <w:p>
            <w:pPr>
              <w:spacing w:after="0"/>
              <w:rPr>
                <w:sz w:val="17"/>
                <w:szCs w:val="17"/>
                <w:color w:val="auto"/>
              </w:rPr>
            </w:pPr>
          </w:p>
        </w:tc>
        <w:tc>
          <w:tcPr>
            <w:tcW w:w="6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(280)</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(Put)</w:t>
            </w:r>
          </w:p>
        </w:tc>
        <w:tc>
          <w:tcPr>
            <w:tcW w:w="1640" w:type="dxa"/>
            <w:vAlign w:val="bottom"/>
            <w:gridSpan w:val="3"/>
          </w:tcPr>
          <w:p>
            <w:pPr>
              <w:ind w:left="200"/>
              <w:spacing w:after="0"/>
              <w:rPr>
                <w:sz w:val="20"/>
                <w:szCs w:val="20"/>
                <w:color w:val="auto"/>
              </w:rPr>
            </w:pPr>
            <w:r>
              <w:rPr>
                <w:rFonts w:ascii="Arial" w:cs="Arial" w:eastAsia="Arial" w:hAnsi="Arial"/>
                <w:sz w:val="18"/>
                <w:szCs w:val="18"/>
                <w:color w:val="auto"/>
              </w:rPr>
              <w:t>LIBOR</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w:t>
            </w:r>
          </w:p>
        </w:tc>
        <w:tc>
          <w:tcPr>
            <w:tcW w:w="1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Pay</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10-Year Interest Rate Swaption</w:t>
            </w:r>
          </w:p>
        </w:tc>
        <w:tc>
          <w:tcPr>
            <w:tcW w:w="1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3-Month USD-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2.3%-3.9%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2014-2015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(478,200)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(12,042)</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(Put)</w:t>
            </w:r>
          </w:p>
        </w:tc>
        <w:tc>
          <w:tcPr>
            <w:tcW w:w="1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LIBOR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Written</w:t>
            </w:r>
          </w:p>
        </w:tc>
        <w:tc>
          <w:tcPr>
            <w:tcW w:w="12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Receive</w:t>
            </w: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1-Year Interest Rate Swaption</w:t>
            </w:r>
          </w:p>
        </w:tc>
        <w:tc>
          <w:tcPr>
            <w:tcW w:w="16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3-Month USD-</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0.4%</w:t>
            </w:r>
          </w:p>
        </w:tc>
        <w:tc>
          <w:tcPr>
            <w:tcW w:w="20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(16,800)</w:t>
            </w:r>
          </w:p>
        </w:tc>
        <w:tc>
          <w:tcPr>
            <w:tcW w:w="80" w:type="dxa"/>
            <w:vAlign w:val="bottom"/>
          </w:tcPr>
          <w:p>
            <w:pPr>
              <w:spacing w:after="0"/>
              <w:rPr>
                <w:sz w:val="17"/>
                <w:szCs w:val="17"/>
                <w:color w:val="auto"/>
              </w:rPr>
            </w:pPr>
          </w:p>
        </w:tc>
        <w:tc>
          <w:tcPr>
            <w:tcW w:w="6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(Call)</w:t>
            </w:r>
          </w:p>
        </w:tc>
        <w:tc>
          <w:tcPr>
            <w:tcW w:w="1640" w:type="dxa"/>
            <w:vAlign w:val="bottom"/>
            <w:gridSpan w:val="3"/>
          </w:tcPr>
          <w:p>
            <w:pPr>
              <w:ind w:left="200"/>
              <w:spacing w:after="0"/>
              <w:rPr>
                <w:sz w:val="20"/>
                <w:szCs w:val="20"/>
                <w:color w:val="auto"/>
              </w:rPr>
            </w:pPr>
            <w:r>
              <w:rPr>
                <w:rFonts w:ascii="Arial" w:cs="Arial" w:eastAsia="Arial" w:hAnsi="Arial"/>
                <w:sz w:val="18"/>
                <w:szCs w:val="18"/>
                <w:color w:val="auto"/>
              </w:rPr>
              <w:t>LIBOR</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w:t>
            </w:r>
          </w:p>
        </w:tc>
        <w:tc>
          <w:tcPr>
            <w:tcW w:w="1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Receive</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5-Year Credit Default Rate</w:t>
            </w:r>
          </w:p>
        </w:tc>
        <w:tc>
          <w:tcPr>
            <w:tcW w:w="1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CDX.NA.1G.2.1</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Swaption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Written</w:t>
            </w:r>
          </w:p>
        </w:tc>
        <w:tc>
          <w:tcPr>
            <w:tcW w:w="12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Receive</w:t>
            </w: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5-Year Interest Rate Swaption</w:t>
            </w:r>
          </w:p>
        </w:tc>
        <w:tc>
          <w:tcPr>
            <w:tcW w:w="16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3-Month USD-</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1.3%</w:t>
            </w:r>
          </w:p>
        </w:tc>
        <w:tc>
          <w:tcPr>
            <w:tcW w:w="20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(23,400)</w:t>
            </w:r>
          </w:p>
        </w:tc>
        <w:tc>
          <w:tcPr>
            <w:tcW w:w="80" w:type="dxa"/>
            <w:vAlign w:val="bottom"/>
          </w:tcPr>
          <w:p>
            <w:pPr>
              <w:spacing w:after="0"/>
              <w:rPr>
                <w:sz w:val="17"/>
                <w:szCs w:val="17"/>
                <w:color w:val="auto"/>
              </w:rPr>
            </w:pPr>
          </w:p>
        </w:tc>
        <w:tc>
          <w:tcPr>
            <w:tcW w:w="6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(Call)</w:t>
            </w:r>
          </w:p>
        </w:tc>
        <w:tc>
          <w:tcPr>
            <w:tcW w:w="1640" w:type="dxa"/>
            <w:vAlign w:val="bottom"/>
            <w:gridSpan w:val="3"/>
          </w:tcPr>
          <w:p>
            <w:pPr>
              <w:ind w:left="200"/>
              <w:spacing w:after="0"/>
              <w:rPr>
                <w:sz w:val="20"/>
                <w:szCs w:val="20"/>
                <w:color w:val="auto"/>
              </w:rPr>
            </w:pPr>
            <w:r>
              <w:rPr>
                <w:rFonts w:ascii="Arial" w:cs="Arial" w:eastAsia="Arial" w:hAnsi="Arial"/>
                <w:sz w:val="18"/>
                <w:szCs w:val="18"/>
                <w:color w:val="auto"/>
              </w:rPr>
              <w:t>LIBOR</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Written</w:t>
            </w:r>
          </w:p>
        </w:tc>
        <w:tc>
          <w:tcPr>
            <w:tcW w:w="1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Receive</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10-Year Interest Rate Swaption</w:t>
            </w:r>
          </w:p>
        </w:tc>
        <w:tc>
          <w:tcPr>
            <w:tcW w:w="1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3-Month USD-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1.8%-2.5%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(Call)</w:t>
            </w:r>
          </w:p>
        </w:tc>
        <w:tc>
          <w:tcPr>
            <w:tcW w:w="1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LIBOR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Purchased</w:t>
            </w:r>
          </w:p>
        </w:tc>
        <w:tc>
          <w:tcPr>
            <w:tcW w:w="12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Pay</w:t>
            </w: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10-Year Interest Rate Swaption</w:t>
            </w:r>
          </w:p>
        </w:tc>
        <w:tc>
          <w:tcPr>
            <w:tcW w:w="16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3-Month USD-</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3"/>
              </w:rPr>
              <w:t>2.1%-2.4%</w:t>
            </w:r>
          </w:p>
        </w:tc>
        <w:tc>
          <w:tcPr>
            <w:tcW w:w="20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0"/>
              </w:rPr>
              <w:t>2014-2015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w w:val="95"/>
              </w:rPr>
              <w:t>615,800</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750</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(Call)</w:t>
            </w:r>
          </w:p>
        </w:tc>
        <w:tc>
          <w:tcPr>
            <w:tcW w:w="1640" w:type="dxa"/>
            <w:vAlign w:val="bottom"/>
            <w:gridSpan w:val="3"/>
          </w:tcPr>
          <w:p>
            <w:pPr>
              <w:ind w:left="200"/>
              <w:spacing w:after="0"/>
              <w:rPr>
                <w:sz w:val="20"/>
                <w:szCs w:val="20"/>
                <w:color w:val="auto"/>
              </w:rPr>
            </w:pPr>
            <w:r>
              <w:rPr>
                <w:rFonts w:ascii="Arial" w:cs="Arial" w:eastAsia="Arial" w:hAnsi="Arial"/>
                <w:sz w:val="18"/>
                <w:szCs w:val="18"/>
                <w:color w:val="auto"/>
              </w:rPr>
              <w:t>LIBOR</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w:t>
            </w:r>
          </w:p>
        </w:tc>
        <w:tc>
          <w:tcPr>
            <w:tcW w:w="1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Pay</w:t>
            </w: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20-Year Interest Rate Swaption</w:t>
            </w:r>
          </w:p>
        </w:tc>
        <w:tc>
          <w:tcPr>
            <w:tcW w:w="1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3-Month USD-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284,000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(Call)</w:t>
            </w:r>
          </w:p>
        </w:tc>
        <w:tc>
          <w:tcPr>
            <w:tcW w:w="1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LIBOR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80" w:type="dxa"/>
            <w:vAlign w:val="bottom"/>
            <w:gridSpan w:val="2"/>
          </w:tcPr>
          <w:p>
            <w:pPr>
              <w:spacing w:after="0" w:line="201" w:lineRule="exact"/>
              <w:rPr>
                <w:sz w:val="20"/>
                <w:szCs w:val="20"/>
                <w:color w:val="auto"/>
              </w:rPr>
            </w:pPr>
            <w:r>
              <w:rPr>
                <w:rFonts w:ascii="Arial" w:cs="Arial" w:eastAsia="Arial" w:hAnsi="Arial"/>
                <w:sz w:val="18"/>
                <w:szCs w:val="18"/>
                <w:color w:val="auto"/>
              </w:rPr>
              <w:t>Purchased</w:t>
            </w:r>
          </w:p>
        </w:tc>
        <w:tc>
          <w:tcPr>
            <w:tcW w:w="12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Receive</w:t>
            </w: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30-Year Interest Rate Swaption</w:t>
            </w:r>
          </w:p>
        </w:tc>
        <w:tc>
          <w:tcPr>
            <w:tcW w:w="16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3-Month USD-</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2"/>
              </w:rPr>
              <w:t>5.2%</w:t>
            </w:r>
          </w:p>
        </w:tc>
        <w:tc>
          <w:tcPr>
            <w:tcW w:w="20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1,600</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63</w:t>
            </w: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(Put)</w:t>
            </w:r>
          </w:p>
        </w:tc>
        <w:tc>
          <w:tcPr>
            <w:tcW w:w="1640" w:type="dxa"/>
            <w:vAlign w:val="bottom"/>
            <w:gridSpan w:val="3"/>
          </w:tcPr>
          <w:p>
            <w:pPr>
              <w:ind w:left="200"/>
              <w:spacing w:after="0"/>
              <w:rPr>
                <w:sz w:val="20"/>
                <w:szCs w:val="20"/>
                <w:color w:val="auto"/>
              </w:rPr>
            </w:pPr>
            <w:r>
              <w:rPr>
                <w:rFonts w:ascii="Arial" w:cs="Arial" w:eastAsia="Arial" w:hAnsi="Arial"/>
                <w:sz w:val="18"/>
                <w:szCs w:val="18"/>
                <w:color w:val="auto"/>
              </w:rPr>
              <w:t>LIBOR</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127,400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(11,866)</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2013, total premiums received were $7,941,825. At December 31, 2013, the Master Trust was in receipt of cash collateral of $10,680,000 from the broker for swaptions.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Contracts</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Master Trust may purchase and sell put and call options on securities. The Master Trust uses options to manage against changes in the market value of the Master Trust’s investments, mitigate exposure to fluctuations in currency values, or interest rates, or protect the Master Trust’s unrealized gains. In addition, the Master Trust may use options to facilitate investment transactions by protecting the Master Trust against a change in the market price of the investment, enhance potential gains, or as a substitute for the purchase or sale of securities or currency.</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Exchange-traded options are valued using the National Best Bid and Offer (NBBO) close price. If the NBBO close price is not available, the NBBO bid (for long positions) or NBBO Ask (for short positions) will be used to value the option contract. Options traded over-the-counter are valued using a broker quotation or an internal valuation using an options pricing model such as Black-Scholes.</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When the Master Trust writes an option, the premium received is recorded as a liability and is subsequently adjusted to the current fair value of the option written. Premiums received from writing options that expire unexercised are treated by the Master Trust on the expiration date as realized gains from written options. The difference between the premium and the amount paid for a closing purchase, including brokerage commissions, is also recorded as a realized gain/(loss). When an instrument is purchased or sold through an exercise of an option, the related premium paid (or received) is added to (or deducted from) the basis of an instrument acquired or deducted from (or added to) the proceeds of the instrument sold.</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Writing puts and buying calls may increase the Master Trust’s exposure to changes in the value of the underlying instrument. Buying puts and writing calls may decrease the Master Trust’s exposure to such changes. Losses may arise when buying and selling options if there is an illiquid secondary market for the options, which may cause a party to receive less than would be received in a liquid market, or if the counterparties do not perform under the term of the options.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1120"/>
        <w:spacing w:after="0" w:line="308" w:lineRule="auto"/>
        <w:rPr>
          <w:sz w:val="20"/>
          <w:szCs w:val="20"/>
          <w:color w:val="auto"/>
        </w:rPr>
      </w:pPr>
      <w:r>
        <w:rPr>
          <w:rFonts w:ascii="Arial" w:cs="Arial" w:eastAsia="Arial" w:hAnsi="Arial"/>
          <w:sz w:val="17"/>
          <w:szCs w:val="17"/>
          <w:color w:val="auto"/>
        </w:rPr>
        <w:t>At December 31, 2014, the Master Trust had written foreign currency options outstanding in the notional amount of $9,000,000 and a value of $290,000. These options expire in 2015. There were no purchased or written options outstanding as of December 31, 2013.</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2014, the Master Trust used purchased and written options to protect the portfolio from adverse movements in securities prices and enhance return.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following table presents the values of the derivatives carried on the Statements of Net Assets and the Statement of Changes in Net Assets of the Master Trust as of December 31,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Asset and Liability Derivative Contracts at December 31, 2014</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2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Foreign</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Rate /</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accounted for as hedging instruments</w:t>
            </w:r>
          </w:p>
        </w:tc>
        <w:tc>
          <w:tcPr>
            <w:tcW w:w="1980" w:type="dxa"/>
            <w:vAlign w:val="bottom"/>
          </w:tcPr>
          <w:p>
            <w:pPr>
              <w:spacing w:after="0"/>
              <w:rPr>
                <w:sz w:val="9"/>
                <w:szCs w:val="9"/>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Equity</w:t>
            </w:r>
          </w:p>
        </w:tc>
        <w:tc>
          <w:tcPr>
            <w:tcW w:w="1160" w:type="dxa"/>
            <w:vAlign w:val="bottom"/>
            <w:gridSpan w:val="3"/>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Exchange</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Credit Default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Unrealized gain on futures contracts *</w:t>
            </w:r>
          </w:p>
        </w:tc>
        <w:tc>
          <w:tcPr>
            <w:tcW w:w="2100" w:type="dxa"/>
            <w:vAlign w:val="bottom"/>
            <w:gridSpan w:val="2"/>
          </w:tcPr>
          <w:p>
            <w:pPr>
              <w:ind w:left="19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Purchased options and swaptions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Unrealized gain on foreign exchange contracts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3,699</w:t>
            </w:r>
          </w:p>
        </w:tc>
        <w:tc>
          <w:tcPr>
            <w:tcW w:w="3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open swap contracts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819</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3,699</w:t>
            </w:r>
          </w:p>
        </w:tc>
        <w:tc>
          <w:tcPr>
            <w:tcW w:w="5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Unrealized loss on futures contracts *</w:t>
            </w:r>
          </w:p>
        </w:tc>
        <w:tc>
          <w:tcPr>
            <w:tcW w:w="2100" w:type="dxa"/>
            <w:vAlign w:val="bottom"/>
            <w:gridSpan w:val="2"/>
          </w:tcPr>
          <w:p>
            <w:pPr>
              <w:ind w:left="19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Options and swaptions written at value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Unrealized loss on foreign exchange contracts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612</w:t>
            </w:r>
          </w:p>
        </w:tc>
        <w:tc>
          <w:tcPr>
            <w:tcW w:w="3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open swap contracts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7,203</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20</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612</w:t>
            </w:r>
          </w:p>
        </w:tc>
        <w:tc>
          <w:tcPr>
            <w:tcW w:w="5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980" w:type="dxa"/>
            <w:vAlign w:val="bottom"/>
            <w:vMerge w:val="restart"/>
          </w:tcPr>
          <w:p>
            <w:pPr>
              <w:jc w:val="right"/>
              <w:ind w:right="8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values of the derivatives carried on the Statements of Net Assets and the Statement of Changes in Net Assets of the Master Trust as of December 31, 2013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20"/>
                <w:szCs w:val="20"/>
                <w:color w:val="auto"/>
              </w:rPr>
            </w:pPr>
            <w:r>
              <w:rPr>
                <w:rFonts w:ascii="Arial" w:cs="Arial" w:eastAsia="Arial" w:hAnsi="Arial"/>
                <w:sz w:val="14"/>
                <w:szCs w:val="14"/>
                <w:b w:val="1"/>
                <w:bCs w:val="1"/>
                <w:color w:val="auto"/>
              </w:rPr>
              <w:t>Fair Value of Asset and Liability Derivative Contracts at December 31, 2013</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480" w:type="dxa"/>
            <w:vAlign w:val="bottom"/>
          </w:tcPr>
          <w:p>
            <w:pPr>
              <w:spacing w:after="0" w:line="145" w:lineRule="exact"/>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Foreign</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Rate /</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Derivatives not accounted for as hedging</w:t>
            </w:r>
          </w:p>
        </w:tc>
        <w:tc>
          <w:tcPr>
            <w:tcW w:w="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Equity</w:t>
            </w:r>
          </w:p>
        </w:tc>
        <w:tc>
          <w:tcPr>
            <w:tcW w:w="4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20"/>
                <w:szCs w:val="20"/>
                <w:color w:val="auto"/>
              </w:rPr>
            </w:pPr>
            <w:r>
              <w:rPr>
                <w:rFonts w:ascii="Arial" w:cs="Arial" w:eastAsia="Arial" w:hAnsi="Arial"/>
                <w:sz w:val="14"/>
                <w:szCs w:val="14"/>
                <w:b w:val="1"/>
                <w:bCs w:val="1"/>
                <w:color w:val="auto"/>
              </w:rPr>
              <w:t>instruments</w:t>
            </w:r>
          </w:p>
        </w:tc>
        <w:tc>
          <w:tcPr>
            <w:tcW w:w="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Exchange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Credit Default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Unrealized gain on futures contracts *</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 —</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Purchased options and swaptions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Unrealized gain on foreign exchange contracts</w:t>
            </w:r>
          </w:p>
        </w:tc>
        <w:tc>
          <w:tcPr>
            <w:tcW w:w="2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2,378</w:t>
            </w:r>
          </w:p>
        </w:tc>
        <w:tc>
          <w:tcPr>
            <w:tcW w:w="26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open swap contracts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4"/>
              </w:rPr>
              <w:t>$ —</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2,378</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Unrealized loss on futures contracts *</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 —</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Options and swaptions written at value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12,680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Unrealized loss on foreign exchange contracts</w:t>
            </w:r>
          </w:p>
        </w:tc>
        <w:tc>
          <w:tcPr>
            <w:tcW w:w="2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3,412</w:t>
            </w:r>
          </w:p>
        </w:tc>
        <w:tc>
          <w:tcPr>
            <w:tcW w:w="26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open swap contracts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17,280</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4"/>
              </w:rPr>
              <w:t>$ —</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3,412</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0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cumulative appreciation (depreciation) of futures contracts. Only current day’s variation margin is reported within the Statements of Net Assets of the Master Trust.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 of Derivative Instruments on the Statement of Changes in Net Assets of the Master Trust for 2014 </w:t>
      </w:r>
      <w:r>
        <w:rPr>
          <w:rFonts w:ascii="Arial" w:cs="Arial" w:eastAsia="Arial" w:hAnsi="Arial"/>
          <w:sz w:val="18"/>
          <w:szCs w:val="18"/>
          <w:b w:val="1"/>
          <w:bCs w:val="1"/>
          <w:i w:val="1"/>
          <w:iCs w:val="1"/>
          <w:color w:val="auto"/>
        </w:rPr>
        <w:t>(in thousands)</w:t>
      </w:r>
      <w:r>
        <w:rPr>
          <w:rFonts w:ascii="Arial" w:cs="Arial" w:eastAsia="Arial" w:hAnsi="Arial"/>
          <w:sz w:val="18"/>
          <w:szCs w:val="18"/>
          <w:b w:val="1"/>
          <w:bCs w:val="1"/>
          <w:color w:val="auto"/>
        </w:rPr>
        <w:t>:</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accounted for as hedging instruments</w:t>
            </w:r>
          </w:p>
        </w:tc>
        <w:tc>
          <w:tcPr>
            <w:tcW w:w="2860" w:type="dxa"/>
            <w:vAlign w:val="bottom"/>
            <w:gridSpan w:val="4"/>
          </w:tcPr>
          <w:p>
            <w:pPr>
              <w:ind w:left="1620"/>
              <w:spacing w:after="0"/>
              <w:rPr>
                <w:sz w:val="20"/>
                <w:szCs w:val="20"/>
                <w:color w:val="auto"/>
              </w:rPr>
            </w:pPr>
            <w:r>
              <w:rPr>
                <w:rFonts w:ascii="Arial" w:cs="Arial" w:eastAsia="Arial" w:hAnsi="Arial"/>
                <w:sz w:val="14"/>
                <w:szCs w:val="14"/>
                <w:b w:val="1"/>
                <w:bCs w:val="1"/>
                <w:color w:val="auto"/>
              </w:rPr>
              <w:t>Net Appreciation /</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Futures contracts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Foreign currency transactions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Swaptions contracts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Swap contracts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year ended December 31, 2014, the average notional value of futures contracts purchased was $38,237,500 and the average notional value of futures contracts sold was $19,916,667. The average notional value of written options contracts was $5,500,000. There were no purchased options contracts in 2014. The average notional value of purchased swaptions contracts was $493,941,667 and the average notional value of written swaptions contracts was $460,291,667. The average notional value of interest rate swap contracts was $1,074,466,667 and the average notional value of CDS contracts was</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$171,000,500. The average notional value of forward foreign currency exchange contracts purchased was $33,383,566 and the average notional value of forward foreign currency exchange contracts sold was $149,386,411.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 of Derivative Instruments on the Statement of Changes in Net Assets of the Master Trust for 2013 </w:t>
      </w:r>
      <w:r>
        <w:rPr>
          <w:rFonts w:ascii="Arial" w:cs="Arial" w:eastAsia="Arial" w:hAnsi="Arial"/>
          <w:sz w:val="18"/>
          <w:szCs w:val="18"/>
          <w:b w:val="1"/>
          <w:bCs w:val="1"/>
          <w:i w:val="1"/>
          <w:iCs w:val="1"/>
          <w:color w:val="auto"/>
        </w:rPr>
        <w:t>(in thousands)</w:t>
      </w:r>
      <w:r>
        <w:rPr>
          <w:rFonts w:ascii="Arial" w:cs="Arial" w:eastAsia="Arial" w:hAnsi="Arial"/>
          <w:sz w:val="18"/>
          <w:szCs w:val="18"/>
          <w:b w:val="1"/>
          <w:bCs w:val="1"/>
          <w:color w:val="auto"/>
        </w:rPr>
        <w:t>:</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accounted for as hedging instruments</w:t>
            </w:r>
          </w:p>
        </w:tc>
        <w:tc>
          <w:tcPr>
            <w:tcW w:w="2880" w:type="dxa"/>
            <w:vAlign w:val="bottom"/>
            <w:gridSpan w:val="4"/>
          </w:tcPr>
          <w:p>
            <w:pPr>
              <w:ind w:left="1640"/>
              <w:spacing w:after="0"/>
              <w:rPr>
                <w:sz w:val="20"/>
                <w:szCs w:val="20"/>
                <w:color w:val="auto"/>
              </w:rPr>
            </w:pPr>
            <w:r>
              <w:rPr>
                <w:rFonts w:ascii="Arial" w:cs="Arial" w:eastAsia="Arial" w:hAnsi="Arial"/>
                <w:sz w:val="14"/>
                <w:szCs w:val="14"/>
                <w:b w:val="1"/>
                <w:bCs w:val="1"/>
                <w:color w:val="auto"/>
              </w:rPr>
              <w:t>Net Appreciation /</w:t>
            </w:r>
          </w:p>
        </w:tc>
        <w:tc>
          <w:tcPr>
            <w:tcW w:w="0" w:type="dxa"/>
            <w:vAlign w:val="bottom"/>
          </w:tcPr>
          <w:p>
            <w:pPr>
              <w:spacing w:after="0"/>
              <w:rPr>
                <w:sz w:val="1"/>
                <w:szCs w:val="1"/>
                <w:color w:val="auto"/>
              </w:rPr>
            </w:pPr>
          </w:p>
        </w:tc>
      </w:tr>
      <w:tr>
        <w:trPr>
          <w:trHeight w:val="171"/>
        </w:trPr>
        <w:tc>
          <w:tcPr>
            <w:tcW w:w="488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Futures contracts</w:t>
            </w:r>
          </w:p>
        </w:tc>
        <w:tc>
          <w:tcPr>
            <w:tcW w:w="17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Foreign currency transactions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Swaptions contracts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(33,949)</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Swap contracts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(51,038)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the year ended December 31, 2013, the average notional value of futures contracts purchased was $167,370,833 and the average notional value of futures contracts sold was $16,666,667. The average notional value of purchased options contracts was $3,228,083 and the average notional value of written options contracts was $415,867. The average notional value of purchased swaptions contracts was $892,225,000 and the average notional value of written swaptions contracts was $654,175,000. The average notional value of interest rate swap contracts was $463,734,167 and the average notional value of CDS contracts was $85,254,167. The average notional value of forward foreign currency exchange contracts purchased was $46,544,938 and the average notional value of forward foreign currency exchange contracts sold was $204,896,757.</w:t>
      </w:r>
    </w:p>
    <w:p>
      <w:pPr>
        <w:spacing w:after="0" w:line="32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Lending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Master Trust is not restricted from lending securities to other qualified financial institutions, provided such loans are callable at any time and are at all times fully collateralized by cash (including both U.S. and foreign currency), cash equivalents or securities issued or guaranteed by the U.S. government or its agencies and the sovereign debt of foreign countries. The portfolios may bear the risk of delay in recovery of, or even of rights in, the securities loaned should the borrower of the securities fail financially. Consequently, loans of portfolio securities will only be made to firms deemed by the sub-advisors to be creditworthy. The portfolios receive compensation for lending their securities either in the form of fees or by retaining a portion of interest on the investment of any cash received as collateral. Cash collateral, if any, is invested in the State Street Quality A Short Term Investment Fund. There were no securities loaned by the Master Trust at December 31, 2014.</w:t>
      </w:r>
    </w:p>
    <w:p>
      <w:pPr>
        <w:spacing w:after="0" w:line="33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Plan, along with the Savings Plan of Xerox Corporation and the Xerographic Division, Rochester Regional Joint Board on Behalf of Itself and Other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Regional Joint Boards, invest in a unitized stock fund, The Xerox Stock Fund (the Fund), which is primarily comprised of Xerox Corporation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The unit values of the Fund are recorded and maintained by the Trustee. During the year ended December 31, 2014, the Plans purchased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in the Fund in the approximate amount of $22,327,000, sold common shares in the Fund in the approximate amount of $36,487,000, and had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appreciation in the Fund of approximately $17,270,000. The total value of the Plans’ investment in the Fund was approximately $137,970,000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$134,859,000 at December 31, 2014 and 2013, respectively. During 2014, dividends paid on Xerox Corporation common shares amounted to $2,611,000.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transactions, as well as participant loans, qualify as party-in-interest transactions. Furthermore, the Plan pays administrative expenses related to salaries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Xerox employees responsible for plan administration. In addition, certain funds are managed by an affiliate of the Trustee and the investment manager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therefore, qualify as party-in-interest transactions. The Plan also accepts rollovers from affiliated plans, the Xerox Corporation Retirement Income Guarantee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Plans (RIGP) and the Xerox Corporation Employee Stock Ownership Plan (ESOP), and these transactions qualify as party-in-interest.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there was one transfer of $89,000 from the Savings Plan of Xerox Corporation and the Xerographic Division, Rochester Regional Joint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on Behalf of Itself and Other Regional Joint Boards to the Plan.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3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normal course of business, the Plan enters into agreements that contain a variety of representations and warranties which provide general indemnifications. The Plan’s maximum exposure under these arrangements is unknown as this would involve future claims that may be made against the Plan that have not yet occurred. However, based on experience, the Plan expects the risk of loss to be remote.</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Master Trust is committed to invest $982,020,061 in certain private equity and real estate funds, of which $834,693,095 has been contributed as of December 31, 2014.</w:t>
      </w:r>
    </w:p>
    <w:p>
      <w:pPr>
        <w:spacing w:after="0" w:line="31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Plan has evaluated subsequent events through the time of filing this Form 11-K with the Securities and Exchange Commission.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August 4, 2015, no new investments will be permitted into the Xerox Stock Fund (including payroll deductions and transfers from other funds in the Plan); and effective December 31, 2016, the Xerox Stock Fund will be removed from the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Xerox Corporation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Part IV, Item 4i – Schedule of Assets (Held at End of Year)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14"/>
                <w:szCs w:val="14"/>
                <w:color w:val="auto"/>
              </w:rPr>
            </w:pPr>
          </w:p>
        </w:tc>
        <w:tc>
          <w:tcPr>
            <w:tcW w:w="4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Description of Investment Including</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Identity of Issuer,</w:t>
            </w:r>
          </w:p>
        </w:tc>
        <w:tc>
          <w:tcPr>
            <w:tcW w:w="1280" w:type="dxa"/>
            <w:vAlign w:val="bottom"/>
          </w:tcPr>
          <w:p>
            <w:pPr>
              <w:spacing w:after="0"/>
              <w:rPr>
                <w:sz w:val="12"/>
                <w:szCs w:val="12"/>
                <w:color w:val="auto"/>
              </w:rPr>
            </w:pPr>
          </w:p>
        </w:tc>
        <w:tc>
          <w:tcPr>
            <w:tcW w:w="4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Borrower, Lessor,</w:t>
            </w:r>
          </w:p>
        </w:tc>
        <w:tc>
          <w:tcPr>
            <w:tcW w:w="1280" w:type="dxa"/>
            <w:vAlign w:val="bottom"/>
          </w:tcPr>
          <w:p>
            <w:pPr>
              <w:spacing w:after="0"/>
              <w:rPr>
                <w:sz w:val="12"/>
                <w:szCs w:val="12"/>
                <w:color w:val="auto"/>
              </w:rPr>
            </w:pPr>
          </w:p>
        </w:tc>
        <w:tc>
          <w:tcPr>
            <w:tcW w:w="4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Maturity Date, Rate of Interest,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or Similar Party</w:t>
            </w:r>
          </w:p>
        </w:tc>
        <w:tc>
          <w:tcPr>
            <w:tcW w:w="2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Collateral, Par or Maturity Value</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Investment interest in Master Trust</w:t>
            </w:r>
          </w:p>
        </w:tc>
        <w:tc>
          <w:tcPr>
            <w:tcW w:w="128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See Note 4</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$4,433,093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 Participant loans</w:t>
            </w:r>
          </w:p>
        </w:tc>
        <w:tc>
          <w:tcPr>
            <w:tcW w:w="6060" w:type="dxa"/>
            <w:vAlign w:val="bottom"/>
            <w:gridSpan w:val="3"/>
          </w:tcPr>
          <w:p>
            <w:pPr>
              <w:ind w:left="1280"/>
              <w:spacing w:after="0" w:line="201" w:lineRule="exact"/>
              <w:rPr>
                <w:sz w:val="20"/>
                <w:szCs w:val="20"/>
                <w:color w:val="auto"/>
              </w:rPr>
            </w:pPr>
            <w:r>
              <w:rPr>
                <w:rFonts w:ascii="Arial" w:cs="Arial" w:eastAsia="Arial" w:hAnsi="Arial"/>
                <w:sz w:val="18"/>
                <w:szCs w:val="18"/>
                <w:color w:val="auto"/>
              </w:rPr>
              <w:t>Loans to plan participants, maturity dates through 2029,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60" w:type="dxa"/>
            <w:vAlign w:val="bottom"/>
            <w:gridSpan w:val="3"/>
          </w:tcPr>
          <w:p>
            <w:pPr>
              <w:ind w:left="1280"/>
              <w:spacing w:after="0"/>
              <w:rPr>
                <w:sz w:val="20"/>
                <w:szCs w:val="20"/>
                <w:color w:val="auto"/>
              </w:rPr>
            </w:pPr>
            <w:r>
              <w:rPr>
                <w:rFonts w:ascii="Arial" w:cs="Arial" w:eastAsia="Arial" w:hAnsi="Arial"/>
                <w:sz w:val="18"/>
                <w:szCs w:val="18"/>
                <w:color w:val="auto"/>
                <w:w w:val="98"/>
              </w:rPr>
              <w:t>interest rates on outstanding loans from 4.25% to 10.5%, per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60" w:type="dxa"/>
            <w:vAlign w:val="bottom"/>
            <w:gridSpan w:val="3"/>
          </w:tcPr>
          <w:p>
            <w:pPr>
              <w:ind w:left="1280"/>
              <w:spacing w:after="0"/>
              <w:rPr>
                <w:sz w:val="20"/>
                <w:szCs w:val="20"/>
                <w:color w:val="auto"/>
              </w:rPr>
            </w:pPr>
            <w:r>
              <w:rPr>
                <w:rFonts w:ascii="Arial" w:cs="Arial" w:eastAsia="Arial" w:hAnsi="Arial"/>
                <w:sz w:val="18"/>
                <w:szCs w:val="18"/>
                <w:color w:val="auto"/>
              </w:rPr>
              <w:t>annum</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58,925</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4,492,018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2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is omitted for participant-directed investments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6" w:name="page37"/>
    <w:bookmarkEnd w:id="36"/>
    <w:p>
      <w:pPr>
        <w:jc w:val="center"/>
        <w:ind w:right="-1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incorporation by reference in this Registration Statement on Form S-8 (No. 333-160264) of Xerox Corporation of our report dated June 25, 2015 relating to the financial statements of the Xerox Corporation Savings Plan, which appears in this Form 11-K.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sectPr>
      <w:pgSz w:w="11900" w:h="16838" w:orient="portrait"/>
      <w:cols w:equalWidth="0" w:num="1">
        <w:col w:w="11260"/>
      </w:cols>
      <w:pgMar w:left="24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upperLetter"/>
      <w:start w:val="1"/>
    </w:lvl>
  </w:abstractNum>
  <w:abstractNum w:abstractNumId="3">
    <w:nsid w:val="25E45D32"/>
    <w:multiLevelType w:val="hybridMultilevel"/>
    <w:lvl w:ilvl="0">
      <w:lvlJc w:val="left"/>
      <w:lvlText w:val="%1."/>
      <w:numFmt w:val="upperLetter"/>
      <w:start w:val="2"/>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2"/>
    </w:lvl>
  </w:abstractNum>
  <w:abstractNum w:abstractNumId="8">
    <w:nsid w:val="257130A3"/>
    <w:multiLevelType w:val="hybridMultilevel"/>
    <w:lvl w:ilvl="0">
      <w:lvlJc w:val="left"/>
      <w:lvlText w:val="%1."/>
      <w:numFmt w:val="decimal"/>
      <w:start w:val="3"/>
    </w:lvl>
  </w:abstractNum>
  <w:abstractNum w:abstractNumId="9">
    <w:nsid w:val="62BBD95A"/>
    <w:multiLevelType w:val="hybridMultilevel"/>
    <w:lvl w:ilvl="0">
      <w:lvlJc w:val="left"/>
      <w:lvlText w:val="%1."/>
      <w:numFmt w:val="decimal"/>
      <w:start w:val="4"/>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5"/>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bullet"/>
      <w:start w:val="1"/>
    </w:lvl>
  </w:abstractNum>
  <w:abstractNum w:abstractNumId="20">
    <w:nsid w:val="4353D0CD"/>
    <w:multiLevelType w:val="hybridMultilevel"/>
    <w:lvl w:ilvl="0">
      <w:lvlJc w:val="left"/>
      <w:lvlText w:val="2"/>
      <w:numFmt w:val="bullet"/>
      <w:start w:val="1"/>
    </w:lvl>
  </w:abstractNum>
  <w:abstractNum w:abstractNumId="21">
    <w:nsid w:val="B03E0C6"/>
    <w:multiLevelType w:val="hybridMultilevel"/>
    <w:lvl w:ilvl="0">
      <w:lvlJc w:val="left"/>
      <w:lvlText w:val="3"/>
      <w:numFmt w:val="bullet"/>
      <w:start w:val="1"/>
    </w:lvl>
  </w:abstractNum>
  <w:abstractNum w:abstractNumId="22">
    <w:nsid w:val="189A769B"/>
    <w:multiLevelType w:val="hybridMultilevel"/>
    <w:lvl w:ilvl="0">
      <w:lvlJc w:val="left"/>
      <w:lvlText w:val="4"/>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7"/>
    </w:lvl>
  </w:abstractNum>
  <w:abstractNum w:abstractNumId="25">
    <w:nsid w:val="2CA88611"/>
    <w:multiLevelType w:val="hybridMultilevel"/>
    <w:lvl w:ilvl="0">
      <w:lvlJc w:val="left"/>
      <w:lvlText w:val="%1."/>
      <w:numFmt w:val="decimal"/>
      <w:start w:val="8"/>
    </w:lvl>
  </w:abstractNum>
  <w:abstractNum w:abstractNumId="26">
    <w:nsid w:val="836C40E"/>
    <w:multiLevelType w:val="hybridMultilevel"/>
    <w:lvl w:ilvl="0">
      <w:lvlJc w:val="left"/>
      <w:lvlText w:val="%1."/>
      <w:numFmt w:val="decimal"/>
      <w:start w:val="9"/>
    </w:lvl>
  </w:abstractNum>
  <w:abstractNum w:abstractNumId="27">
    <w:nsid w:val="2901D82"/>
    <w:multiLevelType w:val="hybridMultilevel"/>
    <w:lvl w:ilvl="0">
      <w:lvlJc w:val="left"/>
      <w:lvlText w:val="%1."/>
      <w:numFmt w:val="decimal"/>
      <w:start w:val="10"/>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2019-12-05T18:12:42Z</dcterms:created>
  <dcterms:modified xsi:type="dcterms:W3CDTF">2019-12-05T18:12:42Z</dcterms:modified>
</cp:coreProperties>
</file>