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erif" w:hAnsi="Times New Roman;serif"/>
          <w:b w:val="false"/>
          <w:color w:val="7F160E"/>
          <w:sz w:val="20"/>
        </w:rPr>
      </w:pPr>
      <w:r>
        <w:rPr>
          <w:rFonts w:ascii="Times New Roman;serif" w:hAnsi="Times New Roman;serif"/>
          <w:b w:val="false"/>
          <w:color w:val="7F160E"/>
          <w:sz w:val="20"/>
        </w:rPr>
        <w:t>______________________________________________________________________________________________________  </w:t>
      </w:r>
    </w:p>
    <w:p>
      <w:pPr>
        <w:pStyle w:val="TextBody"/>
        <w:bidi w:val="0"/>
        <w:spacing w:lineRule="auto" w:line="288" w:before="120" w:after="283"/>
        <w:jc w:val="center"/>
        <w:rPr/>
      </w:pPr>
      <w:r>
        <w:rPr>
          <w:rFonts w:ascii="Arial;sans-serif" w:hAnsi="Arial;sans-serif"/>
          <w:b/>
          <w:color w:val="000000"/>
          <w:sz w:val="28"/>
        </w:rPr>
        <w:t>FORM 8-K</w:t>
      </w:r>
      <w:r>
        <w:rPr>
          <w:color w:val="000000"/>
        </w:rPr>
        <w:t> </w:t>
      </w:r>
    </w:p>
    <w:p>
      <w:pPr>
        <w:pStyle w:val="TextBody"/>
        <w:bidi w:val="0"/>
        <w:spacing w:lineRule="auto" w:line="288" w:before="0" w:after="40"/>
        <w:jc w:val="center"/>
        <w:rPr/>
      </w:pPr>
      <w:r>
        <w:rPr>
          <w:color w:val="000000"/>
        </w:rPr>
        <w:t> </w:t>
      </w:r>
      <w:r>
        <w:rPr>
          <w:rFonts w:ascii="Times New Roman;serif" w:hAnsi="Times New Roman;serif"/>
          <w:b w:val="false"/>
          <w:color w:val="7F160E"/>
          <w:sz w:val="20"/>
        </w:rPr>
        <w:t>_____________________________________________________________________________________________________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the Securities Exchange Act of 1934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Date of Report (date of earliest event reported): April 30, 2026 </w:t>
      </w:r>
    </w:p>
    <w:p>
      <w:pPr>
        <w:pStyle w:val="TextBody"/>
        <w:bidi w:val="0"/>
        <w:spacing w:lineRule="auto" w:line="288" w:before="0" w:after="40"/>
        <w:jc w:val="center"/>
        <w:rPr/>
      </w:pPr>
      <w:r>
        <w:rPr>
          <w:color w:val="000000"/>
        </w:rPr>
        <w:t> </w:t>
      </w:r>
      <w:r>
        <w:rPr>
          <w:rFonts w:ascii="Times New Roman;serif" w:hAnsi="Times New Roman;serif"/>
          <w:b w:val="false"/>
          <w:color w:val="7F160E"/>
          <w:sz w:val="20"/>
        </w:rPr>
        <w:t>_____________________________________________________________________________________________________</w:t>
      </w:r>
    </w:p>
    <w:p>
      <w:pPr>
        <w:pStyle w:val="TextBody"/>
        <w:bidi w:val="0"/>
        <w:spacing w:before="0" w:after="0"/>
        <w:jc w:val="center"/>
        <w:rPr/>
      </w:pPr>
      <w:r>
        <w:rPr/>
      </w:r>
    </w:p>
    <w:p>
      <w:pPr>
        <w:pStyle w:val="TextBody"/>
        <w:bidi w:val="0"/>
        <w:spacing w:before="0" w:after="0"/>
        <w:jc w:val="center"/>
        <w:rPr/>
      </w:pPr>
      <w:r>
        <w:rPr/>
        <w:drawing>
          <wp:inline distT="0" distB="0" distL="0" distR="0">
            <wp:extent cx="134302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266700"/>
                    </a:xfrm>
                    <a:prstGeom prst="rect">
                      <a:avLst/>
                    </a:prstGeom>
                  </pic:spPr>
                </pic:pic>
              </a:graphicData>
            </a:graphic>
          </wp:inline>
        </w:drawing>
      </w:r>
      <w:bookmarkStart w:id="0" w:name="i-1"/>
      <w:bookmarkEnd w:id="0"/>
    </w:p>
    <w:tbl>
      <w:tblPr>
        <w:tblW w:w="4080" w:type="dxa"/>
        <w:jc w:val="center"/>
        <w:tblInd w:w="0" w:type="dxa"/>
        <w:tblLayout w:type="fixed"/>
        <w:tblCellMar>
          <w:top w:w="28" w:type="dxa"/>
          <w:left w:w="28" w:type="dxa"/>
          <w:bottom w:w="28" w:type="dxa"/>
          <w:right w:w="28" w:type="dxa"/>
        </w:tblCellMar>
      </w:tblPr>
      <w:tblGrid>
        <w:gridCol w:w="1307"/>
        <w:gridCol w:w="1148"/>
        <w:gridCol w:w="1625"/>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XEROX HOLDINGS CORPORATION</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XEROX CORPORATION</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(Exact Name of Registrant as specified in its charter)</w:t>
            </w:r>
          </w:p>
        </w:tc>
      </w:tr>
    </w:tbl>
    <w:tbl>
      <w:tblPr>
        <w:tblW w:w="8125" w:type="dxa"/>
        <w:jc w:val="center"/>
        <w:tblInd w:w="0" w:type="dxa"/>
        <w:tblLayout w:type="fixed"/>
        <w:tblCellMar>
          <w:top w:w="28" w:type="dxa"/>
          <w:left w:w="28" w:type="dxa"/>
          <w:bottom w:w="28" w:type="dxa"/>
          <w:right w:w="28" w:type="dxa"/>
        </w:tblCellMar>
      </w:tblPr>
      <w:tblGrid>
        <w:gridCol w:w="1566"/>
        <w:gridCol w:w="1374"/>
        <w:gridCol w:w="1395"/>
        <w:gridCol w:w="682"/>
        <w:gridCol w:w="682"/>
        <w:gridCol w:w="690"/>
        <w:gridCol w:w="454"/>
        <w:gridCol w:w="454"/>
        <w:gridCol w:w="456"/>
        <w:gridCol w:w="109"/>
        <w:gridCol w:w="109"/>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001-39013</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83-3933743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001-04471</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16-0468020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P.O. Box 4505, 401 Merritt 7</w:t>
            </w:r>
          </w:p>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Norwalk, Connecticut 06851-1059</w:t>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201 Merritt 7, Norwalk, CT 06851-1056</w:t>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address of principal executive offices)</w:t>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(203) 849-5216</w:t>
            </w:r>
          </w:p>
        </w:tc>
      </w:tr>
      <w:tr>
        <w:trPr/>
        <w:tc>
          <w:tcPr>
            <w:tcW w:w="81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7F160E"/>
          <w:sz w:val="20"/>
        </w:rPr>
      </w:pPr>
      <w:r>
        <w:rPr>
          <w:rFonts w:ascii="Times New Roman;serif" w:hAnsi="Times New Roman;serif"/>
          <w:b w:val="false"/>
          <w:color w:val="7F160E"/>
          <w:sz w:val="20"/>
        </w:rPr>
        <w:t>_____________________________________________________________________________________________________</w:t>
      </w:r>
    </w:p>
    <w:p>
      <w:pPr>
        <w:pStyle w:val="TextBody"/>
        <w:bidi w:val="0"/>
        <w:spacing w:lineRule="auto" w:line="288" w:before="60" w:after="283"/>
        <w:jc w:val="both"/>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r>
        <w:rPr>
          <w:color w:val="000000"/>
        </w:rPr>
        <w:t> </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10098" w:type="dxa"/>
        <w:jc w:val="left"/>
        <w:tblInd w:w="0" w:type="dxa"/>
        <w:tblLayout w:type="fixed"/>
        <w:tblCellMar>
          <w:top w:w="28" w:type="dxa"/>
          <w:left w:w="28" w:type="dxa"/>
          <w:bottom w:w="28" w:type="dxa"/>
          <w:right w:w="28" w:type="dxa"/>
        </w:tblCellMar>
      </w:tblPr>
      <w:tblGrid>
        <w:gridCol w:w="1740"/>
        <w:gridCol w:w="1530"/>
        <w:gridCol w:w="1530"/>
        <w:gridCol w:w="501"/>
        <w:gridCol w:w="501"/>
        <w:gridCol w:w="501"/>
        <w:gridCol w:w="1112"/>
        <w:gridCol w:w="1112"/>
        <w:gridCol w:w="1571"/>
      </w:tblGrid>
      <w:tr>
        <w:trPr/>
        <w:tc>
          <w:tcPr>
            <w:tcW w:w="17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10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Xerox Holdings Corporation Common Stock, $1 par value</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XRX</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8"/>
              </w:rPr>
              <w:t>Nasdaq Global Select Market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12(g) of the Act:</w:t>
            </w:r>
          </w:p>
        </w:tc>
      </w:tr>
      <w:tr>
        <w:trPr/>
        <w:tc>
          <w:tcPr>
            <w:tcW w:w="10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None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 230.405 of this chapter) or Rule 12b-2 of the Securities Exchange Act of 1934 (§240.12b-2 of this chapter). </w:t>
      </w:r>
    </w:p>
    <w:p>
      <w:pPr>
        <w:pStyle w:val="TextBody"/>
        <w:bidi w:val="0"/>
        <w:spacing w:lineRule="auto" w:line="288" w:before="120" w:after="283"/>
        <w:jc w:val="both"/>
        <w:rPr>
          <w:rFonts w:ascii="Arial;sans-serif" w:hAnsi="Arial;sans-serif"/>
          <w:b/>
          <w:color w:val="000000"/>
          <w:sz w:val="22"/>
        </w:rPr>
      </w:pPr>
      <w:r>
        <w:rPr>
          <w:rFonts w:ascii="Arial;sans-serif" w:hAnsi="Arial;sans-serif"/>
          <w:b/>
          <w:color w:val="000000"/>
          <w:sz w:val="22"/>
        </w:rPr>
        <w:t>Xerox Holdings Corporation                        Xerox Corporation</w:t>
      </w:r>
    </w:p>
    <w:p>
      <w:pPr>
        <w:pStyle w:val="TextBody"/>
        <w:bidi w:val="0"/>
        <w:spacing w:lineRule="auto" w:line="288" w:before="60" w:after="283"/>
        <w:jc w:val="both"/>
        <w:rPr/>
      </w:pPr>
      <w:r>
        <w:rPr>
          <w:rFonts w:ascii="Arial;sans-serif" w:hAnsi="Arial;sans-serif"/>
          <w:b w:val="false"/>
          <w:color w:val="000000"/>
          <w:sz w:val="20"/>
        </w:rPr>
        <w:t xml:space="preserve">Emerging growth company </w:t>
      </w:r>
      <w:r>
        <w:rPr>
          <w:color w:val="000000"/>
        </w:rPr>
        <w:t>☐                             </w:t>
      </w:r>
      <w:r>
        <w:rPr>
          <w:rFonts w:ascii="Arial;sans-serif" w:hAnsi="Arial;sans-serif"/>
          <w:b w:val="false"/>
          <w:color w:val="000000"/>
          <w:sz w:val="20"/>
        </w:rPr>
        <w:t xml:space="preserve">Emerging growth company </w:t>
      </w:r>
      <w:r>
        <w:rPr>
          <w:color w:val="000000"/>
        </w:rPr>
        <w:t xml:space="preserve">☐ </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pPr>
      <w:r>
        <w:rPr>
          <w:rFonts w:ascii="Arial;sans-serif" w:hAnsi="Arial;sans-serif"/>
          <w:b/>
          <w:color w:val="000000"/>
          <w:sz w:val="22"/>
        </w:rPr>
        <w:t>Xerox Holdings Corporation</w:t>
      </w:r>
      <w:r>
        <w:rPr>
          <w:color w:val="000000"/>
        </w:rPr>
        <w:t xml:space="preserve"> ☐                         </w:t>
      </w:r>
      <w:r>
        <w:rPr>
          <w:rFonts w:ascii="Arial;sans-serif" w:hAnsi="Arial;sans-serif"/>
          <w:b/>
          <w:color w:val="000000"/>
          <w:sz w:val="22"/>
        </w:rPr>
        <w:t>Xerox Corporation</w:t>
      </w:r>
      <w:r>
        <w:rPr>
          <w:color w:val="000000"/>
        </w:rPr>
        <w:t xml:space="preserve"> ☐ </w:t>
      </w:r>
    </w:p>
    <w:p>
      <w:pPr>
        <w:pStyle w:val="TextBody"/>
        <w:bidi w:val="0"/>
        <w:spacing w:before="60" w:after="283"/>
        <w:jc w:val="both"/>
        <w:rPr/>
      </w:pPr>
      <w:r>
        <w:rPr/>
      </w:r>
    </w:p>
    <w:p>
      <w:pPr>
        <w:pStyle w:val="TextBody"/>
        <w:bidi w:val="0"/>
        <w:spacing w:lineRule="auto" w:line="288" w:before="0" w:after="0"/>
        <w:jc w:val="center"/>
        <w:rPr>
          <w:rFonts w:ascii="Times New Roman;serif" w:hAnsi="Times New Roman;serif"/>
          <w:b w:val="false"/>
          <w:color w:val="7F160E"/>
          <w:sz w:val="20"/>
        </w:rPr>
      </w:pPr>
      <w:r>
        <w:rPr>
          <w:rFonts w:ascii="Times New Roman;serif" w:hAnsi="Times New Roman;serif"/>
          <w:b w:val="false"/>
          <w:color w:val="7F160E"/>
          <w:sz w:val="20"/>
        </w:rPr>
        <w:t>______________________________________________________________________________________________________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Item 2.02. Results of Operations and Financial Condition.</w:t>
      </w:r>
    </w:p>
    <w:p>
      <w:pPr>
        <w:pStyle w:val="TextBody"/>
        <w:bidi w:val="0"/>
        <w:spacing w:lineRule="auto" w:line="288" w:before="200" w:after="283"/>
        <w:jc w:val="both"/>
        <w:rPr/>
      </w:pPr>
      <w:r>
        <w:rPr>
          <w:rFonts w:ascii="Arial;sans-serif" w:hAnsi="Arial;sans-serif"/>
          <w:b w:val="false"/>
          <w:color w:val="000000"/>
          <w:sz w:val="20"/>
        </w:rPr>
        <w:t xml:space="preserve">On April 30, 2026, Xerox Holdings Corporation and Xerox Corporation (together, the "Registrants") issued a press release announcing their combined first quarter </w:t>
      </w:r>
      <w:r>
        <w:rPr>
          <w:rFonts w:ascii="Arial;sans-serif" w:hAnsi="Arial;sans-serif"/>
          <w:b w:val="false"/>
          <w:color w:val="000000"/>
          <w:sz w:val="16"/>
        </w:rPr>
        <w:t>2026</w:t>
      </w:r>
      <w:r>
        <w:rPr>
          <w:color w:val="000000"/>
        </w:rPr>
        <w:t xml:space="preserve"> </w:t>
      </w:r>
      <w:r>
        <w:rPr>
          <w:rFonts w:ascii="Arial;sans-serif" w:hAnsi="Arial;sans-serif"/>
          <w:b w:val="false"/>
          <w:color w:val="000000"/>
          <w:sz w:val="20"/>
        </w:rPr>
        <w:t>earnings. A copy of the press release is furnished herewith as Exhibit 99.1 and incorporated herein by reference.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Exhibit 99.1 to this current Report contains certain financial measures that are considered “non-GAAP financial measures” as defined in the SEC rules. Exhibit 99.1 to this current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information contained in Item 2.02 of this Current Report and in Exhibit 99.1 hereto is being furnished and shall not be deemed to be "filed" for purposes of the Securities Exchange Act of 1934, as amended (the "Exchange Act"), nor shall it be deemed incorporated into any registration statement or other filing under the Securities Act of 1933, as amended, or the Exchange Act, except as shall be expressly set forth by specific reference to such filing.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9.01. Financial Statements and Exhibits.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1910"/>
        <w:gridCol w:w="1910"/>
        <w:gridCol w:w="270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1xrx331268-ker.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first quarter 2026 earnings press release dated April 30,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tbl>
      <w:tblPr>
        <w:tblW w:w="4162" w:type="dxa"/>
        <w:jc w:val="left"/>
        <w:tblInd w:w="0" w:type="dxa"/>
        <w:tblLayout w:type="fixed"/>
        <w:tblCellMar>
          <w:top w:w="28" w:type="dxa"/>
          <w:left w:w="28" w:type="dxa"/>
          <w:bottom w:w="28" w:type="dxa"/>
          <w:right w:w="28" w:type="dxa"/>
        </w:tblCellMar>
      </w:tblPr>
      <w:tblGrid>
        <w:gridCol w:w="594"/>
        <w:gridCol w:w="524"/>
        <w:gridCol w:w="524"/>
        <w:gridCol w:w="737"/>
        <w:gridCol w:w="737"/>
        <w:gridCol w:w="1046"/>
      </w:tblGrid>
      <w:tr>
        <w:trPr/>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416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XEROX HOLDINGS CORPORATION</w:t>
            </w:r>
          </w:p>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41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William Twomey</w:t>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William Twomey</w:t>
              <w:br/>
              <w:t>Vice President and</w:t>
              <w:br/>
              <w:t>Chief Accounting Officer</w:t>
              <w:br/>
              <w:t>(Principal Accounting Officer)</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Date: April 30, 2026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645" w:type="dxa"/>
        <w:jc w:val="left"/>
        <w:tblInd w:w="0" w:type="dxa"/>
        <w:tblLayout w:type="fixed"/>
        <w:tblCellMar>
          <w:top w:w="28" w:type="dxa"/>
          <w:left w:w="28" w:type="dxa"/>
          <w:bottom w:w="28" w:type="dxa"/>
          <w:right w:w="28" w:type="dxa"/>
        </w:tblCellMar>
      </w:tblPr>
      <w:tblGrid>
        <w:gridCol w:w="407"/>
        <w:gridCol w:w="359"/>
        <w:gridCol w:w="359"/>
        <w:gridCol w:w="737"/>
        <w:gridCol w:w="737"/>
        <w:gridCol w:w="1046"/>
      </w:tblGrid>
      <w:tr>
        <w:trPr/>
        <w:tc>
          <w:tcPr>
            <w:tcW w:w="4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64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XEROX CORPORATION</w:t>
            </w:r>
          </w:p>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6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William Twomey</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William Twomey</w:t>
              <w:br/>
              <w:t>Vice President and</w:t>
              <w:br/>
              <w:t>Chief Accounting Officer</w:t>
              <w:br/>
              <w:t>(Principal Accounting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April 30,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553"/>
        <w:gridCol w:w="2553"/>
        <w:gridCol w:w="3616"/>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xrx331268-ker.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first quarter 2026 earnings press release dated April 30, 2026</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as Inline XBRL.</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5" w:before="0" w:after="0"/>
        <w:ind w:left="0" w:right="0" w:firstLine="720"/>
        <w:jc w:val="left"/>
        <w:rPr/>
      </w:pPr>
      <w:r>
        <w:rPr>
          <w:rFonts w:ascii="Arial;sans-serif" w:hAnsi="Arial;sans-serif"/>
          <w:b/>
          <w:color w:val="000000"/>
          <w:sz w:val="20"/>
        </w:rPr>
        <w:t>EXHIBIT 99.1</w:t>
      </w:r>
      <w:r>
        <w:rPr>
          <w:color w:val="000000"/>
        </w:rPr>
        <w:t>            </w:t>
      </w:r>
    </w:p>
    <w:p>
      <w:pPr>
        <w:pStyle w:val="TextBody"/>
        <w:bidi w:val="0"/>
        <w:spacing w:before="0" w:after="0"/>
        <w:ind w:left="0" w:right="0" w:firstLine="720"/>
        <w:jc w:val="left"/>
        <w:rPr/>
      </w:pPr>
      <w:r>
        <w:rPr/>
        <w:drawing>
          <wp:inline distT="0" distB="0" distL="0" distR="0">
            <wp:extent cx="1343025" cy="2667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343025" cy="266700"/>
                    </a:xfrm>
                    <a:prstGeom prst="rect">
                      <a:avLst/>
                    </a:prstGeom>
                  </pic:spPr>
                </pic:pic>
              </a:graphicData>
            </a:graphic>
          </wp:inline>
        </w:drawing>
      </w:r>
    </w:p>
    <w:p>
      <w:pPr>
        <w:pStyle w:val="TextBody"/>
        <w:bidi w:val="0"/>
        <w:spacing w:lineRule="auto" w:line="285" w:before="0" w:after="0"/>
        <w:jc w:val="left"/>
        <w:rPr/>
      </w:pPr>
      <w:r>
        <w:rPr>
          <w:rFonts w:ascii="Arial;sans-serif" w:hAnsi="Arial;sans-serif"/>
          <w:b w:val="false"/>
          <w:color w:val="000000"/>
          <w:sz w:val="36"/>
        </w:rPr>
        <w:t>News from Xerox Holdings Corporation</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8"/>
        </w:rPr>
      </w:pPr>
      <w:r>
        <w:rPr>
          <w:rFonts w:ascii="Arial;sans-serif" w:hAnsi="Arial;sans-serif"/>
          <w:b/>
          <w:color w:val="000000"/>
          <w:sz w:val="28"/>
        </w:rPr>
        <w:t>Xerox Releases First-Quarter Results</w:t>
      </w:r>
    </w:p>
    <w:p>
      <w:pPr>
        <w:pStyle w:val="TextBody"/>
        <w:bidi w:val="0"/>
        <w:spacing w:lineRule="auto" w:line="268" w:before="0" w:after="0"/>
        <w:jc w:val="left"/>
        <w:rPr/>
      </w:pPr>
      <w:r>
        <w:rPr>
          <w:rFonts w:ascii="Arial;sans-serif" w:hAnsi="Arial;sans-serif"/>
          <w:b w:val="false"/>
          <w:color w:val="000000"/>
          <w:sz w:val="20"/>
        </w:rPr>
        <w:t>Returns to year</w:t>
        <w:noBreakHyphen/>
        <w:t>over</w:t>
        <w:noBreakHyphen/>
        <w:t>year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operating margin growth with 240 basis points expansion; revenue trajectory improved and liquidity strengthened in Q1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Q1 2026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of $1.85 billion, up 26.7 percent, or 23.6 percent in constant currency</w:t>
      </w:r>
      <w:r>
        <w:rPr>
          <w:rFonts w:ascii="Arial;sans-serif" w:hAnsi="Arial;sans-serif"/>
          <w:b w:val="false"/>
          <w:color w:val="000000"/>
          <w:sz w:val="13"/>
        </w:rPr>
        <w:t>1</w:t>
      </w:r>
      <w:r>
        <w:rPr>
          <w:rFonts w:ascii="Arial;sans-serif" w:hAnsi="Arial;sans-serif"/>
          <w:b w:val="false"/>
          <w:color w:val="000000"/>
          <w:sz w:val="20"/>
        </w:rPr>
        <w:t>. On a pro forma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basis, revenue is down 3.7 percent.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(loss) of $(105) million, or $(0.84) per share, down $15 million or $0.09 per share, year-over-year,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Normalized Adjusted</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net (loss) of $(10) million, or $(0.11) per share, down $3 million or $0.02 per share, year-over-year,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net (loss) of $(51) million, or $(0.43) per share, down $47 million or $0.37 per share, year-over-year,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operating income of $72 million, up $50 million year-over-year.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operating margin of 3.9 percent, up 240 basis points year-over-year.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Operating cash flow of $(144) million, down $55 million year-over year, reflecting expected Q1 seasonality.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Free cash flow</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$(165) million, down $56 million year-over-year. Full-year free cash flow guidance of approximately $250 million is unchanged, implying greater than $400 million of cash generation over the remaining three quarters.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NORWALK, Conn., April 30, 2026</w:t>
      </w:r>
      <w:r>
        <w:rPr>
          <w:color w:val="000000"/>
        </w:rPr>
        <w:t xml:space="preserve"> — </w:t>
      </w:r>
      <w:r>
        <w:rPr>
          <w:rFonts w:ascii="Arial;sans-serif" w:hAnsi="Arial;sans-serif"/>
          <w:b w:val="false"/>
          <w:color w:val="467886"/>
          <w:sz w:val="20"/>
        </w:rPr>
        <w:t>Xerox Holdings Corporation</w:t>
      </w:r>
      <w:r>
        <w:rPr>
          <w:color w:val="000000"/>
        </w:rPr>
        <w:t xml:space="preserve"> </w:t>
      </w:r>
      <w:r>
        <w:rPr>
          <w:rFonts w:ascii="Arial;sans-serif" w:hAnsi="Arial;sans-serif"/>
          <w:b w:val="false"/>
          <w:color w:val="000000"/>
          <w:sz w:val="20"/>
        </w:rPr>
        <w:t>(NASDAQ: XRX) today announced its 2026 first-quarter results.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Arial;sans-serif" w:hAnsi="Arial;sans-serif"/>
          <w:b w:val="false"/>
          <w:color w:val="000000"/>
          <w:sz w:val="20"/>
        </w:rPr>
        <w:t>This quarter’s results demonstrated tangible progress as revenue and profit trajectory improved, adjusted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operating margin expanded, and we further enhanced our liquidity,” said Louie Pastor, chief executive officer at Xerox. “When I took this role, I was unequivocal that we must be clear about our priorities — stabilize revenue, increase profitability and reduce leverage — and establish credibility by executing on them one quarter at a time. I am genuinely optimistic about the future of this business and confident we are closer to an inflection point than the external narrative suggests. Reaffirming our 2026 guidance reflects that confidence.”</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Strategic Milestones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Q1 2026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Lexmark synergies on plan; reaffirm at least $300 million of integration synergies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Print sales pipeline materially higher vs. this time last year</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 xml:space="preserve">Production Installs increased 31% year-over-year, partly fueled by the Proficio launch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Q1 IT Solutions bookings and billings growth of 32% and 21%, respectively</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Raised $450 million through a newly formed IP joint venture with TPG Angelo Gordon</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Repurchased $101 million face value of 2028 Senior Notes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68" w:before="240" w:after="283"/>
        <w:jc w:val="both"/>
        <w:rPr>
          <w:rFonts w:ascii="Arial;sans-serif" w:hAnsi="Arial;sans-serif"/>
          <w:b/>
          <w:color w:val="000000"/>
          <w:sz w:val="22"/>
        </w:rPr>
      </w:pPr>
      <w:r>
        <w:rPr>
          <w:rFonts w:ascii="Arial;sans-serif" w:hAnsi="Arial;sans-serif"/>
          <w:b/>
          <w:color w:val="000000"/>
          <w:sz w:val="22"/>
        </w:rPr>
        <w:t>First-Quarter Key Financial Results</w:t>
      </w:r>
    </w:p>
    <w:tbl>
      <w:tblPr>
        <w:tblW w:w="8867" w:type="dxa"/>
        <w:jc w:val="left"/>
        <w:tblInd w:w="0" w:type="dxa"/>
        <w:tblLayout w:type="fixed"/>
        <w:tblCellMar>
          <w:top w:w="28" w:type="dxa"/>
          <w:left w:w="28" w:type="dxa"/>
          <w:bottom w:w="28" w:type="dxa"/>
          <w:right w:w="28" w:type="dxa"/>
        </w:tblCellMar>
      </w:tblPr>
      <w:tblGrid>
        <w:gridCol w:w="1503"/>
        <w:gridCol w:w="1321"/>
        <w:gridCol w:w="1330"/>
        <w:gridCol w:w="269"/>
        <w:gridCol w:w="269"/>
        <w:gridCol w:w="271"/>
        <w:gridCol w:w="109"/>
        <w:gridCol w:w="109"/>
        <w:gridCol w:w="109"/>
        <w:gridCol w:w="269"/>
        <w:gridCol w:w="269"/>
        <w:gridCol w:w="271"/>
        <w:gridCol w:w="109"/>
        <w:gridCol w:w="109"/>
        <w:gridCol w:w="109"/>
        <w:gridCol w:w="333"/>
        <w:gridCol w:w="333"/>
        <w:gridCol w:w="339"/>
        <w:gridCol w:w="109"/>
        <w:gridCol w:w="109"/>
        <w:gridCol w:w="109"/>
        <w:gridCol w:w="324"/>
        <w:gridCol w:w="324"/>
        <w:gridCol w:w="46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92130"/>
                <w:sz w:val="16"/>
                <w:u w:val="single"/>
              </w:rPr>
            </w:pPr>
            <w:r>
              <w:rPr>
                <w:rFonts w:ascii="Arial;sans-serif" w:hAnsi="Arial;sans-serif"/>
                <w:b/>
                <w:color w:val="D92130"/>
                <w:sz w:val="16"/>
                <w:u w:val="single"/>
              </w:rPr>
              <w:t>(in millions, except per share data)</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B/(W)</w:t>
              <w:b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D92130"/>
                <w:sz w:val="18"/>
              </w:rPr>
              <w:t>Pro Forma</w:t>
            </w:r>
            <w:r>
              <w:rPr>
                <w:rFonts w:ascii="Arial;sans-serif" w:hAnsi="Arial;sans-serif"/>
                <w:b/>
                <w:color w:val="D92130"/>
                <w:sz w:val="12"/>
              </w:rPr>
              <w:t>2</w:t>
            </w:r>
          </w:p>
          <w:p>
            <w:pPr>
              <w:pStyle w:val="TableContents"/>
              <w:bidi w:val="0"/>
              <w:spacing w:lineRule="auto" w:line="240" w:before="0" w:after="0"/>
              <w:jc w:val="center"/>
              <w:rPr>
                <w:rFonts w:ascii="Arial;sans-serif" w:hAnsi="Arial;sans-serif"/>
                <w:b/>
                <w:color w:val="D92130"/>
                <w:sz w:val="18"/>
              </w:rPr>
            </w:pPr>
            <w:r>
              <w:rPr>
                <w:rFonts w:ascii="Arial;sans-serif" w:hAnsi="Arial;sans-serif"/>
                <w:b/>
                <w:color w:val="D92130"/>
                <w:sz w:val="18"/>
              </w:rPr>
              <w:t>B/(W) YOY</w:t>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80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$1,846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$1,457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26.7% AC</w:t>
            </w:r>
          </w:p>
          <w:p>
            <w:pPr>
              <w:pStyle w:val="TableContents"/>
              <w:bidi w:val="0"/>
              <w:spacing w:lineRule="auto" w:line="240" w:before="0" w:after="0"/>
              <w:jc w:val="center"/>
              <w:rPr/>
            </w:pPr>
            <w:r>
              <w:rPr>
                <w:rFonts w:ascii="Arial;sans-serif" w:hAnsi="Arial;sans-serif"/>
                <w:b/>
                <w:color w:val="000000"/>
                <w:sz w:val="18"/>
              </w:rPr>
              <w:t>23.6% CC</w:t>
            </w:r>
            <w:r>
              <w:rPr>
                <w:rFonts w:ascii="Arial;sans-serif" w:hAnsi="Arial;sans-serif"/>
                <w:b/>
                <w:color w:val="000000"/>
                <w:sz w:val="12"/>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(3.7)% AC</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Margin</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 bps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 bps</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RD&amp;E %</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SAG %</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260 bps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(Loss)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(Loss) Margin</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 bps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Gross Profit - Adjusted</w:t>
            </w:r>
            <w:r>
              <w:rPr>
                <w:rFonts w:ascii="Arial;sans-serif" w:hAnsi="Arial;sans-serif"/>
                <w:b w:val="false"/>
                <w:color w:val="000000"/>
                <w:sz w:val="12"/>
              </w:rPr>
              <w:t>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Gross Margin - Adjusted</w:t>
            </w:r>
            <w:r>
              <w:rPr>
                <w:rFonts w:ascii="Arial;sans-serif" w:hAnsi="Arial;sans-serif"/>
                <w:b w:val="false"/>
                <w:color w:val="000000"/>
                <w:sz w:val="12"/>
              </w:rPr>
              <w:t>1</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8"/>
              </w:rPr>
              <w:t>60 bps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(60) bps</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Arial;sans-serif" w:hAnsi="Arial;sans-serif"/>
                <w:b w:val="false"/>
                <w:color w:val="000000"/>
                <w:sz w:val="18"/>
              </w:rPr>
              <w:t>Operating Income - Adjusted</w:t>
            </w:r>
            <w:r>
              <w:rPr>
                <w:rFonts w:ascii="Arial;sans-serif" w:hAnsi="Arial;sans-serif"/>
                <w:b w:val="false"/>
                <w:color w:val="000000"/>
                <w:sz w:val="12"/>
              </w:rPr>
              <w:t>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40" w:after="40"/>
              <w:jc w:val="left"/>
              <w:rPr/>
            </w:pPr>
            <w:r>
              <w:rPr>
                <w:rFonts w:ascii="Arial;sans-serif" w:hAnsi="Arial;sans-serif"/>
                <w:b w:val="false"/>
                <w:color w:val="000000"/>
                <w:sz w:val="18"/>
              </w:rPr>
              <w:t>Operating Income Margin - Adjusted</w:t>
            </w:r>
            <w:r>
              <w:rPr>
                <w:rFonts w:ascii="Arial;sans-serif" w:hAnsi="Arial;sans-serif"/>
                <w:b w:val="false"/>
                <w:color w:val="000000"/>
                <w:sz w:val="12"/>
              </w:rPr>
              <w:t>1</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240 bps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Diluted (Loss) per Share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Normalized Diluted (Loss) Per Share – Adjusted</w:t>
            </w:r>
            <w:r>
              <w:rPr>
                <w:rFonts w:ascii="Arial;sans-serif" w:hAnsi="Arial;sans-serif"/>
                <w:b w:val="false"/>
                <w:color w:val="000000"/>
                <w:sz w:val="12"/>
              </w:rPr>
              <w:t>3</w:t>
            </w:r>
            <w:r>
              <w:rPr>
                <w:color w:val="000000"/>
              </w:rPr>
              <w:t xml:space="preserve"> </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Arial;sans-serif" w:hAnsi="Arial;sans-serif"/>
                <w:b w:val="false"/>
                <w:color w:val="000000"/>
                <w:sz w:val="18"/>
              </w:rPr>
              <w:t>Diluted (Loss) Per Share - Adjusted</w:t>
            </w:r>
            <w:r>
              <w:rPr>
                <w:rFonts w:ascii="Arial;sans-serif" w:hAnsi="Arial;sans-serif"/>
                <w:b w:val="false"/>
                <w:color w:val="000000"/>
                <w:sz w:val="12"/>
              </w:rPr>
              <w:t>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First-Quarter Segment Results</w:t>
      </w:r>
    </w:p>
    <w:tbl>
      <w:tblPr>
        <w:tblW w:w="7119" w:type="dxa"/>
        <w:jc w:val="left"/>
        <w:tblInd w:w="0" w:type="dxa"/>
        <w:tblLayout w:type="fixed"/>
        <w:tblCellMar>
          <w:top w:w="28" w:type="dxa"/>
          <w:left w:w="28" w:type="dxa"/>
          <w:bottom w:w="28" w:type="dxa"/>
          <w:right w:w="28" w:type="dxa"/>
        </w:tblCellMar>
      </w:tblPr>
      <w:tblGrid>
        <w:gridCol w:w="886"/>
        <w:gridCol w:w="778"/>
        <w:gridCol w:w="780"/>
        <w:gridCol w:w="269"/>
        <w:gridCol w:w="269"/>
        <w:gridCol w:w="271"/>
        <w:gridCol w:w="109"/>
        <w:gridCol w:w="109"/>
        <w:gridCol w:w="109"/>
        <w:gridCol w:w="269"/>
        <w:gridCol w:w="269"/>
        <w:gridCol w:w="271"/>
        <w:gridCol w:w="109"/>
        <w:gridCol w:w="109"/>
        <w:gridCol w:w="109"/>
        <w:gridCol w:w="249"/>
        <w:gridCol w:w="249"/>
        <w:gridCol w:w="251"/>
        <w:gridCol w:w="109"/>
        <w:gridCol w:w="109"/>
        <w:gridCol w:w="109"/>
        <w:gridCol w:w="354"/>
        <w:gridCol w:w="354"/>
        <w:gridCol w:w="356"/>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92130"/>
                <w:sz w:val="16"/>
                <w:u w:val="single"/>
              </w:rPr>
            </w:pPr>
            <w:r>
              <w:rPr>
                <w:rFonts w:ascii="Arial;sans-serif" w:hAnsi="Arial;sans-serif"/>
                <w:b/>
                <w:color w:val="D92130"/>
                <w:sz w:val="16"/>
                <w:u w:val="single"/>
              </w:rPr>
              <w:t>(in millions)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92130"/>
                <w:sz w:val="18"/>
              </w:rPr>
            </w:pPr>
            <w:r>
              <w:rPr>
                <w:rFonts w:ascii="Arial;sans-serif" w:hAnsi="Arial;sans-serif"/>
                <w:b/>
                <w:color w:val="D92130"/>
                <w:sz w:val="18"/>
              </w:rPr>
              <w:t>B/(W)</w:t>
              <w:b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D92130"/>
                <w:sz w:val="18"/>
              </w:rPr>
              <w:t>Pro Forma</w:t>
            </w:r>
            <w:r>
              <w:rPr>
                <w:rFonts w:ascii="Arial;sans-serif" w:hAnsi="Arial;sans-serif"/>
                <w:b/>
                <w:color w:val="D92130"/>
                <w:sz w:val="12"/>
              </w:rPr>
              <w:t>2</w:t>
            </w:r>
          </w:p>
          <w:p>
            <w:pPr>
              <w:pStyle w:val="TableContents"/>
              <w:bidi w:val="0"/>
              <w:spacing w:lineRule="auto" w:line="240" w:before="0" w:after="0"/>
              <w:jc w:val="center"/>
              <w:rPr>
                <w:rFonts w:ascii="Arial;sans-serif" w:hAnsi="Arial;sans-serif"/>
                <w:b/>
                <w:color w:val="D92130"/>
                <w:sz w:val="18"/>
              </w:rPr>
            </w:pPr>
            <w:r>
              <w:rPr>
                <w:rFonts w:ascii="Arial;sans-serif" w:hAnsi="Arial;sans-serif"/>
                <w:b/>
                <w:color w:val="D92130"/>
                <w:sz w:val="18"/>
              </w:rPr>
              <w:t>B/(W) YOY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80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Print and Other</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IT Solutions</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Intersegment Elimination</w:t>
            </w:r>
            <w:r>
              <w:rPr>
                <w:rFonts w:ascii="Arial;sans-serif" w:hAnsi="Arial;sans-serif"/>
                <w:b w:val="false"/>
                <w:color w:val="000000"/>
                <w:sz w:val="12"/>
              </w:rPr>
              <w:t>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80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$1,846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$1,457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26.7%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Profit</w:t>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Print and Other</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IT Solutions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Corporate Other</w:t>
            </w:r>
            <w:r>
              <w:rPr>
                <w:rFonts w:ascii="Arial;sans-serif" w:hAnsi="Arial;sans-serif"/>
                <w:b w:val="false"/>
                <w:color w:val="000000"/>
                <w:sz w:val="12"/>
              </w:rPr>
              <w:t>5</w:t>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Profit</w:t>
            </w:r>
          </w:p>
        </w:tc>
        <w:tc>
          <w:tcPr>
            <w:tcW w:w="8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_____________</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“Non-GAAP Financial Measures” section of this release for a discussion of these non-GAAP measures and their reconciliation to the reported GAAP measures.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2.Refer to the "Pro Forma Basis" section for an explanation of this measure. Reflects the inclusion of Lexmark's estimated results from January 1, 2025 through March 31, 2025. Lexmark's actual results are included in Xerox's reported results beginning on July 1, 2025, the effective date of the acquisition. ITsavvy results for the full first quarter of 2026 and 2025 are included in our consolidated results. Accordingly, there are no pro forma impacts related to the IT Solutions segment.</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3.Normalized adjusted net (loss) includes tax benefits of $41 million in Q1 2026 and ($3) million in Q1 2025, which are not included in adjusted earnings. This represents the tax effects associated with pre-tax (losses) generated in U.S. and UK entities subject to full valuation allowances.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4.Reflects primarily IT hardware, software solutions and services, sold by the IT Solutions segment to the Print and Other segment.</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5.Corporate Other reflects certain administrative and general expenses, which primarily relate to corporate functions, and are not allocated to either of our reportable segments.</w:t>
      </w:r>
    </w:p>
    <w:p>
      <w:pPr>
        <w:pStyle w:val="TextBody"/>
        <w:bidi w:val="0"/>
        <w:spacing w:before="0" w:after="0"/>
        <w:jc w:val="both"/>
        <w:rPr/>
      </w:pPr>
      <w:r>
        <w:rPr/>
      </w:r>
    </w:p>
    <w:p>
      <w:pPr>
        <w:pStyle w:val="TextBody"/>
        <w:bidi w:val="0"/>
        <w:spacing w:lineRule="auto" w:line="276" w:before="0" w:after="0"/>
        <w:jc w:val="left"/>
        <w:rPr/>
      </w:pPr>
      <w:r>
        <w:rPr>
          <w:rFonts w:ascii="Arial;sans-serif" w:hAnsi="Arial;sans-serif"/>
          <w:b/>
          <w:color w:val="000000"/>
          <w:sz w:val="20"/>
        </w:rPr>
        <w:t>2026 Guidance</w:t>
      </w:r>
      <w:r>
        <w:rPr>
          <w:color w:val="000000"/>
        </w:rPr>
        <w:t xml:space="preserve"> </w:t>
      </w:r>
      <w:r>
        <w:rPr>
          <w:rFonts w:ascii="Arial;sans-serif" w:hAnsi="Arial;sans-serif"/>
          <w:b w:val="false"/>
          <w:color w:val="000000"/>
          <w:sz w:val="13"/>
        </w:rPr>
        <w:t>1</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Above $7.5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w:t>
      </w:r>
      <w:r>
        <w:rPr>
          <w:color w:val="000000"/>
        </w:rPr>
        <w:t xml:space="preserve"> </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Operating Income: $450-$500 million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Free cash flow</w:t>
      </w:r>
      <w:r>
        <w:rPr>
          <w:rFonts w:ascii="Arial;sans-serif" w:hAnsi="Arial;sans-serif"/>
          <w:b w:val="false"/>
          <w:color w:val="000000"/>
          <w:sz w:val="13"/>
        </w:rPr>
        <w:t>2</w:t>
      </w:r>
      <w:r>
        <w:rPr>
          <w:rFonts w:ascii="Arial;sans-serif" w:hAnsi="Arial;sans-serif"/>
          <w:b w:val="false"/>
          <w:color w:val="000000"/>
          <w:sz w:val="20"/>
        </w:rPr>
        <w:t>: ~ $250 million</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Non-GAAP Measures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This release refers to the following non-GAAP financial measures: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Adjusted</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EPS, which excludes Restructuring and related costs, net, Amortization of intangible assets, non-service retirement-related costs, gain on early extinguishment of debt, and other discrete adjustments from GAAP EPS, as applicable.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Adjusted</w:t>
      </w:r>
      <w:r>
        <w:rPr>
          <w:color w:val="000000"/>
        </w:rPr>
        <w:t xml:space="preserve"> </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operating income and margin, which exclude the EPS adjustments noted above, except the tax expense charge related to the establishment of a valuation allowance against certain deferred tax assets, as well as the remainder of Other (income) expenses, net from pre-tax loss and margin.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Constant currency (CC) revenue change, which excludes the effects of currency translation.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Free cash flow</w:t>
      </w:r>
      <w:r>
        <w:rPr>
          <w:color w:val="000000"/>
        </w:rPr>
        <w:t xml:space="preserve"> </w:t>
      </w:r>
      <w:r>
        <w:rPr>
          <w:rFonts w:ascii="Arial;sans-serif" w:hAnsi="Arial;sans-serif"/>
          <w:b w:val="false"/>
          <w:color w:val="000000"/>
          <w:sz w:val="13"/>
        </w:rPr>
        <w:t>2</w:t>
      </w:r>
      <w:r>
        <w:rPr>
          <w:rFonts w:ascii="Arial;sans-serif" w:hAnsi="Arial;sans-serif"/>
          <w:b w:val="false"/>
          <w:color w:val="000000"/>
          <w:sz w:val="20"/>
        </w:rPr>
        <w:t>, which is operating cash flow less capital expenditures.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68" w:before="0" w:after="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Our Q1 results and guidance do not reflect any potential refund benefits associated with the recent Supreme Court ruling on IEEPA tariffs as the related refund process had not been clarified as of March 31</w:t>
      </w:r>
      <w:r>
        <w:rPr>
          <w:rFonts w:ascii="Arial;sans-serif" w:hAnsi="Arial;sans-serif"/>
          <w:b w:val="false"/>
          <w:i/>
          <w:color w:val="000000"/>
          <w:sz w:val="13"/>
        </w:rPr>
        <w:t>st</w:t>
      </w:r>
      <w:r>
        <w:rPr>
          <w:rFonts w:ascii="Arial;sans-serif" w:hAnsi="Arial;sans-serif"/>
          <w:b w:val="false"/>
          <w:i/>
          <w:color w:val="000000"/>
          <w:sz w:val="16"/>
        </w:rPr>
        <w:t>.</w:t>
      </w:r>
    </w:p>
    <w:p>
      <w:pPr>
        <w:pStyle w:val="TextBody"/>
        <w:bidi w:val="0"/>
        <w:spacing w:lineRule="auto" w:line="268" w:before="0" w:after="0"/>
        <w:jc w:val="both"/>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Refer to the “Non-GAAP Financial Measures” section of this release for a discussion of these non-GAAP measures and their reconciliation to the reported GAAP measures.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8" w:before="0" w:after="0"/>
        <w:jc w:val="left"/>
        <w:rPr>
          <w:rFonts w:ascii="Arial;sans-serif" w:hAnsi="Arial;sans-serif"/>
          <w:b/>
          <w:color w:val="000000"/>
          <w:sz w:val="20"/>
        </w:rPr>
      </w:pPr>
      <w:r>
        <w:rPr>
          <w:rFonts w:ascii="Arial;sans-serif" w:hAnsi="Arial;sans-serif"/>
          <w:b/>
          <w:color w:val="000000"/>
          <w:sz w:val="20"/>
        </w:rPr>
        <w:t>Forward-Looking Statement</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This presentation and other written or oral statements made from time to time by management contain “forward 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Such factors include but are not limited to: applicable market conditions; global macroeconomic conditions, including inflation, slower growth or recession, delays or disruptions in the global supply chain, higher interest rates, and wars and other conflicts;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Transformation;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These forward-looking statements speak only as of the date hereof or of the date to which they refer, and the Company assumes no obligation to update or revise any forward-looking statements as a result of new information or future events or developments, except as required by law. </w:t>
      </w:r>
    </w:p>
    <w:p>
      <w:pPr>
        <w:pStyle w:val="TextBody"/>
        <w:bidi w:val="0"/>
        <w:spacing w:lineRule="auto" w:line="278" w:before="0" w:after="0"/>
        <w:jc w:val="both"/>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68" w:before="0" w:after="0"/>
        <w:jc w:val="both"/>
        <w:rPr/>
      </w:pPr>
      <w:r>
        <w:rPr>
          <w:rFonts w:ascii="Arial;sans-serif" w:hAnsi="Arial;sans-serif"/>
          <w:b w:val="false"/>
          <w:color w:val="000000"/>
          <w:sz w:val="20"/>
        </w:rPr>
        <w:t xml:space="preserve">Justin Capella, Xerox, </w:t>
      </w:r>
      <w:r>
        <w:rPr>
          <w:rFonts w:ascii="Arial;sans-serif" w:hAnsi="Arial;sans-serif"/>
          <w:b w:val="false"/>
          <w:color w:val="D92231"/>
          <w:sz w:val="20"/>
          <w:shd w:fill="FFFFFF" w:val="clear"/>
        </w:rPr>
        <w:t>Justin.Capella@xerox.com</w:t>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68" w:before="0" w:after="0"/>
        <w:jc w:val="both"/>
        <w:rPr/>
      </w:pPr>
      <w:r>
        <w:rPr>
          <w:rFonts w:ascii="Arial;sans-serif" w:hAnsi="Arial;sans-serif"/>
          <w:b w:val="false"/>
          <w:color w:val="000000"/>
          <w:sz w:val="20"/>
        </w:rPr>
        <w:t xml:space="preserve">Greg Stein, Xerox, </w:t>
      </w:r>
      <w:r>
        <w:rPr>
          <w:rFonts w:ascii="Arial;sans-serif" w:hAnsi="Arial;sans-serif"/>
          <w:b w:val="false"/>
          <w:color w:val="D92231"/>
          <w:sz w:val="20"/>
          <w:shd w:fill="FFFFFF" w:val="clear"/>
        </w:rPr>
        <w:t>Greg.Stein@xerox.com</w:t>
      </w:r>
      <w:r>
        <w:rPr>
          <w:color w:val="000000"/>
        </w:rPr>
        <w:t xml:space="preserve"> </w:t>
      </w:r>
    </w:p>
    <w:p>
      <w:pPr>
        <w:pStyle w:val="TextBody"/>
        <w:bidi w:val="0"/>
        <w:spacing w:lineRule="auto" w:line="268" w:before="0" w:after="0"/>
        <w:jc w:val="both"/>
        <w:rPr/>
      </w:pPr>
      <w:r>
        <w:rPr>
          <w:rFonts w:ascii="Arial;sans-serif" w:hAnsi="Arial;sans-serif"/>
          <w:b/>
          <w:color w:val="000000"/>
          <w:sz w:val="20"/>
        </w:rPr>
        <w:t>Note:</w:t>
      </w:r>
      <w:r>
        <w:rPr>
          <w:color w:val="000000"/>
        </w:rPr>
        <w:t xml:space="preserve"> </w:t>
      </w:r>
      <w:r>
        <w:rPr>
          <w:rFonts w:ascii="Arial;sans-serif" w:hAnsi="Arial;sans-serif"/>
          <w:b w:val="false"/>
          <w:color w:val="000000"/>
          <w:sz w:val="20"/>
        </w:rPr>
        <w:t>To receive RSS news feeds, visit</w:t>
      </w:r>
      <w:r>
        <w:rPr>
          <w:color w:val="F79646"/>
        </w:rPr>
        <w:t xml:space="preserve"> </w:t>
      </w:r>
      <w:r>
        <w:rPr>
          <w:rFonts w:ascii="Arial;sans-serif" w:hAnsi="Arial;sans-serif"/>
          <w:b w:val="false"/>
          <w:color w:val="D92231"/>
          <w:sz w:val="20"/>
          <w:shd w:fill="FFFFFF" w:val="clear"/>
        </w:rPr>
        <w:t>https://www.news.xerox.com</w:t>
      </w:r>
      <w:r>
        <w:rPr>
          <w:rFonts w:ascii="Arial;sans-serif" w:hAnsi="Arial;sans-serif"/>
          <w:b w:val="false"/>
          <w:color w:val="000000"/>
          <w:sz w:val="20"/>
        </w:rPr>
        <w:t xml:space="preserve">. For open commentary, industry perspectives and views, visit </w:t>
      </w:r>
      <w:r>
        <w:rPr>
          <w:rFonts w:ascii="Arial;sans-serif" w:hAnsi="Arial;sans-serif"/>
          <w:b w:val="false"/>
          <w:color w:val="D92231"/>
          <w:sz w:val="20"/>
          <w:shd w:fill="FFFFFF" w:val="clear"/>
        </w:rPr>
        <w:t>http://www.linkedin.com/company/xerox</w:t>
      </w:r>
      <w:r>
        <w:rPr>
          <w:color w:val="000000"/>
        </w:rPr>
        <w:t xml:space="preserve"> </w:t>
      </w:r>
      <w:r>
        <w:rPr>
          <w:rFonts w:ascii="Arial;sans-serif" w:hAnsi="Arial;sans-serif"/>
          <w:b w:val="false"/>
          <w:color w:val="000000"/>
          <w:sz w:val="20"/>
        </w:rPr>
        <w:t xml:space="preserve">or </w:t>
      </w:r>
      <w:r>
        <w:rPr>
          <w:rFonts w:ascii="Arial;sans-serif" w:hAnsi="Arial;sans-serif"/>
          <w:b w:val="false"/>
          <w:color w:val="D92231"/>
          <w:sz w:val="20"/>
          <w:shd w:fill="FFFFFF" w:val="clear"/>
        </w:rPr>
        <w:t>http://www.youtube.com/XeroxCorp</w:t>
      </w:r>
      <w:r>
        <w:rPr>
          <w:rFonts w:ascii="Arial;sans-serif" w:hAnsi="Arial;sans-serif"/>
          <w:b w:val="false"/>
          <w:color w:val="000000"/>
          <w:sz w:val="20"/>
        </w:rPr>
        <w:t>.</w:t>
      </w:r>
    </w:p>
    <w:p>
      <w:pPr>
        <w:pStyle w:val="TextBody"/>
        <w:bidi w:val="0"/>
        <w:spacing w:lineRule="auto" w:line="268" w:before="0" w:after="0"/>
        <w:jc w:val="both"/>
        <w:rPr/>
      </w:pPr>
      <w:r>
        <w:rPr>
          <w:rFonts w:ascii="Arial;sans-serif" w:hAnsi="Arial;sans-serif"/>
          <w:b w:val="false"/>
          <w:color w:val="000000"/>
          <w:sz w:val="20"/>
          <w:shd w:fill="FFFFFF" w:val="clear"/>
        </w:rPr>
        <w:t>Xerox</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is a trademark of Xerox in the United States and/or other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 xml:space="preserve">CONDENSED CONSOLIDATED STATEMENTS OF LOSS (UNAUDITED) </w:t>
      </w:r>
    </w:p>
    <w:tbl>
      <w:tblPr>
        <w:tblW w:w="6696" w:type="dxa"/>
        <w:jc w:val="left"/>
        <w:tblInd w:w="0" w:type="dxa"/>
        <w:tblLayout w:type="fixed"/>
        <w:tblCellMar>
          <w:top w:w="28" w:type="dxa"/>
          <w:left w:w="28" w:type="dxa"/>
          <w:bottom w:w="28" w:type="dxa"/>
          <w:right w:w="28" w:type="dxa"/>
        </w:tblCellMar>
      </w:tblPr>
      <w:tblGrid>
        <w:gridCol w:w="1397"/>
        <w:gridCol w:w="1234"/>
        <w:gridCol w:w="1238"/>
        <w:gridCol w:w="109"/>
        <w:gridCol w:w="109"/>
        <w:gridCol w:w="109"/>
        <w:gridCol w:w="196"/>
        <w:gridCol w:w="541"/>
        <w:gridCol w:w="109"/>
        <w:gridCol w:w="109"/>
        <w:gridCol w:w="109"/>
        <w:gridCol w:w="109"/>
        <w:gridCol w:w="196"/>
        <w:gridCol w:w="541"/>
        <w:gridCol w:w="109"/>
        <w:gridCol w:w="109"/>
        <w:gridCol w:w="109"/>
        <w:gridCol w:w="109"/>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per-share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services, maintenance, rentals and 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development and 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administrative and general expenses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Non-financing interest expense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and Expenses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Loss before Income Taxes</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stock dividends,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Loss per Share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(1)Referred to as "Pre-tax (loss)" throughout the remainder of this document. </w:t>
      </w:r>
    </w:p>
    <w:p>
      <w:pPr>
        <w:pStyle w:val="TextBody"/>
        <w:bidi w:val="0"/>
        <w:spacing w:before="0" w:after="0"/>
        <w:jc w:val="left"/>
        <w:rPr/>
      </w:pPr>
      <w:r>
        <w:rPr/>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STATEMENTS OF COMPREHENSIVE LOSS (UNAUDITED)</w:t>
      </w:r>
    </w:p>
    <w:tbl>
      <w:tblPr>
        <w:tblW w:w="6052" w:type="dxa"/>
        <w:jc w:val="left"/>
        <w:tblInd w:w="0" w:type="dxa"/>
        <w:tblLayout w:type="fixed"/>
        <w:tblCellMar>
          <w:top w:w="28" w:type="dxa"/>
          <w:left w:w="28" w:type="dxa"/>
          <w:bottom w:w="28" w:type="dxa"/>
          <w:right w:w="28" w:type="dxa"/>
        </w:tblCellMar>
      </w:tblPr>
      <w:tblGrid>
        <w:gridCol w:w="1234"/>
        <w:gridCol w:w="1079"/>
        <w:gridCol w:w="1092"/>
        <w:gridCol w:w="109"/>
        <w:gridCol w:w="109"/>
        <w:gridCol w:w="109"/>
        <w:gridCol w:w="196"/>
        <w:gridCol w:w="496"/>
        <w:gridCol w:w="109"/>
        <w:gridCol w:w="109"/>
        <w:gridCol w:w="109"/>
        <w:gridCol w:w="109"/>
        <w:gridCol w:w="196"/>
        <w:gridCol w:w="406"/>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(Loss) Income,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defined benefit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(Loss) Income,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Loss,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0"/>
        <w:jc w:val="left"/>
        <w:rPr>
          <w:rFonts w:ascii="Arial;sans-serif" w:hAnsi="Arial;sans-serif"/>
          <w:b/>
          <w:color w:val="DA2031"/>
          <w:sz w:val="20"/>
        </w:rPr>
      </w:pPr>
      <w:r>
        <w:rPr>
          <w:rFonts w:ascii="Arial;sans-serif" w:hAnsi="Arial;sans-serif"/>
          <w:b/>
          <w:color w:val="DA2031"/>
          <w:sz w:val="20"/>
        </w:rPr>
        <w:t>CONDENSED CONSOLIDATED BALANCE SHEETS (UNAUDITED)</w:t>
      </w:r>
    </w:p>
    <w:tbl>
      <w:tblPr>
        <w:tblW w:w="9891" w:type="dxa"/>
        <w:jc w:val="left"/>
        <w:tblInd w:w="0" w:type="dxa"/>
        <w:tblLayout w:type="fixed"/>
        <w:tblCellMar>
          <w:top w:w="28" w:type="dxa"/>
          <w:left w:w="28" w:type="dxa"/>
          <w:bottom w:w="28" w:type="dxa"/>
          <w:right w:w="28" w:type="dxa"/>
        </w:tblCellMar>
      </w:tblPr>
      <w:tblGrid>
        <w:gridCol w:w="2316"/>
        <w:gridCol w:w="2040"/>
        <w:gridCol w:w="2048"/>
        <w:gridCol w:w="109"/>
        <w:gridCol w:w="109"/>
        <w:gridCol w:w="109"/>
        <w:gridCol w:w="283"/>
        <w:gridCol w:w="804"/>
        <w:gridCol w:w="157"/>
        <w:gridCol w:w="109"/>
        <w:gridCol w:w="109"/>
        <w:gridCol w:w="109"/>
        <w:gridCol w:w="343"/>
        <w:gridCol w:w="976"/>
        <w:gridCol w:w="270"/>
      </w:tblGrid>
      <w:tr>
        <w:trPr/>
        <w:tc>
          <w:tcPr>
            <w:tcW w:w="231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640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 of allowance of $73 and $73, respectively)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portion of finance receivables (net of allowance of $3 and $3,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receivables,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receivables due after one year (net of allowance of $42 and $42, respectively)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on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benefit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medical benefits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9,373 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9,150 </w:t>
            </w:r>
          </w:p>
        </w:tc>
        <w:tc>
          <w:tcPr>
            <w:tcW w:w="27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2,444 </w:t>
            </w:r>
          </w:p>
        </w:tc>
        <w:tc>
          <w:tcPr>
            <w:tcW w:w="2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Holdings shareholders’ equity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27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27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Shares of Common Stock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60" w:after="283"/>
        <w:jc w:val="left"/>
        <w:rPr>
          <w:rFonts w:ascii="Arial;sans-serif" w:hAnsi="Arial;sans-serif"/>
          <w:b/>
          <w:color w:val="DA2031"/>
          <w:sz w:val="20"/>
        </w:rPr>
      </w:pPr>
      <w:r>
        <w:rPr>
          <w:rFonts w:ascii="Arial;sans-serif" w:hAnsi="Arial;sans-serif"/>
          <w:b/>
          <w:color w:val="DA2031"/>
          <w:sz w:val="20"/>
        </w:rPr>
        <w:t>XEROX HOLDINGS CORPORATION</w:t>
      </w:r>
    </w:p>
    <w:p>
      <w:pPr>
        <w:pStyle w:val="TextBody"/>
        <w:bidi w:val="0"/>
        <w:spacing w:lineRule="auto" w:line="288" w:before="0" w:after="180"/>
        <w:jc w:val="left"/>
        <w:rPr>
          <w:rFonts w:ascii="Arial;sans-serif" w:hAnsi="Arial;sans-serif"/>
          <w:b/>
          <w:color w:val="DA2031"/>
          <w:sz w:val="20"/>
        </w:rPr>
      </w:pPr>
      <w:r>
        <w:rPr>
          <w:rFonts w:ascii="Arial;sans-serif" w:hAnsi="Arial;sans-serif"/>
          <w:b/>
          <w:color w:val="DA2031"/>
          <w:sz w:val="20"/>
        </w:rPr>
        <w:t>CONDENSED CONSOLIDATED STATEMENTS OF CASH FLOWS (UNAUDITED)</w:t>
      </w:r>
    </w:p>
    <w:tbl>
      <w:tblPr>
        <w:tblW w:w="8662" w:type="dxa"/>
        <w:jc w:val="left"/>
        <w:tblInd w:w="0" w:type="dxa"/>
        <w:tblLayout w:type="fixed"/>
        <w:tblCellMar>
          <w:top w:w="28" w:type="dxa"/>
          <w:left w:w="28" w:type="dxa"/>
          <w:bottom w:w="28" w:type="dxa"/>
          <w:right w:w="28" w:type="dxa"/>
        </w:tblCellMar>
      </w:tblPr>
      <w:tblGrid>
        <w:gridCol w:w="2175"/>
        <w:gridCol w:w="1899"/>
        <w:gridCol w:w="1926"/>
        <w:gridCol w:w="109"/>
        <w:gridCol w:w="109"/>
        <w:gridCol w:w="109"/>
        <w:gridCol w:w="196"/>
        <w:gridCol w:w="496"/>
        <w:gridCol w:w="109"/>
        <w:gridCol w:w="109"/>
        <w:gridCol w:w="109"/>
        <w:gridCol w:w="109"/>
        <w:gridCol w:w="196"/>
        <w:gridCol w:w="421"/>
        <w:gridCol w:w="109"/>
        <w:gridCol w:w="109"/>
        <w:gridCol w:w="109"/>
        <w:gridCol w:w="109"/>
        <w:gridCol w:w="154"/>
      </w:tblGrid>
      <w:tr>
        <w:trPr/>
        <w:tc>
          <w:tcPr>
            <w:tcW w:w="217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Gain on early extinguishment of debt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gain on sales of businesses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asset impairment charges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to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receivable and billed portion of finance receivables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equipment on operating leases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other current and long-term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accrued compensation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other current and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equipment and software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Proceeds from sales of businesses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net of cash acquired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(payments) on debt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56" w:before="0" w:after="120"/>
        <w:jc w:val="left"/>
        <w:rPr>
          <w:rFonts w:ascii="Arial;sans-serif" w:hAnsi="Arial;sans-serif"/>
          <w:b/>
          <w:color w:val="DA2031"/>
          <w:sz w:val="22"/>
        </w:rPr>
      </w:pPr>
      <w:r>
        <w:rPr>
          <w:rFonts w:ascii="Arial;sans-serif" w:hAnsi="Arial;sans-serif"/>
          <w:b/>
          <w:color w:val="DA2031"/>
          <w:sz w:val="22"/>
        </w:rPr>
        <w:t>First Quarter 2026 Overview</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 xml:space="preserve">In the first quarter of 2026, overall market trends improved compared to 2025, when demand was affected by DOGE-related spending reductions, tariff uncertainty, and the government shutdown. The February 2026 Supreme Court ruling on tariffs is expected to have a net positive impact on Xerox’s cost structure. However, those benefits are expected to be slightly more than offset by higher memory prices, and oil prices. To date, none of these factors have impacted overall demand, apart from certain international markets with exposure to the Middle East conflict. </w:t>
      </w:r>
    </w:p>
    <w:p>
      <w:pPr>
        <w:pStyle w:val="TextBody"/>
        <w:bidi w:val="0"/>
        <w:spacing w:lineRule="auto" w:line="268" w:before="120" w:after="283"/>
        <w:jc w:val="both"/>
        <w:rPr/>
      </w:pPr>
      <w:r>
        <w:rPr>
          <w:rFonts w:ascii="Arial;sans-serif" w:hAnsi="Arial;sans-serif"/>
          <w:b w:val="false"/>
          <w:color w:val="000000"/>
          <w:sz w:val="20"/>
        </w:rPr>
        <w:t>First quarter 2026 reflects the benefits of the Lexmark acquisition and Xerox’s Transformation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efforts. These gains are complemented by a more unified go-to-market model, increasing partner validation, and strategic initiatives to enhance long-term profitability, positioning the company for sustained operational and financial improvements. </w:t>
      </w:r>
    </w:p>
    <w:p>
      <w:pPr>
        <w:pStyle w:val="TextBody"/>
        <w:bidi w:val="0"/>
        <w:spacing w:lineRule="auto" w:line="268" w:before="120" w:after="283"/>
        <w:jc w:val="both"/>
        <w:rPr/>
      </w:pPr>
      <w:r>
        <w:rPr>
          <w:rFonts w:ascii="Arial;sans-serif" w:hAnsi="Arial;sans-serif"/>
          <w:b w:val="false"/>
          <w:color w:val="000000"/>
          <w:sz w:val="20"/>
        </w:rPr>
        <w:t>Equipment sales of $378 million in the first quarter 2026 increased 33.1% in actual currency and 30.7% in constant currency</w:t>
      </w:r>
      <w:r>
        <w:rPr>
          <w:rFonts w:ascii="Arial;sans-serif" w:hAnsi="Arial;sans-serif"/>
          <w:b w:val="false"/>
          <w:color w:val="000000"/>
          <w:sz w:val="13"/>
        </w:rPr>
        <w:t>2</w:t>
      </w:r>
      <w:r>
        <w:rPr>
          <w:rFonts w:ascii="Arial;sans-serif" w:hAnsi="Arial;sans-serif"/>
          <w:b w:val="false"/>
          <w:color w:val="000000"/>
          <w:sz w:val="20"/>
        </w:rPr>
        <w:t>, compared to the first quarter 2025, and included a 38.0-percentage point benefit from the Lexmark acquisition. Total equipment installations increased 98.0%, including the impact of the Lexmark acquisition, partially offset by declines in legacy Xerox installations, primarily in the entry-and mid-range color equipment categories. Excluding the Lexmark acquisition, equipment sales declined 4.9% in actual currency due to lower installations, partially offset by entry market lead generation initiatives. On a pro forma</w:t>
      </w:r>
      <w:r>
        <w:rPr>
          <w:rFonts w:ascii="Arial;sans-serif" w:hAnsi="Arial;sans-serif"/>
          <w:b w:val="false"/>
          <w:color w:val="000000"/>
          <w:sz w:val="13"/>
        </w:rPr>
        <w:t xml:space="preserve">3 </w:t>
      </w:r>
      <w:r>
        <w:rPr>
          <w:rFonts w:ascii="Arial;sans-serif" w:hAnsi="Arial;sans-serif"/>
          <w:b w:val="false"/>
          <w:color w:val="000000"/>
          <w:sz w:val="20"/>
        </w:rPr>
        <w:t>basis, first quarter 2026 equipment sales revenue declined 2.3%, primarily reflecting the impacts noted above, partially offset by modest growth from Lexmark.</w:t>
      </w:r>
    </w:p>
    <w:p>
      <w:pPr>
        <w:pStyle w:val="TextBody"/>
        <w:bidi w:val="0"/>
        <w:spacing w:lineRule="auto" w:line="268" w:before="120" w:after="283"/>
        <w:jc w:val="both"/>
        <w:rPr/>
      </w:pPr>
      <w:r>
        <w:rPr>
          <w:rFonts w:ascii="Arial;sans-serif" w:hAnsi="Arial;sans-serif"/>
          <w:b w:val="false"/>
          <w:color w:val="000000"/>
          <w:sz w:val="20"/>
        </w:rPr>
        <w:t>Post sale revenue of $1,314 million in the first quarter 2026 increased 30.1% in actual currency and 26.5% in constant currency</w:t>
      </w:r>
      <w:r>
        <w:rPr>
          <w:rFonts w:ascii="Arial;sans-serif" w:hAnsi="Arial;sans-serif"/>
          <w:b w:val="false"/>
          <w:color w:val="000000"/>
          <w:sz w:val="13"/>
        </w:rPr>
        <w:t>2</w:t>
      </w:r>
      <w:r>
        <w:rPr>
          <w:rFonts w:ascii="Arial;sans-serif" w:hAnsi="Arial;sans-serif"/>
          <w:b w:val="false"/>
          <w:color w:val="000000"/>
          <w:sz w:val="20"/>
        </w:rPr>
        <w:t>, compared to the first quarter 2025, and included a 35.3-percentage point benefit from the Lexmark acquisition. Excluding the Lexmark acquisition, post sale revenue declined 5.2% in actual currency primarily reflecting lower equipment service revenue and managed print services. Post sale revenue was also adversely impacted by intentional reductions in non-strategic revenue, including the exit of certain production print manufacturing operations in prior years, as well as a decline in financing revenue reflecting the continued sales of finance receivables to our various funding affiliates and lower originations. On a pro forma</w:t>
      </w:r>
      <w:r>
        <w:rPr>
          <w:rFonts w:ascii="Arial;sans-serif" w:hAnsi="Arial;sans-serif"/>
          <w:b w:val="false"/>
          <w:color w:val="000000"/>
          <w:sz w:val="13"/>
        </w:rPr>
        <w:t xml:space="preserve">3 </w:t>
      </w:r>
      <w:r>
        <w:rPr>
          <w:rFonts w:ascii="Arial;sans-serif" w:hAnsi="Arial;sans-serif"/>
          <w:b w:val="false"/>
          <w:color w:val="000000"/>
          <w:sz w:val="20"/>
        </w:rPr>
        <w:t>basis, first quarter 2026 revenue decreased 3.8%, primarily reflecting the impacts noted above.</w:t>
      </w:r>
    </w:p>
    <w:p>
      <w:pPr>
        <w:pStyle w:val="TextBody"/>
        <w:bidi w:val="0"/>
        <w:spacing w:lineRule="auto" w:line="268" w:before="120" w:after="283"/>
        <w:jc w:val="both"/>
        <w:rPr/>
      </w:pPr>
      <w:r>
        <w:rPr>
          <w:rFonts w:ascii="Arial;sans-serif" w:hAnsi="Arial;sans-serif"/>
          <w:b w:val="false"/>
          <w:color w:val="000000"/>
          <w:sz w:val="20"/>
        </w:rPr>
        <w:t>IT Solutions revenue of $154 million in the first quarter 2026 declined 5.5% in actual currency and 6.2% in constant currency</w:t>
      </w:r>
      <w:r>
        <w:rPr>
          <w:rFonts w:ascii="Arial;sans-serif" w:hAnsi="Arial;sans-serif"/>
          <w:b w:val="false"/>
          <w:color w:val="000000"/>
          <w:sz w:val="13"/>
        </w:rPr>
        <w:t>2</w:t>
      </w:r>
      <w:r>
        <w:rPr>
          <w:rFonts w:ascii="Arial;sans-serif" w:hAnsi="Arial;sans-serif"/>
          <w:b w:val="false"/>
          <w:color w:val="000000"/>
          <w:sz w:val="20"/>
        </w:rPr>
        <w:t>, compared to the first quarter 2025. The decline was primarily driven by a mix of revenue subject to net classifications, revenue deferrals and impacts from component cost increases.</w:t>
      </w:r>
    </w:p>
    <w:p>
      <w:pPr>
        <w:pStyle w:val="TextBody"/>
        <w:bidi w:val="0"/>
        <w:spacing w:lineRule="auto" w:line="268" w:before="120" w:after="283"/>
        <w:jc w:val="both"/>
        <w:rPr/>
      </w:pPr>
      <w:r>
        <w:rPr>
          <w:rFonts w:ascii="Arial;sans-serif" w:hAnsi="Arial;sans-serif"/>
          <w:b w:val="false"/>
          <w:color w:val="000000"/>
          <w:sz w:val="20"/>
        </w:rPr>
        <w:t>Pre-tax (loss) of $(73) million for the first quarter 2026 increased by $6 million compared to pre-tax (loss) of $(67) million in the first quarter 2025. Pre-tax (loss) margin of (4.0)% improved 0.6-percentage points compared to first quarter 2025 pre-tax (loss) margin of (4.6)% and included a 2.3-percentage point benefit from the Lexmark acquisition. The improvement in the first quarter 2026 pre-tax (loss) margin was primarily due to higher revenue and gross profit, including Transformation-related</w:t>
      </w:r>
      <w:r>
        <w:rPr>
          <w:rFonts w:ascii="Arial;sans-serif" w:hAnsi="Arial;sans-serif"/>
          <w:b w:val="false"/>
          <w:color w:val="000000"/>
          <w:sz w:val="13"/>
        </w:rPr>
        <w:t xml:space="preserve">1 </w:t>
      </w:r>
      <w:r>
        <w:rPr>
          <w:rFonts w:ascii="Arial;sans-serif" w:hAnsi="Arial;sans-serif"/>
          <w:b w:val="false"/>
          <w:color w:val="000000"/>
          <w:sz w:val="20"/>
        </w:rPr>
        <w:t>cost reductions, productivity actions, and lower Other (income) expenses, net. The decrease in Other (income) expenses, net reflects a gain on the early repayment of a portion of the 2028 Senior Unsecured Notes in the first quarter 2026, and the absence of commitment fees incurred in the first quarter 2025 related to borrowings in support of the Lexmark acquisition. These benefits were partially offset by higher Restructuring and related costs, net and higher Amortization of intangible assets, SAG and RD&amp;E, driven by the Lexmark acquisition. On a pro forma</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basis first quarter 2026 pre-tax (loss) margin improved by 1.7-percentage points primarily reflecting the impacts noted above.</w:t>
      </w:r>
    </w:p>
    <w:p>
      <w:pPr>
        <w:pStyle w:val="TextBody"/>
        <w:bidi w:val="0"/>
        <w:spacing w:lineRule="auto" w:line="268" w:before="120" w:after="283"/>
        <w:jc w:val="both"/>
        <w:rPr/>
      </w:pPr>
      <w:r>
        <w:rPr>
          <w:rFonts w:ascii="Arial;sans-serif" w:hAnsi="Arial;sans-serif"/>
          <w:b w:val="false"/>
          <w:color w:val="000000"/>
          <w:sz w:val="20"/>
        </w:rPr>
        <w:t>First quarter 2026 adjusted</w:t>
      </w:r>
      <w:r>
        <w:rPr>
          <w:rFonts w:ascii="Arial;sans-serif" w:hAnsi="Arial;sans-serif"/>
          <w:b w:val="false"/>
          <w:color w:val="000000"/>
          <w:sz w:val="13"/>
        </w:rPr>
        <w:t xml:space="preserve">2 </w:t>
      </w:r>
      <w:r>
        <w:rPr>
          <w:rFonts w:ascii="Arial;sans-serif" w:hAnsi="Arial;sans-serif"/>
          <w:b w:val="false"/>
          <w:color w:val="000000"/>
          <w:sz w:val="20"/>
        </w:rPr>
        <w:t>operating income margin of 3.9% increased by 2.4-percentage points compared to first quarter 2025, and included an approximate 3.0-percentage point benefit from the Lexmark acquisition. The increase primarily reflects productivity and cost savings related to Transformation actions, and the benefit of the Lexmark acquisition. These benefits were partially offset by lower legacy Xerox revenue, as well as reduced gross profit, reflecting product cost increases and an unfavorable revenue mix, including declines in managed print services and equipment service revenue. On a pro forma</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basis first quarter 2026 adjusted</w:t>
      </w:r>
      <w:r>
        <w:rPr>
          <w:rFonts w:ascii="Arial;sans-serif" w:hAnsi="Arial;sans-serif"/>
          <w:b w:val="false"/>
          <w:color w:val="000000"/>
          <w:sz w:val="13"/>
        </w:rPr>
        <w:t xml:space="preserve">2 </w:t>
      </w:r>
      <w:r>
        <w:rPr>
          <w:rFonts w:ascii="Arial;sans-serif" w:hAnsi="Arial;sans-serif"/>
          <w:b w:val="false"/>
          <w:color w:val="000000"/>
          <w:sz w:val="20"/>
        </w:rPr>
        <w:t>operating margin increased by 0.2-percentage points primarily reflecting the impacts noted above, as well as the impact of the Lexmark acquisition.</w:t>
      </w:r>
    </w:p>
    <w:p>
      <w:pPr>
        <w:pStyle w:val="TextBody"/>
        <w:bidi w:val="0"/>
        <w:spacing w:lineRule="auto" w:line="268" w:before="120" w:after="283"/>
        <w:jc w:val="both"/>
        <w:rPr/>
      </w:pPr>
      <w:r>
        <w:rPr>
          <w:rFonts w:ascii="Arial;sans-serif" w:hAnsi="Arial;sans-serif"/>
          <w:b w:val="false"/>
          <w:color w:val="000000"/>
          <w:sz w:val="20"/>
        </w:rPr>
        <w:t>For full-year 2026, we continue to expect revenue above $7.5 billion in constant currency</w:t>
      </w:r>
      <w:r>
        <w:rPr>
          <w:rFonts w:ascii="Arial;sans-serif" w:hAnsi="Arial;sans-serif"/>
          <w:b w:val="false"/>
          <w:color w:val="000000"/>
          <w:sz w:val="13"/>
        </w:rPr>
        <w:t>2</w:t>
      </w:r>
      <w:r>
        <w:rPr>
          <w:rFonts w:ascii="Arial;sans-serif" w:hAnsi="Arial;sans-serif"/>
          <w:b w:val="false"/>
          <w:color w:val="000000"/>
          <w:sz w:val="20"/>
        </w:rPr>
        <w:t>, adjusted</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operating income in the range of $450 million to $500 million, and free cash flow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approximately $250 million. Free cash flow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guidance reflects higher interest expense related to funding from the Joint Venture Financing arrangement entered into with TPG in the first quarter of 2026, partially offset by a reduction in capital expenditures and improvements in working capital and other items. The remainder of our guidance assumptions remain unchanged.</w:t>
      </w:r>
    </w:p>
    <w:p>
      <w:pPr>
        <w:pStyle w:val="TextBody"/>
        <w:bidi w:val="0"/>
        <w:spacing w:lineRule="auto" w:line="268" w:before="120" w:after="283"/>
        <w:ind w:left="0" w:right="0" w:hanging="360"/>
        <w:jc w:val="both"/>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(1)In the first quarter of 2026, Xerox Holdings Corporation renamed “Reinvention-related costs” to “Transformation-related costs.” This change in terminology did not affect the nature of the costs.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(2)Refer to the "Non-GAAP Financial Measures" section for an explanation of the non-GAAP financial measure.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(3)Refer to the "Pro Forma Basis" section for an explanation of this measure. Reflects the inclusion of Lexmark's estimated results from January 1, 2025 through March 31, 2025. Lexmark's actual results are included in Xerox's reported results beginning on July 1, 2025, the effective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 xml:space="preserve">Financial Review </w:t>
      </w:r>
    </w:p>
    <w:p>
      <w:pPr>
        <w:pStyle w:val="TextBody"/>
        <w:bidi w:val="0"/>
        <w:spacing w:lineRule="auto" w:line="288" w:before="60" w:after="283"/>
        <w:jc w:val="left"/>
        <w:rPr>
          <w:rFonts w:ascii="Arial;sans-serif" w:hAnsi="Arial;sans-serif"/>
          <w:b/>
          <w:color w:val="DA2031"/>
          <w:sz w:val="22"/>
        </w:rPr>
      </w:pPr>
      <w:r>
        <w:rPr>
          <w:rFonts w:ascii="Arial;sans-serif" w:hAnsi="Arial;sans-serif"/>
          <w:b/>
          <w:color w:val="DA2031"/>
          <w:sz w:val="22"/>
        </w:rPr>
        <w:t>Revenues</w:t>
      </w:r>
    </w:p>
    <w:tbl>
      <w:tblPr>
        <w:tblW w:w="10205" w:type="dxa"/>
        <w:jc w:val="left"/>
        <w:tblInd w:w="0" w:type="dxa"/>
        <w:tblLayout w:type="fixed"/>
        <w:tblCellMar>
          <w:top w:w="28" w:type="dxa"/>
          <w:left w:w="28" w:type="dxa"/>
          <w:bottom w:w="28" w:type="dxa"/>
          <w:right w:w="28" w:type="dxa"/>
        </w:tblCellMar>
      </w:tblPr>
      <w:tblGrid>
        <w:gridCol w:w="793"/>
        <w:gridCol w:w="589"/>
        <w:gridCol w:w="600"/>
        <w:gridCol w:w="109"/>
        <w:gridCol w:w="109"/>
        <w:gridCol w:w="109"/>
        <w:gridCol w:w="196"/>
        <w:gridCol w:w="556"/>
        <w:gridCol w:w="109"/>
        <w:gridCol w:w="109"/>
        <w:gridCol w:w="109"/>
        <w:gridCol w:w="109"/>
        <w:gridCol w:w="196"/>
        <w:gridCol w:w="556"/>
        <w:gridCol w:w="109"/>
        <w:gridCol w:w="109"/>
        <w:gridCol w:w="109"/>
        <w:gridCol w:w="109"/>
        <w:gridCol w:w="226"/>
        <w:gridCol w:w="226"/>
        <w:gridCol w:w="228"/>
        <w:gridCol w:w="109"/>
        <w:gridCol w:w="109"/>
        <w:gridCol w:w="109"/>
        <w:gridCol w:w="327"/>
        <w:gridCol w:w="327"/>
        <w:gridCol w:w="329"/>
        <w:gridCol w:w="109"/>
        <w:gridCol w:w="109"/>
        <w:gridCol w:w="109"/>
        <w:gridCol w:w="424"/>
        <w:gridCol w:w="424"/>
        <w:gridCol w:w="425"/>
        <w:gridCol w:w="109"/>
        <w:gridCol w:w="109"/>
        <w:gridCol w:w="109"/>
        <w:gridCol w:w="171"/>
        <w:gridCol w:w="171"/>
        <w:gridCol w:w="171"/>
        <w:gridCol w:w="169"/>
        <w:gridCol w:w="169"/>
        <w:gridCol w:w="169"/>
        <w:gridCol w:w="169"/>
        <w:gridCol w:w="169"/>
        <w:gridCol w:w="245"/>
      </w:tblGrid>
      <w:tr>
        <w:trPr/>
        <w:tc>
          <w:tcPr>
            <w:tcW w:w="79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Total Revenue</w:t>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82"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revenue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Solutions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Condensed Consolidated Statements of Loss:</w:t>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42424"/>
                <w:sz w:val="16"/>
              </w:rPr>
              <w:t>Supplies, paper and other sales</w:t>
            </w:r>
            <w:r>
              <w:rPr>
                <w:rFonts w:ascii="Arial;sans-serif" w:hAnsi="Arial;sans-serif"/>
                <w:b w:val="false"/>
                <w:color w:val="242424"/>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Products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Services, maintenance, rentals and other</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242424"/>
                <w:sz w:val="16"/>
              </w:rPr>
              <w:t>Xerox Financial Services</w:t>
            </w:r>
            <w:r>
              <w:rPr>
                <w:rFonts w:ascii="Arial;sans-serif" w:hAnsi="Arial;sans-serif"/>
                <w:b w:val="false"/>
                <w:color w:val="242424"/>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Services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u w:val="single"/>
              </w:rPr>
              <w:t>Segments</w:t>
            </w:r>
            <w:r>
              <w:rPr>
                <w:rFonts w:ascii="Arial;sans-serif" w:hAnsi="Arial;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w:t>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198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Intersegment elimination </w:t>
            </w:r>
            <w:r>
              <w:rPr>
                <w:rFonts w:ascii="Arial;sans-serif" w:hAnsi="Arial;sans-serif"/>
                <w:b w:val="false"/>
                <w:color w:val="000000"/>
                <w:sz w:val="10"/>
              </w:rPr>
              <w:t>(5)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5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60" w:after="283"/>
        <w:jc w:val="both"/>
        <w:rPr>
          <w:rFonts w:ascii="Arial;sans-serif" w:hAnsi="Arial;sans-serif"/>
          <w:b w:val="false"/>
          <w:i/>
          <w:color w:val="000000"/>
          <w:sz w:val="16"/>
        </w:rPr>
      </w:pPr>
      <w:r>
        <w:rPr>
          <w:rFonts w:ascii="Arial;sans-serif" w:hAnsi="Arial;sans-serif"/>
          <w:b w:val="false"/>
          <w:i/>
          <w:color w:val="000000"/>
          <w:sz w:val="16"/>
        </w:rPr>
        <w:t>CC - See "Constant Currency" in the Non-GAAP Financial Measures section for a description of constant currency.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March 31, 2025. Lexmark's actual results are included in Xerox's reported results beginning on July 1, 2025, the effective date of the acquisition. ITsavvy results for the full first quarter of 2026 and 2025 are included in our consolidated results. Accordingly, there are no pro forma impacts related to the IT Solutions segment.</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(2)Post sale revenue includes Supplies, paper and other sales, Service, maintenance, rentals and other, and Xerox Financial Services. Refer to Reportable Segments - Print and Other, for further information.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(3)IT Solutions includes IT Products and IT Services provided by the IT Solutions segment. Refer to Reportable Segments - IT Solutions, for further information.</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(4)Refer to Appendix II, Reportable Segments, for definitions.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(5)Primarily reflects IT hardware, software solutions and services sold by the IT Solutions segment to the Print and Other segment.</w:t>
      </w:r>
    </w:p>
    <w:p>
      <w:pPr>
        <w:pStyle w:val="TextBody"/>
        <w:bidi w:val="0"/>
        <w:spacing w:before="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76" w:before="0" w:after="0"/>
        <w:jc w:val="left"/>
        <w:rPr>
          <w:rFonts w:ascii="Arial;sans-serif" w:hAnsi="Arial;sans-serif"/>
          <w:b/>
          <w:color w:val="DA2031"/>
          <w:sz w:val="22"/>
        </w:rPr>
      </w:pPr>
      <w:r>
        <w:rPr>
          <w:rFonts w:ascii="Arial;sans-serif" w:hAnsi="Arial;sans-serif"/>
          <w:b/>
          <w:color w:val="DA2031"/>
          <w:sz w:val="22"/>
        </w:rPr>
        <w:t xml:space="preserve">Costs, Expenses and Other Income </w:t>
      </w:r>
    </w:p>
    <w:p>
      <w:pPr>
        <w:pStyle w:val="TextBody"/>
        <w:bidi w:val="0"/>
        <w:spacing w:lineRule="auto" w:line="288" w:before="120" w:after="283"/>
        <w:jc w:val="left"/>
        <w:rPr>
          <w:rFonts w:ascii="Arial;sans-serif" w:hAnsi="Arial;sans-serif"/>
          <w:b/>
          <w:color w:val="DA2031"/>
          <w:sz w:val="22"/>
        </w:rPr>
      </w:pPr>
      <w:r>
        <w:rPr>
          <w:rFonts w:ascii="Arial;sans-serif" w:hAnsi="Arial;sans-serif"/>
          <w:b/>
          <w:color w:val="DA2031"/>
          <w:sz w:val="22"/>
        </w:rPr>
        <w:t xml:space="preserve">Summary of Key Financial Ratios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summary of key financial ratios used to assess our performance:</w:t>
      </w:r>
    </w:p>
    <w:tbl>
      <w:tblPr>
        <w:tblW w:w="8919" w:type="dxa"/>
        <w:jc w:val="left"/>
        <w:tblInd w:w="0" w:type="dxa"/>
        <w:tblLayout w:type="fixed"/>
        <w:tblCellMar>
          <w:top w:w="28" w:type="dxa"/>
          <w:left w:w="28" w:type="dxa"/>
          <w:bottom w:w="28" w:type="dxa"/>
          <w:right w:w="28" w:type="dxa"/>
        </w:tblCellMar>
      </w:tblPr>
      <w:tblGrid>
        <w:gridCol w:w="1008"/>
        <w:gridCol w:w="880"/>
        <w:gridCol w:w="886"/>
        <w:gridCol w:w="109"/>
        <w:gridCol w:w="109"/>
        <w:gridCol w:w="109"/>
        <w:gridCol w:w="196"/>
        <w:gridCol w:w="421"/>
        <w:gridCol w:w="256"/>
        <w:gridCol w:w="109"/>
        <w:gridCol w:w="109"/>
        <w:gridCol w:w="109"/>
        <w:gridCol w:w="196"/>
        <w:gridCol w:w="421"/>
        <w:gridCol w:w="256"/>
        <w:gridCol w:w="109"/>
        <w:gridCol w:w="109"/>
        <w:gridCol w:w="109"/>
        <w:gridCol w:w="264"/>
        <w:gridCol w:w="264"/>
        <w:gridCol w:w="266"/>
        <w:gridCol w:w="125"/>
        <w:gridCol w:w="125"/>
        <w:gridCol w:w="126"/>
        <w:gridCol w:w="109"/>
        <w:gridCol w:w="354"/>
        <w:gridCol w:w="354"/>
        <w:gridCol w:w="356"/>
        <w:gridCol w:w="125"/>
        <w:gridCol w:w="125"/>
        <w:gridCol w:w="126"/>
        <w:gridCol w:w="109"/>
        <w:gridCol w:w="109"/>
        <w:gridCol w:w="10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B/(W)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r>
              <w:rPr>
                <w:color w:val="000000"/>
              </w:rPr>
              <w:t xml:space="preserve">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B/(W)</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25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5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RD&amp;E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SAG</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Gross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 sale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RD&amp;E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SAG as a % of Revenue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Pre-tax (Loss)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Pre-tax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Operating Income Margin</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March 31, 2025. Lexmark's actual results are included in Xerox's reported results beginning on July 1, 2025, the effective date of the acquisition.</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(2)Refer to the "Non-GAAP Financial Measures" section for an explanation of the non-GAAP financial measure. </w:t>
      </w:r>
    </w:p>
    <w:p>
      <w:pPr>
        <w:pStyle w:val="TextBody"/>
        <w:bidi w:val="0"/>
        <w:spacing w:before="60" w:after="283"/>
        <w:jc w:val="both"/>
        <w:rPr/>
      </w:pPr>
      <w:r>
        <w:rPr/>
      </w:r>
    </w:p>
    <w:p>
      <w:pPr>
        <w:pStyle w:val="TextBody"/>
        <w:bidi w:val="0"/>
        <w:spacing w:lineRule="auto" w:line="268" w:before="300" w:after="283"/>
        <w:ind w:left="0" w:right="0" w:hanging="360"/>
        <w:jc w:val="both"/>
        <w:rPr>
          <w:rFonts w:ascii="Arial;sans-serif" w:hAnsi="Arial;sans-serif"/>
          <w:b/>
          <w:color w:val="DA2031"/>
          <w:sz w:val="20"/>
        </w:rPr>
      </w:pPr>
      <w:r>
        <w:rPr>
          <w:rFonts w:ascii="Arial;sans-serif" w:hAnsi="Arial;sans-serif"/>
          <w:b/>
          <w:color w:val="DA2031"/>
          <w:sz w:val="20"/>
        </w:rPr>
        <w:t xml:space="preserve">Other (Income) Expenses, Net </w:t>
      </w:r>
    </w:p>
    <w:tbl>
      <w:tblPr>
        <w:tblW w:w="4962" w:type="dxa"/>
        <w:jc w:val="left"/>
        <w:tblInd w:w="0" w:type="dxa"/>
        <w:tblLayout w:type="fixed"/>
        <w:tblCellMar>
          <w:top w:w="28" w:type="dxa"/>
          <w:left w:w="28" w:type="dxa"/>
          <w:bottom w:w="28" w:type="dxa"/>
          <w:right w:w="28" w:type="dxa"/>
        </w:tblCellMar>
      </w:tblPr>
      <w:tblGrid>
        <w:gridCol w:w="1206"/>
        <w:gridCol w:w="816"/>
        <w:gridCol w:w="783"/>
        <w:gridCol w:w="109"/>
        <w:gridCol w:w="109"/>
        <w:gridCol w:w="109"/>
        <w:gridCol w:w="196"/>
        <w:gridCol w:w="407"/>
        <w:gridCol w:w="109"/>
        <w:gridCol w:w="109"/>
        <w:gridCol w:w="109"/>
        <w:gridCol w:w="109"/>
        <w:gridCol w:w="196"/>
        <w:gridCol w:w="332"/>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7"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losses,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 fee expense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(income) expenses, net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7"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2"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76" w:before="240" w:after="283"/>
        <w:jc w:val="both"/>
        <w:rPr>
          <w:rFonts w:ascii="Arial;sans-serif" w:hAnsi="Arial;sans-serif"/>
          <w:b/>
          <w:color w:val="DA2031"/>
          <w:sz w:val="22"/>
        </w:rPr>
      </w:pPr>
      <w:r>
        <w:rPr>
          <w:rFonts w:ascii="Arial;sans-serif" w:hAnsi="Arial;sans-serif"/>
          <w:b/>
          <w:color w:val="DA2031"/>
          <w:sz w:val="22"/>
        </w:rPr>
        <w:t>Reportable Segments</w:t>
      </w:r>
    </w:p>
    <w:p>
      <w:pPr>
        <w:pStyle w:val="TextBody"/>
        <w:bidi w:val="0"/>
        <w:spacing w:lineRule="auto" w:line="288" w:before="60" w:after="283"/>
        <w:jc w:val="left"/>
        <w:rPr/>
      </w:pPr>
      <w:r>
        <w:rPr>
          <w:rFonts w:ascii="Arial;sans-serif" w:hAnsi="Arial;sans-serif"/>
          <w:b w:val="false"/>
          <w:color w:val="000000"/>
          <w:sz w:val="20"/>
        </w:rPr>
        <w:t xml:space="preserve">Our business is organized to ensure we focus on efficiently managing operations while serving our customers and the markets in which we operate. We have two operating and reportable segments –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 xml:space="preserve">and </w:t>
      </w:r>
      <w:r>
        <w:rPr>
          <w:rFonts w:ascii="Arial;sans-serif" w:hAnsi="Arial;sans-serif"/>
          <w:b/>
          <w:color w:val="DA2031"/>
          <w:sz w:val="20"/>
        </w:rPr>
        <w:t>IT Solutions.</w:t>
      </w:r>
    </w:p>
    <w:p>
      <w:pPr>
        <w:pStyle w:val="TextBody"/>
        <w:bidi w:val="0"/>
        <w:spacing w:lineRule="auto" w:line="276" w:before="120" w:after="283"/>
        <w:jc w:val="both"/>
        <w:rPr>
          <w:rFonts w:ascii="Arial;sans-serif" w:hAnsi="Arial;sans-serif"/>
          <w:b/>
          <w:color w:val="DA2031"/>
          <w:sz w:val="22"/>
        </w:rPr>
      </w:pPr>
      <w:r>
        <w:rPr>
          <w:rFonts w:ascii="Arial;sans-serif" w:hAnsi="Arial;sans-serif"/>
          <w:b/>
          <w:color w:val="DA2031"/>
          <w:sz w:val="22"/>
        </w:rPr>
        <w:t xml:space="preserve">Segment Review </w:t>
      </w:r>
    </w:p>
    <w:tbl>
      <w:tblPr>
        <w:tblW w:w="10205" w:type="dxa"/>
        <w:jc w:val="left"/>
        <w:tblInd w:w="0" w:type="dxa"/>
        <w:tblLayout w:type="fixed"/>
        <w:tblCellMar>
          <w:top w:w="28" w:type="dxa"/>
          <w:left w:w="28" w:type="dxa"/>
          <w:bottom w:w="28" w:type="dxa"/>
          <w:right w:w="28" w:type="dxa"/>
        </w:tblCellMar>
      </w:tblPr>
      <w:tblGrid>
        <w:gridCol w:w="453"/>
        <w:gridCol w:w="397"/>
        <w:gridCol w:w="403"/>
        <w:gridCol w:w="109"/>
        <w:gridCol w:w="109"/>
        <w:gridCol w:w="109"/>
        <w:gridCol w:w="223"/>
        <w:gridCol w:w="633"/>
        <w:gridCol w:w="291"/>
        <w:gridCol w:w="109"/>
        <w:gridCol w:w="109"/>
        <w:gridCol w:w="109"/>
        <w:gridCol w:w="206"/>
        <w:gridCol w:w="444"/>
        <w:gridCol w:w="269"/>
        <w:gridCol w:w="109"/>
        <w:gridCol w:w="109"/>
        <w:gridCol w:w="109"/>
        <w:gridCol w:w="216"/>
        <w:gridCol w:w="615"/>
        <w:gridCol w:w="283"/>
        <w:gridCol w:w="109"/>
        <w:gridCol w:w="109"/>
        <w:gridCol w:w="109"/>
        <w:gridCol w:w="552"/>
        <w:gridCol w:w="722"/>
        <w:gridCol w:w="309"/>
        <w:gridCol w:w="109"/>
        <w:gridCol w:w="109"/>
        <w:gridCol w:w="109"/>
        <w:gridCol w:w="320"/>
        <w:gridCol w:w="665"/>
        <w:gridCol w:w="180"/>
        <w:gridCol w:w="109"/>
        <w:gridCol w:w="109"/>
        <w:gridCol w:w="109"/>
        <w:gridCol w:w="196"/>
        <w:gridCol w:w="556"/>
        <w:gridCol w:w="310"/>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Print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Segment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Intersegment Elimination</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Corporate Other</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w:t>
            </w:r>
          </w:p>
        </w:tc>
      </w:tr>
      <w:tr>
        <w:trPr/>
        <w:tc>
          <w:tcPr>
            <w:tcW w:w="125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1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1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2025 Pro Forma</w:t>
            </w:r>
            <w:r>
              <w:rPr>
                <w:rFonts w:ascii="Arial;sans-serif" w:hAnsi="Arial;sans-serif"/>
                <w:b w:val="false"/>
                <w:color w:val="000000"/>
                <w:sz w:val="10"/>
              </w:rPr>
              <w:t>(4)</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Segment Margin</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9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6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8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1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76" w:before="60" w:after="283"/>
        <w:jc w:val="both"/>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(1)Reflects primarily IT hardware, software solutions and services, sold by the IT Solutions segment to the Print and Other segment.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(2)Corporate Other reflects certain administrative and general expenses, which primarily relate to corporate functions, and are not allocated to either of our reportable segments.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(3)Segment margin is based on total revenue. IT Solutions segment margin is net of Intersegment Elimination.</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(4)Reflects the inclusion of Lexmark's estimated results from January 1, 2025 through March 31, 2025. Lexmark's actual results are included in Xerox's reported results beginning on July 1, 2025, the effective date of the acquisition. Refer to the "Pro Forma Basis" section for an explanation of this measure. ITsavvy results for the full first quarter of 2026 and 2025 are included in our consolidated results. Accordingly, there are no pro forma impacts related to the IT Solutions segment.</w:t>
      </w:r>
    </w:p>
    <w:p>
      <w:pPr>
        <w:pStyle w:val="TextBody"/>
        <w:bidi w:val="0"/>
        <w:spacing w:before="60" w:after="283"/>
        <w:jc w:val="both"/>
        <w:rPr/>
      </w:pPr>
      <w:r>
        <w:rPr/>
      </w:r>
    </w:p>
    <w:p>
      <w:pPr>
        <w:pStyle w:val="TextBody"/>
        <w:bidi w:val="0"/>
        <w:spacing w:lineRule="auto" w:line="276" w:before="0" w:after="0"/>
        <w:jc w:val="both"/>
        <w:rPr>
          <w:rFonts w:ascii="Arial;sans-serif" w:hAnsi="Arial;sans-serif"/>
          <w:b/>
          <w:color w:val="DA2031"/>
          <w:sz w:val="22"/>
        </w:rPr>
      </w:pPr>
      <w:r>
        <w:rPr>
          <w:rFonts w:ascii="Arial;sans-serif" w:hAnsi="Arial;sans-serif"/>
          <w:b/>
          <w:color w:val="DA2031"/>
          <w:sz w:val="22"/>
        </w:rPr>
        <w:t>Print and Other</w:t>
      </w:r>
    </w:p>
    <w:p>
      <w:pPr>
        <w:pStyle w:val="TextBody"/>
        <w:bidi w:val="0"/>
        <w:spacing w:lineRule="auto" w:line="268" w:before="40" w:after="283"/>
        <w:jc w:val="both"/>
        <w:rPr>
          <w:rFonts w:ascii="Arial;sans-serif" w:hAnsi="Arial;sans-serif"/>
          <w:b w:val="false"/>
          <w:color w:val="000000"/>
          <w:sz w:val="20"/>
        </w:rPr>
      </w:pPr>
      <w:r>
        <w:rPr>
          <w:rFonts w:ascii="Arial;sans-serif" w:hAnsi="Arial;sans-serif"/>
          <w:b w:val="false"/>
          <w:color w:val="000000"/>
          <w:sz w:val="20"/>
        </w:rPr>
        <w:t>The Print and Other segment includes the design, development and sale of document management systems, supplies, and services as well as associated financing and technology-related offerings, digital and print-related software products and services. This segment also includes our recent Lexmark Acquisition, and Xerox Financial Services. Refer to Appendix II, Reportable Segments, for definitions.</w:t>
      </w:r>
    </w:p>
    <w:p>
      <w:pPr>
        <w:pStyle w:val="TextBody"/>
        <w:bidi w:val="0"/>
        <w:spacing w:lineRule="auto" w:line="288" w:before="120" w:after="283"/>
        <w:jc w:val="both"/>
        <w:rPr>
          <w:rFonts w:ascii="Arial;sans-serif" w:hAnsi="Arial;sans-serif"/>
          <w:b/>
          <w:color w:val="DA2031"/>
          <w:sz w:val="22"/>
        </w:rPr>
      </w:pPr>
      <w:r>
        <w:rPr>
          <w:rFonts w:ascii="Arial;sans-serif" w:hAnsi="Arial;sans-serif"/>
          <w:b/>
          <w:color w:val="DA2031"/>
          <w:sz w:val="22"/>
        </w:rPr>
        <w:t xml:space="preserve">Revenue </w:t>
      </w:r>
    </w:p>
    <w:tbl>
      <w:tblPr>
        <w:tblW w:w="10205" w:type="dxa"/>
        <w:jc w:val="left"/>
        <w:tblInd w:w="0" w:type="dxa"/>
        <w:tblLayout w:type="fixed"/>
        <w:tblCellMar>
          <w:top w:w="28" w:type="dxa"/>
          <w:left w:w="28" w:type="dxa"/>
          <w:bottom w:w="28" w:type="dxa"/>
          <w:right w:w="28" w:type="dxa"/>
        </w:tblCellMar>
      </w:tblPr>
      <w:tblGrid>
        <w:gridCol w:w="1036"/>
        <w:gridCol w:w="903"/>
        <w:gridCol w:w="919"/>
        <w:gridCol w:w="109"/>
        <w:gridCol w:w="109"/>
        <w:gridCol w:w="109"/>
        <w:gridCol w:w="196"/>
        <w:gridCol w:w="556"/>
        <w:gridCol w:w="109"/>
        <w:gridCol w:w="109"/>
        <w:gridCol w:w="109"/>
        <w:gridCol w:w="109"/>
        <w:gridCol w:w="196"/>
        <w:gridCol w:w="556"/>
        <w:gridCol w:w="109"/>
        <w:gridCol w:w="109"/>
        <w:gridCol w:w="109"/>
        <w:gridCol w:w="109"/>
        <w:gridCol w:w="109"/>
        <w:gridCol w:w="109"/>
        <w:gridCol w:w="228"/>
        <w:gridCol w:w="228"/>
        <w:gridCol w:w="230"/>
        <w:gridCol w:w="109"/>
        <w:gridCol w:w="109"/>
        <w:gridCol w:w="109"/>
        <w:gridCol w:w="373"/>
        <w:gridCol w:w="373"/>
        <w:gridCol w:w="375"/>
        <w:gridCol w:w="109"/>
        <w:gridCol w:w="109"/>
        <w:gridCol w:w="109"/>
        <w:gridCol w:w="564"/>
        <w:gridCol w:w="564"/>
        <w:gridCol w:w="566"/>
        <w:gridCol w:w="109"/>
        <w:gridCol w:w="162"/>
      </w:tblGrid>
      <w:tr>
        <w:trPr/>
        <w:tc>
          <w:tcPr>
            <w:tcW w:w="10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CC %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 xml:space="preserve">(1) </w:t>
            </w: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Supplies, paper and other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Xerox Financial Services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60" w:after="283"/>
        <w:jc w:val="both"/>
        <w:rPr>
          <w:rFonts w:ascii="Arial;sans-serif" w:hAnsi="Arial;sans-serif"/>
          <w:b w:val="false"/>
          <w:i/>
          <w:color w:val="000000"/>
          <w:sz w:val="16"/>
        </w:rPr>
      </w:pPr>
      <w:r>
        <w:rPr>
          <w:rFonts w:ascii="Arial;sans-serif" w:hAnsi="Arial;sans-serif"/>
          <w:b w:val="false"/>
          <w:i/>
          <w:color w:val="000000"/>
          <w:sz w:val="16"/>
        </w:rPr>
        <w:t>CC - See "Constant Currency" in the Non-GAAP Financial Measures section for a description of constant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the "Pro Forma Basis" section for an explanation of this measure. Reflects the inclusion of Lexmark's estimated results from January 1, 2025 through March 31, 2025. Lexmark's actual results are included in Xerox's reported results beginning on July 1, 2025, the effective date of the acquisition.</w:t>
      </w:r>
    </w:p>
    <w:p>
      <w:pPr>
        <w:pStyle w:val="TextBody"/>
        <w:bidi w:val="0"/>
        <w:spacing w:before="0" w:after="0"/>
        <w:jc w:val="both"/>
        <w:rPr/>
      </w:pPr>
      <w:r>
        <w:rPr/>
      </w:r>
    </w:p>
    <w:p>
      <w:pPr>
        <w:pStyle w:val="TextBody"/>
        <w:bidi w:val="0"/>
        <w:spacing w:lineRule="auto" w:line="26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Detail by product group is shown below.</w:t>
      </w:r>
    </w:p>
    <w:p>
      <w:pPr>
        <w:pStyle w:val="TextBody"/>
        <w:bidi w:val="0"/>
        <w:spacing w:before="0" w:after="0"/>
        <w:jc w:val="both"/>
        <w:rPr/>
      </w:pPr>
      <w:r>
        <w:rPr/>
      </w:r>
    </w:p>
    <w:tbl>
      <w:tblPr>
        <w:tblW w:w="10202" w:type="dxa"/>
        <w:jc w:val="left"/>
        <w:tblInd w:w="0" w:type="dxa"/>
        <w:tblLayout w:type="fixed"/>
        <w:tblCellMar>
          <w:top w:w="28" w:type="dxa"/>
          <w:left w:w="28" w:type="dxa"/>
          <w:bottom w:w="28" w:type="dxa"/>
          <w:right w:w="28" w:type="dxa"/>
        </w:tblCellMar>
      </w:tblPr>
      <w:tblGrid>
        <w:gridCol w:w="585"/>
        <w:gridCol w:w="511"/>
        <w:gridCol w:w="523"/>
        <w:gridCol w:w="109"/>
        <w:gridCol w:w="109"/>
        <w:gridCol w:w="109"/>
        <w:gridCol w:w="196"/>
        <w:gridCol w:w="421"/>
        <w:gridCol w:w="109"/>
        <w:gridCol w:w="109"/>
        <w:gridCol w:w="109"/>
        <w:gridCol w:w="109"/>
        <w:gridCol w:w="196"/>
        <w:gridCol w:w="421"/>
        <w:gridCol w:w="109"/>
        <w:gridCol w:w="109"/>
        <w:gridCol w:w="109"/>
        <w:gridCol w:w="109"/>
        <w:gridCol w:w="109"/>
        <w:gridCol w:w="109"/>
        <w:gridCol w:w="225"/>
        <w:gridCol w:w="225"/>
        <w:gridCol w:w="226"/>
        <w:gridCol w:w="109"/>
        <w:gridCol w:w="109"/>
        <w:gridCol w:w="109"/>
        <w:gridCol w:w="384"/>
        <w:gridCol w:w="384"/>
        <w:gridCol w:w="386"/>
        <w:gridCol w:w="338"/>
        <w:gridCol w:w="338"/>
        <w:gridCol w:w="338"/>
        <w:gridCol w:w="343"/>
        <w:gridCol w:w="344"/>
        <w:gridCol w:w="174"/>
        <w:gridCol w:w="174"/>
        <w:gridCol w:w="176"/>
        <w:gridCol w:w="109"/>
        <w:gridCol w:w="109"/>
        <w:gridCol w:w="109"/>
        <w:gridCol w:w="174"/>
        <w:gridCol w:w="174"/>
        <w:gridCol w:w="176"/>
        <w:gridCol w:w="109"/>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7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Equipment Sales</w:t>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2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CC % Change</w:t>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212.7%</w:t>
            </w:r>
          </w:p>
        </w:tc>
        <w:tc>
          <w:tcPr>
            <w:tcW w:w="10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66.7%</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Equipment Sales </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w:t>
            </w:r>
          </w:p>
        </w:tc>
        <w:tc>
          <w:tcPr>
            <w:tcW w:w="10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88" w:before="60" w:after="283"/>
        <w:jc w:val="both"/>
        <w:rPr>
          <w:rFonts w:ascii="Arial;sans-serif" w:hAnsi="Arial;sans-serif"/>
          <w:b w:val="false"/>
          <w:i/>
          <w:color w:val="000000"/>
          <w:sz w:val="16"/>
        </w:rPr>
      </w:pPr>
      <w:r>
        <w:rPr>
          <w:rFonts w:ascii="Arial;sans-serif" w:hAnsi="Arial;sans-serif"/>
          <w:b w:val="false"/>
          <w:i/>
          <w:color w:val="000000"/>
          <w:sz w:val="16"/>
        </w:rPr>
        <w:t xml:space="preserve">CC - See "Constant Currency" in the Non-GAAP Financial Measures section for a description of constant currency.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(1)Refer to Appendix II, Reportable Segments, for definitions.</w:t>
      </w:r>
    </w:p>
    <w:p>
      <w:pPr>
        <w:pStyle w:val="TextBody"/>
        <w:bidi w:val="0"/>
        <w:spacing w:before="0" w:after="0"/>
        <w:jc w:val="both"/>
        <w:rPr/>
      </w:pPr>
      <w:r>
        <w:rPr/>
      </w:r>
    </w:p>
    <w:p>
      <w:pPr>
        <w:pStyle w:val="TextBody"/>
        <w:bidi w:val="0"/>
        <w:spacing w:lineRule="auto" w:line="268" w:before="180" w:after="283"/>
        <w:ind w:left="0" w:right="0" w:hanging="360"/>
        <w:jc w:val="both"/>
        <w:rPr>
          <w:rFonts w:ascii="Arial;sans-serif" w:hAnsi="Arial;sans-serif"/>
          <w:b/>
          <w:color w:val="DA2031"/>
          <w:sz w:val="22"/>
        </w:rPr>
      </w:pPr>
      <w:r>
        <w:rPr>
          <w:rFonts w:ascii="Arial;sans-serif" w:hAnsi="Arial;sans-serif"/>
          <w:b/>
          <w:color w:val="DA2031"/>
          <w:sz w:val="22"/>
        </w:rPr>
        <w:t xml:space="preserve">IT Solutions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IT Solutions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 Refer to Appendix II, Reportable Segments, for definitions.</w:t>
      </w:r>
    </w:p>
    <w:p>
      <w:pPr>
        <w:pStyle w:val="TextBody"/>
        <w:bidi w:val="0"/>
        <w:spacing w:before="120" w:after="283"/>
        <w:jc w:val="both"/>
        <w:rPr/>
      </w:pPr>
      <w:r>
        <w:rPr/>
      </w:r>
    </w:p>
    <w:p>
      <w:pPr>
        <w:pStyle w:val="TextBody"/>
        <w:bidi w:val="0"/>
        <w:spacing w:lineRule="auto" w:line="288" w:before="0" w:after="0"/>
        <w:jc w:val="both"/>
        <w:rPr>
          <w:rFonts w:ascii="Arial;sans-serif" w:hAnsi="Arial;sans-serif"/>
          <w:b/>
          <w:color w:val="DA2031"/>
          <w:sz w:val="22"/>
        </w:rPr>
      </w:pPr>
      <w:r>
        <w:rPr>
          <w:rFonts w:ascii="Arial;sans-serif" w:hAnsi="Arial;sans-serif"/>
          <w:b/>
          <w:color w:val="DA2031"/>
          <w:sz w:val="22"/>
        </w:rPr>
        <w:t>Revenue</w:t>
      </w:r>
    </w:p>
    <w:tbl>
      <w:tblPr>
        <w:tblW w:w="7191" w:type="dxa"/>
        <w:jc w:val="left"/>
        <w:tblInd w:w="0" w:type="dxa"/>
        <w:tblLayout w:type="fixed"/>
        <w:tblCellMar>
          <w:top w:w="28" w:type="dxa"/>
          <w:left w:w="28" w:type="dxa"/>
          <w:bottom w:w="28" w:type="dxa"/>
          <w:right w:w="28" w:type="dxa"/>
        </w:tblCellMar>
      </w:tblPr>
      <w:tblGrid>
        <w:gridCol w:w="685"/>
        <w:gridCol w:w="599"/>
        <w:gridCol w:w="605"/>
        <w:gridCol w:w="109"/>
        <w:gridCol w:w="109"/>
        <w:gridCol w:w="109"/>
        <w:gridCol w:w="196"/>
        <w:gridCol w:w="421"/>
        <w:gridCol w:w="109"/>
        <w:gridCol w:w="109"/>
        <w:gridCol w:w="109"/>
        <w:gridCol w:w="109"/>
        <w:gridCol w:w="196"/>
        <w:gridCol w:w="421"/>
        <w:gridCol w:w="109"/>
        <w:gridCol w:w="109"/>
        <w:gridCol w:w="109"/>
        <w:gridCol w:w="109"/>
        <w:gridCol w:w="109"/>
        <w:gridCol w:w="109"/>
        <w:gridCol w:w="229"/>
        <w:gridCol w:w="229"/>
        <w:gridCol w:w="231"/>
        <w:gridCol w:w="109"/>
        <w:gridCol w:w="109"/>
        <w:gridCol w:w="109"/>
        <w:gridCol w:w="384"/>
        <w:gridCol w:w="384"/>
        <w:gridCol w:w="386"/>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CC %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Products</w:t>
            </w:r>
            <w:r>
              <w:rPr>
                <w:rFonts w:ascii="Arial;sans-serif" w:hAnsi="Arial;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IT Services</w:t>
            </w:r>
            <w:r>
              <w:rPr>
                <w:rFonts w:ascii="Arial;sans-serif" w:hAnsi="Arial;sans-serif"/>
                <w:b w:val="false"/>
                <w:color w:val="000000"/>
                <w:sz w:val="10"/>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Intersegment revenue </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60" w:after="283"/>
        <w:ind w:left="0" w:right="0" w:firstLine="720"/>
        <w:jc w:val="both"/>
        <w:rPr>
          <w:rFonts w:ascii="Arial;sans-serif" w:hAnsi="Arial;sans-serif"/>
          <w:b w:val="false"/>
          <w:i/>
          <w:color w:val="000000"/>
          <w:sz w:val="16"/>
        </w:rPr>
      </w:pPr>
      <w:r>
        <w:rPr>
          <w:rFonts w:ascii="Arial;sans-serif" w:hAnsi="Arial;sans-serif"/>
          <w:b w:val="false"/>
          <w:i/>
          <w:color w:val="000000"/>
          <w:sz w:val="16"/>
        </w:rPr>
        <w:t xml:space="preserve">CC - See "Constant Currency" in the Non-GAAP Financial Measures section for a description of constant currency. </w:t>
      </w: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(1)IT Products reflect the sale of IT hardware and software solutions. Hardware product sales include the sale of notebooks, network communications and other endpoint devices, desktop computers and other IT hardware. Software product sales include deployments of cloud and security solutions, endpoint security application suites, operating systems, other applications and network management solutions.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(2)IT Services reflect revenue associated with the implementation of IT solutions, including product lifecycle, deployment and network monitoring services, and managed services.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(3)Reflects primarily IT hardware, software solutions and services sold by the IT Solutions segment to the Print and Other segment. </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ind w:left="0" w:right="0" w:hanging="360"/>
        <w:jc w:val="both"/>
        <w:rPr/>
      </w:pPr>
      <w:r>
        <w:rPr/>
      </w:r>
    </w:p>
    <w:p>
      <w:pPr>
        <w:pStyle w:val="TextBody"/>
        <w:bidi w:val="0"/>
        <w:spacing w:before="120" w:after="283"/>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283"/>
        <w:ind w:left="0" w:right="0" w:hanging="360"/>
        <w:jc w:val="both"/>
        <w:rPr>
          <w:rFonts w:ascii="Arial;sans-serif" w:hAnsi="Arial;sans-serif"/>
          <w:b/>
          <w:color w:val="DA2031"/>
          <w:sz w:val="22"/>
        </w:rPr>
      </w:pPr>
      <w:r>
        <w:rPr>
          <w:rFonts w:ascii="Arial;sans-serif" w:hAnsi="Arial;sans-serif"/>
          <w:b/>
          <w:color w:val="DA2031"/>
          <w:sz w:val="22"/>
        </w:rPr>
        <w:t>Forward-Looking Statements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This press release and other written or oral statements made from time to time by management contain “forward 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Such factors include but are not limited to: applicable market conditions; global macroeconomic conditions, including inflation, slower growth or recession, delays or disruptions in the global supply chain, higher interest rates, and wars and other conflicts,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Transformation;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forward-looking statements speak only as of the date hereof or of the date to which they refer, and the Company assumes no obligation to update or revise any forward-looking statements as a result of new information or future events or developments, except as required by law.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320" w:after="283"/>
        <w:jc w:val="left"/>
        <w:rPr>
          <w:rFonts w:ascii="Arial;sans-serif" w:hAnsi="Arial;sans-serif"/>
          <w:b/>
          <w:color w:val="DA2031"/>
          <w:sz w:val="22"/>
        </w:rPr>
      </w:pPr>
      <w:r>
        <w:rPr>
          <w:rFonts w:ascii="Arial;sans-serif" w:hAnsi="Arial;sans-serif"/>
          <w:b/>
          <w:color w:val="DA2031"/>
          <w:sz w:val="22"/>
        </w:rPr>
        <w:t xml:space="preserve">Non-GAAP Financial Measures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 Accordingly, we believe it is necessary to adjust several reported amounts, determined in accordance with GAAP, to exclude the effects of certain items as well as their related income tax effects.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Condensed Consolidated Financial Statements prepared in accordance with GAAP. </w:t>
      </w:r>
    </w:p>
    <w:p>
      <w:pPr>
        <w:pStyle w:val="TextBody"/>
        <w:bidi w:val="0"/>
        <w:spacing w:lineRule="auto" w:line="288" w:before="120" w:after="283"/>
        <w:jc w:val="both"/>
        <w:rPr/>
      </w:pPr>
      <w:r>
        <w:rPr>
          <w:rFonts w:ascii="Arial;sans-serif" w:hAnsi="Arial;sans-serif"/>
          <w:b w:val="false"/>
          <w:color w:val="000000"/>
          <w:sz w:val="20"/>
        </w:rPr>
        <w:t xml:space="preserve">Reconciliations of these non-GAAP financial measures to the most directly comparable financial measures calculated and presented in accordance with GAAP are set forth below, as well as in the first quarter </w:t>
      </w:r>
      <w:r>
        <w:rPr>
          <w:rFonts w:ascii="Arial;sans-serif" w:hAnsi="Arial;sans-serif"/>
          <w:b w:val="false"/>
          <w:color w:val="000000"/>
          <w:sz w:val="16"/>
        </w:rPr>
        <w:t>2026</w:t>
      </w:r>
      <w:r>
        <w:rPr>
          <w:color w:val="000000"/>
        </w:rPr>
        <w:t xml:space="preserve"> </w:t>
      </w:r>
      <w:r>
        <w:rPr>
          <w:rFonts w:ascii="Arial;sans-serif" w:hAnsi="Arial;sans-serif"/>
          <w:b w:val="false"/>
          <w:color w:val="000000"/>
          <w:sz w:val="20"/>
        </w:rPr>
        <w:t xml:space="preserve">presentation slides available at </w:t>
      </w:r>
      <w:r>
        <w:rPr>
          <w:rFonts w:ascii="Arial;sans-serif" w:hAnsi="Arial;sans-serif"/>
          <w:b w:val="false"/>
          <w:color w:val="000000"/>
          <w:sz w:val="20"/>
          <w:u w:val="single"/>
        </w:rPr>
        <w:t>www.xerox.com/investor</w:t>
      </w:r>
      <w:r>
        <w:rPr>
          <w:rFonts w:ascii="Arial;sans-serif" w:hAnsi="Arial;sans-serif"/>
          <w:b w:val="false"/>
          <w:color w:val="000000"/>
          <w:sz w:val="20"/>
        </w:rPr>
        <w:t xml:space="preserve">. </w:t>
      </w:r>
    </w:p>
    <w:p>
      <w:pPr>
        <w:pStyle w:val="TextBody"/>
        <w:bidi w:val="0"/>
        <w:spacing w:lineRule="auto" w:line="288" w:before="180" w:after="283"/>
        <w:jc w:val="both"/>
        <w:rPr>
          <w:rFonts w:ascii="Arial;sans-serif" w:hAnsi="Arial;sans-serif"/>
          <w:b/>
          <w:color w:val="DA2031"/>
          <w:sz w:val="20"/>
        </w:rPr>
      </w:pPr>
      <w:r>
        <w:rPr>
          <w:rFonts w:ascii="Arial;sans-serif" w:hAnsi="Arial;sans-serif"/>
          <w:b/>
          <w:color w:val="DA2031"/>
          <w:sz w:val="20"/>
        </w:rPr>
        <w:t>Adjusted Earnings Measures</w:t>
      </w:r>
    </w:p>
    <w:p>
      <w:pPr>
        <w:pStyle w:val="TextBody"/>
        <w:bidi w:val="0"/>
        <w:spacing w:lineRule="auto" w:line="288" w:before="60" w:after="283"/>
        <w:ind w:left="0" w:right="0" w:hanging="360"/>
        <w:jc w:val="both"/>
        <w:rPr/>
      </w:pPr>
      <w:r>
        <w:rPr>
          <w:color w:val="DA2031"/>
        </w:rPr>
        <w:t>•</w:t>
      </w:r>
      <w:r>
        <w:rPr>
          <w:rFonts w:ascii="Arial;sans-serif" w:hAnsi="Arial;sans-serif"/>
          <w:b w:val="false"/>
          <w:color w:val="000000"/>
          <w:sz w:val="20"/>
        </w:rPr>
        <w:t>Adjusted Net (Loss) and (Loss) per share (Adjusted EPS)</w:t>
      </w:r>
      <w:r>
        <w:rPr>
          <w:color w:val="DA2031"/>
        </w:rPr>
        <w:t xml:space="preserve">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Adjusted Effective Tax Rate</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Normalized Adjusted Net (Loss) and (Loss)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above measures were adjusted for the following items:</w:t>
      </w:r>
    </w:p>
    <w:p>
      <w:pPr>
        <w:pStyle w:val="TextBody"/>
        <w:bidi w:val="0"/>
        <w:spacing w:lineRule="auto" w:line="288" w:before="60" w:after="283"/>
        <w:jc w:val="both"/>
        <w:rPr/>
      </w:pPr>
      <w:r>
        <w:rPr>
          <w:rFonts w:ascii="Arial;sans-serif" w:hAnsi="Arial;sans-serif"/>
          <w:b w:val="false"/>
          <w:color w:val="DA2031"/>
          <w:sz w:val="20"/>
          <w:u w:val="single"/>
        </w:rPr>
        <w:t>Restructuring and related costs, net</w:t>
      </w:r>
      <w:r>
        <w:rPr>
          <w:rFonts w:ascii="Arial;sans-serif" w:hAnsi="Arial;sans-serif"/>
          <w:b w:val="false"/>
          <w:color w:val="000000"/>
          <w:sz w:val="20"/>
        </w:rPr>
        <w:t xml:space="preserve">: Restructuring and related costs, net include restructuring and asset impairment charges as well as costs 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 </w:t>
      </w:r>
    </w:p>
    <w:p>
      <w:pPr>
        <w:pStyle w:val="TextBody"/>
        <w:bidi w:val="0"/>
        <w:spacing w:lineRule="auto" w:line="288" w:before="60" w:after="283"/>
        <w:jc w:val="both"/>
        <w:rPr/>
      </w:pPr>
      <w:r>
        <w:rPr>
          <w:rFonts w:ascii="Arial;sans-serif" w:hAnsi="Arial;sans-serif"/>
          <w:b w:val="false"/>
          <w:color w:val="DA2031"/>
          <w:sz w:val="20"/>
          <w:u w:val="single"/>
        </w:rPr>
        <w:t>Amortization of intangible assets</w:t>
      </w:r>
      <w:r>
        <w:rPr>
          <w:rFonts w:ascii="Arial;sans-serif" w:hAnsi="Arial;sans-serif"/>
          <w:b w:val="false"/>
          <w:color w:val="000000"/>
          <w:sz w:val="20"/>
        </w:rPr>
        <w:t>: The amortization of intangible assets is driven by our acquisition activity which can vary in size, nature 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pStyle w:val="TextBody"/>
        <w:bidi w:val="0"/>
        <w:spacing w:lineRule="auto" w:line="288" w:before="60" w:after="283"/>
        <w:jc w:val="both"/>
        <w:rPr/>
      </w:pPr>
      <w:r>
        <w:rPr>
          <w:rFonts w:ascii="Arial;sans-serif" w:hAnsi="Arial;sans-serif"/>
          <w:b w:val="false"/>
          <w:color w:val="DA2031"/>
          <w:sz w:val="20"/>
          <w:u w:val="single"/>
        </w:rPr>
        <w:t>Non-service retirement-related costs</w:t>
      </w:r>
      <w:r>
        <w:rPr>
          <w:rFonts w:ascii="Arial;sans-serif" w:hAnsi="Arial;sans-serif"/>
          <w:b w:val="false"/>
          <w:color w:val="000000"/>
          <w:sz w:val="20"/>
        </w:rPr>
        <w:t>: Our defined benefit pension and retiree health costs include several elements impacted by 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(income) expenses, net. Adjusted earnings will continue to include the service cost elements of our retirement costs, which are related to current employee service as well as the cost of our defined contribution plans.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00" w:after="283"/>
        <w:jc w:val="both"/>
        <w:rPr/>
      </w:pPr>
      <w:r>
        <w:rPr>
          <w:rFonts w:ascii="Arial;sans-serif" w:hAnsi="Arial;sans-serif"/>
          <w:b w:val="false"/>
          <w:color w:val="DA2031"/>
          <w:sz w:val="20"/>
          <w:u w:val="single"/>
        </w:rPr>
        <w:t>Transaction and related costs, net</w:t>
      </w:r>
      <w:r>
        <w:rPr>
          <w:rFonts w:ascii="Arial;sans-serif" w:hAnsi="Arial;sans-serif"/>
          <w:b w:val="false"/>
          <w:color w:val="DA2031"/>
          <w:sz w:val="20"/>
        </w:rPr>
        <w:t xml:space="preserve">: </w:t>
      </w:r>
      <w:r>
        <w:rPr>
          <w:rFonts w:ascii="Arial;sans-serif" w:hAnsi="Arial;sans-serif"/>
          <w:b w:val="false"/>
          <w:color w:val="000000"/>
          <w:sz w:val="20"/>
        </w:rPr>
        <w:t xml:space="preserve">Transaction and related costs, net are costs and expenses primarily associated with certain major or significant strategic M&amp;A projects. These costs are primarily for third-party legal, accounting, consulting and other similar types of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exclude these expenses from our Adjusted Earnings Measures in order to evaluate our performance on a comparable basis. </w:t>
      </w:r>
    </w:p>
    <w:p>
      <w:pPr>
        <w:pStyle w:val="TextBody"/>
        <w:bidi w:val="0"/>
        <w:spacing w:lineRule="auto" w:line="288" w:before="60" w:after="283"/>
        <w:jc w:val="both"/>
        <w:rPr/>
      </w:pPr>
      <w:r>
        <w:rPr>
          <w:rFonts w:ascii="Arial;sans-serif" w:hAnsi="Arial;sans-serif"/>
          <w:b w:val="false"/>
          <w:color w:val="DA2031"/>
          <w:sz w:val="20"/>
          <w:u w:val="single"/>
        </w:rPr>
        <w:t>Discrete, unusual or infrequent items</w:t>
      </w:r>
      <w:r>
        <w:rPr>
          <w:rFonts w:ascii="Arial;sans-serif" w:hAnsi="Arial;sans-serif"/>
          <w:b w:val="false"/>
          <w:color w:val="000000"/>
          <w:sz w:val="20"/>
        </w:rPr>
        <w:t xml:space="preserve">: We excluded the following item(s), when applicable, given their discrete, unusual or infrequent nature and their impact on the comparability of our results for the period to prior periods and future expected trends.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Inventory-related impact - exit of certain Production Print manufacturing operations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Gain on early extinguishment of debt</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Divestitures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Transformation-related costs</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 xml:space="preserve">Lexmark - fixed asset-related purchase accounting adjustment </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Commitment fee expense</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PARC donation - income tax</w:t>
      </w:r>
    </w:p>
    <w:p>
      <w:pPr>
        <w:pStyle w:val="TextBody"/>
        <w:bidi w:val="0"/>
        <w:spacing w:lineRule="auto" w:line="288" w:before="0" w:after="0"/>
        <w:ind w:left="0" w:right="0" w:hanging="360"/>
        <w:jc w:val="both"/>
        <w:rPr/>
      </w:pPr>
      <w:r>
        <w:rPr>
          <w:color w:val="DA2031"/>
        </w:rPr>
        <w:t>•</w:t>
      </w:r>
      <w:r>
        <w:rPr>
          <w:rFonts w:ascii="Arial;sans-serif" w:hAnsi="Arial;sans-serif"/>
          <w:b w:val="false"/>
          <w:color w:val="000000"/>
          <w:sz w:val="20"/>
        </w:rPr>
        <w:t>Deferred tax asset valuation allowance</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Adjusted Operating Income and Margin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calculate and utilize adjusted operating income and margin measures by adjusting our reported pre-tax (loss) and margin amounts. In addition to the costs and expenses noted above as adjustments for our adjusted earnings measures, adjusted operating income and margin also exclude the remaining amounts included in Other (income) expenses, net, which include certain other non-operating costs and expenses. We exclude these amounts in order to evaluate our current and past operating performance and to better understand the expected future trends in our business.</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Adjusted Gross Profit and Margin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calculate non-GAAP gross Profit and Margin by excluding the inventory impact related to the exit of certain Production Print manufacturing operations, included in Cost of services, maintenance, rentals and other, as well as fixed asset-related purchase accounting adjustments related to the recent acquisition of Lexmark. </w:t>
      </w:r>
    </w:p>
    <w:p>
      <w:pPr>
        <w:pStyle w:val="TextBody"/>
        <w:bidi w:val="0"/>
        <w:spacing w:lineRule="auto" w:line="276" w:before="120" w:after="283"/>
        <w:jc w:val="both"/>
        <w:rPr>
          <w:rFonts w:ascii="Arial;sans-serif" w:hAnsi="Arial;sans-serif"/>
          <w:b/>
          <w:color w:val="DA2031"/>
          <w:sz w:val="20"/>
        </w:rPr>
      </w:pPr>
      <w:r>
        <w:rPr>
          <w:rFonts w:ascii="Arial;sans-serif" w:hAnsi="Arial;sans-serif"/>
          <w:b/>
          <w:color w:val="DA2031"/>
          <w:sz w:val="20"/>
        </w:rPr>
        <w:t>Constant Currency (CC)</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 </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Free Cash Flow</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repurchase debt, fund acquisitions, and pay dividends.</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300" w:after="283"/>
        <w:jc w:val="both"/>
        <w:rPr>
          <w:rFonts w:ascii="Arial;sans-serif" w:hAnsi="Arial;sans-serif"/>
          <w:b/>
          <w:color w:val="DA2031"/>
          <w:sz w:val="20"/>
        </w:rPr>
      </w:pPr>
      <w:r>
        <w:rPr>
          <w:rFonts w:ascii="Arial;sans-serif" w:hAnsi="Arial;sans-serif"/>
          <w:b/>
          <w:color w:val="DA2031"/>
          <w:sz w:val="20"/>
        </w:rPr>
        <w:t>Adjusted Net (Loss) and (Loss) per share reconciliation</w:t>
      </w:r>
    </w:p>
    <w:tbl>
      <w:tblPr>
        <w:tblW w:w="10205" w:type="dxa"/>
        <w:jc w:val="left"/>
        <w:tblInd w:w="0" w:type="dxa"/>
        <w:tblLayout w:type="fixed"/>
        <w:tblCellMar>
          <w:top w:w="28" w:type="dxa"/>
          <w:left w:w="28" w:type="dxa"/>
          <w:bottom w:w="28" w:type="dxa"/>
          <w:right w:w="28" w:type="dxa"/>
        </w:tblCellMar>
      </w:tblPr>
      <w:tblGrid>
        <w:gridCol w:w="1600"/>
        <w:gridCol w:w="794"/>
        <w:gridCol w:w="798"/>
        <w:gridCol w:w="109"/>
        <w:gridCol w:w="109"/>
        <w:gridCol w:w="109"/>
        <w:gridCol w:w="196"/>
        <w:gridCol w:w="455"/>
        <w:gridCol w:w="109"/>
        <w:gridCol w:w="109"/>
        <w:gridCol w:w="109"/>
        <w:gridCol w:w="109"/>
        <w:gridCol w:w="196"/>
        <w:gridCol w:w="500"/>
        <w:gridCol w:w="109"/>
        <w:gridCol w:w="109"/>
        <w:gridCol w:w="109"/>
        <w:gridCol w:w="109"/>
        <w:gridCol w:w="196"/>
        <w:gridCol w:w="365"/>
        <w:gridCol w:w="109"/>
        <w:gridCol w:w="109"/>
        <w:gridCol w:w="109"/>
        <w:gridCol w:w="109"/>
        <w:gridCol w:w="196"/>
        <w:gridCol w:w="50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6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18"/>
            <w:tcBorders/>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8"/>
            <w:tcBorders/>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Net </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w:t>
              <w:b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Net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Diluted</w:t>
              <w:br/>
              <w:t>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early extinguishment of debt</w:t>
            </w:r>
            <w:r>
              <w:rPr>
                <w:rFonts w:ascii="Arial;sans-serif" w:hAnsi="Arial;sans-serif"/>
                <w:b w:val="false"/>
                <w:color w:val="000000"/>
                <w:sz w:val="10"/>
              </w:rPr>
              <w:t>(2)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Non-service retirement-related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Lexmark - fixed asset-related purchase accounting adjustment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Commitment fee expense</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PARC Donation Income Tax</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tax asset valuation allowance</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on adjustments</w:t>
            </w:r>
            <w:r>
              <w:rPr>
                <w:rFonts w:ascii="Arial;sans-serif" w:hAnsi="Arial;sans-serif"/>
                <w:b w:val="false"/>
                <w:color w:val="000000"/>
                <w:sz w:val="10"/>
              </w:rPr>
              <w:t>(6)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effects associated with U.S. and U.K. losses </w:t>
            </w:r>
            <w:r>
              <w:rPr>
                <w:rFonts w:ascii="Arial;sans-serif" w:hAnsi="Arial;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Dividends on preferred stock used in adjusted EPS calculation</w:t>
            </w:r>
            <w:r>
              <w:rPr>
                <w:rFonts w:ascii="Arial;sans-serif" w:hAnsi="Arial;sans-serif"/>
                <w:b w:val="false"/>
                <w:color w:val="000000"/>
                <w:sz w:val="10"/>
              </w:rPr>
              <w:t>(8)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Weighted average shares for adjusted EPS</w:t>
            </w:r>
            <w:r>
              <w:rPr>
                <w:rFonts w:ascii="Arial;sans-serif" w:hAnsi="Arial;sans-serif"/>
                <w:b w:val="false"/>
                <w:color w:val="000000"/>
                <w:sz w:val="10"/>
              </w:rPr>
              <w:t>(8)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Fully diluted shares at end of period</w:t>
            </w:r>
            <w:r>
              <w:rPr>
                <w:rFonts w:ascii="Arial;sans-serif" w:hAnsi="Arial;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(1)Net Loss and Loss per Share. First quarter 2026 Net Loss and Diluted Loss per Share included a $56 million gain on the early extinguishment of debt, or $0.43 per diluted share. First quarter 2025 Net Loss and Diluted Loss per Share include a charge to tax expense related to the establishment of $59 million of valuation allowances, or $0.47 per diluted share, and $14 million of after-tax financing-related charges, or $0.14 per diluted share, related to our recently completed debt offering.</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(2)Reflects the early repayment of a portion of our 5.500% Senior Unsecured Notes due August 2028 (the "2028 Senior Unsecured Notes").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(3)In the first quarter of 2026, Xerox Holdings Corporation renamed “Reinvention-related costs” to “Transformation-related costs.” This change in terminology did not affect the nature of the costs.</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(4)Primarily reflects fees associated with the 2025 private offering of $400 million in aggregate principal amount of 10.25% Senior Secured First Lien Notes and $400 million aggregate principal amount of 13.5% Senior Secured Second Lien Notes Due in 2031.</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(5)Reflects the establishment of a valuation allowance against certain deferred tax assets to reflect their realizability.</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(6)Refer to Adjusted Effective Tax Rate reconciliation.</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(7)Normalized adjusted net (loss) includes tax benefits of $41 million in Q1 2026 and ($3) million in Q1 2025, which are not included in adjusted earnings. This represents the tax effects associated with pre-tax (losses) generated in U.S. and UK entities subject to full valuation allowances.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(8)For those periods that include the preferred stock dividend, the average shares for the calculations of diluted EPS exclude the 7 million shares associated with our Series A convertible preferred stock. </w:t>
      </w:r>
    </w:p>
    <w:p>
      <w:pPr>
        <w:pStyle w:val="TextBody"/>
        <w:bidi w:val="0"/>
        <w:spacing w:lineRule="auto" w:line="288"/>
        <w:ind w:left="0" w:right="0" w:hanging="360"/>
        <w:jc w:val="both"/>
        <w:rPr/>
      </w:pPr>
      <w:r>
        <w:rPr>
          <w:rFonts w:ascii="Arial;sans-serif" w:hAnsi="Arial;sans-serif"/>
          <w:b w:val="false"/>
          <w:i/>
          <w:color w:val="000000"/>
          <w:sz w:val="16"/>
        </w:rPr>
        <w:t xml:space="preserve">(9)Reflects common shares outstanding at March 31, 2026, plus potential dilutive common shares used for the calculation of adjusted diluted EPS for the first quarter </w:t>
      </w:r>
      <w:r>
        <w:rPr>
          <w:rFonts w:ascii="Arial;sans-serif" w:hAnsi="Arial;sans-serif"/>
          <w:b w:val="false"/>
          <w:color w:val="000000"/>
          <w:sz w:val="16"/>
        </w:rPr>
        <w:t>2026</w:t>
      </w:r>
      <w:r>
        <w:rPr>
          <w:rFonts w:ascii="Arial;sans-serif" w:hAnsi="Arial;sans-serif"/>
          <w:b w:val="false"/>
          <w:i/>
          <w:color w:val="000000"/>
          <w:sz w:val="16"/>
        </w:rPr>
        <w:t xml:space="preserve">. Excludes potentially dilutive common shares associated with our Series A convertible preferred stock, shares granted under stock-based compensation programs, as well as warrants and convertible notes, all of which were anti-dilutive for the first quarter 2026.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60" w:after="283"/>
        <w:jc w:val="both"/>
        <w:rPr>
          <w:rFonts w:ascii="Arial;sans-serif" w:hAnsi="Arial;sans-serif"/>
          <w:b/>
          <w:color w:val="DA2031"/>
          <w:sz w:val="20"/>
        </w:rPr>
      </w:pPr>
      <w:r>
        <w:rPr>
          <w:rFonts w:ascii="Arial;sans-serif" w:hAnsi="Arial;sans-serif"/>
          <w:b/>
          <w:color w:val="DA2031"/>
          <w:sz w:val="20"/>
        </w:rPr>
        <w:t>Adjusted Effective Tax Rate reconciliation</w:t>
      </w:r>
    </w:p>
    <w:tbl>
      <w:tblPr>
        <w:tblW w:w="10205" w:type="dxa"/>
        <w:jc w:val="left"/>
        <w:tblInd w:w="0" w:type="dxa"/>
        <w:tblLayout w:type="fixed"/>
        <w:tblCellMar>
          <w:top w:w="28" w:type="dxa"/>
          <w:left w:w="28" w:type="dxa"/>
          <w:bottom w:w="28" w:type="dxa"/>
          <w:right w:w="28" w:type="dxa"/>
        </w:tblCellMar>
      </w:tblPr>
      <w:tblGrid>
        <w:gridCol w:w="753"/>
        <w:gridCol w:w="584"/>
        <w:gridCol w:w="594"/>
        <w:gridCol w:w="109"/>
        <w:gridCol w:w="109"/>
        <w:gridCol w:w="109"/>
        <w:gridCol w:w="244"/>
        <w:gridCol w:w="504"/>
        <w:gridCol w:w="136"/>
        <w:gridCol w:w="109"/>
        <w:gridCol w:w="109"/>
        <w:gridCol w:w="109"/>
        <w:gridCol w:w="355"/>
        <w:gridCol w:w="600"/>
        <w:gridCol w:w="199"/>
        <w:gridCol w:w="109"/>
        <w:gridCol w:w="109"/>
        <w:gridCol w:w="109"/>
        <w:gridCol w:w="334"/>
        <w:gridCol w:w="279"/>
        <w:gridCol w:w="570"/>
        <w:gridCol w:w="109"/>
        <w:gridCol w:w="109"/>
        <w:gridCol w:w="109"/>
        <w:gridCol w:w="244"/>
        <w:gridCol w:w="504"/>
        <w:gridCol w:w="136"/>
        <w:gridCol w:w="109"/>
        <w:gridCol w:w="109"/>
        <w:gridCol w:w="109"/>
        <w:gridCol w:w="355"/>
        <w:gridCol w:w="600"/>
        <w:gridCol w:w="199"/>
        <w:gridCol w:w="109"/>
        <w:gridCol w:w="109"/>
        <w:gridCol w:w="109"/>
        <w:gridCol w:w="252"/>
        <w:gridCol w:w="254"/>
        <w:gridCol w:w="547"/>
      </w:tblGrid>
      <w:tr>
        <w:trPr/>
        <w:tc>
          <w:tcPr>
            <w:tcW w:w="75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Effective Tax</w:t>
              <w:br/>
              <w:t>Rate</w:t>
            </w:r>
          </w:p>
        </w:tc>
      </w:tr>
      <w:tr>
        <w:trPr/>
        <w:tc>
          <w:tcPr>
            <w:tcW w:w="1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5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5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on PARC donation</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tax asset valuation allowance</w:t>
            </w:r>
            <w:r>
              <w:rPr>
                <w:rFonts w:ascii="Arial;sans-serif" w:hAnsi="Arial;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Non-GAAP adjustments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w:t>
            </w:r>
          </w:p>
        </w:tc>
        <w:tc>
          <w:tcPr>
            <w:tcW w:w="5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5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5582" w:type="dxa"/>
            <w:gridSpan w:val="24"/>
            <w:tcBorders/>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7063" w:type="dxa"/>
            <w:gridSpan w:val="30"/>
            <w:tcBorders/>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(1)Pre-tax loss and income tax expense.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(2)Refer to Adjusted Net Income and EPS reconciliation for details.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 xml:space="preserve">Adjusted Operating Income and Margin reconciliation </w:t>
      </w:r>
    </w:p>
    <w:tbl>
      <w:tblPr>
        <w:tblW w:w="10205" w:type="dxa"/>
        <w:jc w:val="left"/>
        <w:tblInd w:w="0" w:type="dxa"/>
        <w:tblLayout w:type="fixed"/>
        <w:tblCellMar>
          <w:top w:w="28" w:type="dxa"/>
          <w:left w:w="28" w:type="dxa"/>
          <w:bottom w:w="28" w:type="dxa"/>
          <w:right w:w="28" w:type="dxa"/>
        </w:tblCellMar>
      </w:tblPr>
      <w:tblGrid>
        <w:gridCol w:w="1495"/>
        <w:gridCol w:w="1082"/>
        <w:gridCol w:w="970"/>
        <w:gridCol w:w="109"/>
        <w:gridCol w:w="109"/>
        <w:gridCol w:w="109"/>
        <w:gridCol w:w="196"/>
        <w:gridCol w:w="460"/>
        <w:gridCol w:w="109"/>
        <w:gridCol w:w="109"/>
        <w:gridCol w:w="109"/>
        <w:gridCol w:w="109"/>
        <w:gridCol w:w="196"/>
        <w:gridCol w:w="556"/>
        <w:gridCol w:w="109"/>
        <w:gridCol w:w="109"/>
        <w:gridCol w:w="109"/>
        <w:gridCol w:w="109"/>
        <w:gridCol w:w="206"/>
        <w:gridCol w:w="208"/>
        <w:gridCol w:w="325"/>
        <w:gridCol w:w="109"/>
        <w:gridCol w:w="109"/>
        <w:gridCol w:w="109"/>
        <w:gridCol w:w="196"/>
        <w:gridCol w:w="370"/>
        <w:gridCol w:w="109"/>
        <w:gridCol w:w="109"/>
        <w:gridCol w:w="109"/>
        <w:gridCol w:w="109"/>
        <w:gridCol w:w="196"/>
        <w:gridCol w:w="556"/>
        <w:gridCol w:w="109"/>
        <w:gridCol w:w="109"/>
        <w:gridCol w:w="109"/>
        <w:gridCol w:w="109"/>
        <w:gridCol w:w="206"/>
        <w:gridCol w:w="208"/>
        <w:gridCol w:w="381"/>
      </w:tblGrid>
      <w:tr>
        <w:trPr/>
        <w:tc>
          <w:tcPr>
            <w:tcW w:w="149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(Loss) </w:t>
              <w:br/>
              <w:t xml:space="preserve">Profit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br/>
              <w:t>(Loss)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Margin</w:t>
            </w:r>
          </w:p>
        </w:tc>
      </w:tr>
      <w:tr>
        <w:trPr/>
        <w:tc>
          <w:tcPr>
            <w:tcW w:w="354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Pre-tax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Lexmark - fixed asset-related purchase accounting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(income) expenses, net </w:t>
            </w:r>
            <w:r>
              <w:rPr>
                <w:rFonts w:ascii="Arial;sans-serif" w:hAnsi="Arial;sans-serif"/>
                <w:b w:val="false"/>
                <w:color w:val="000000"/>
                <w:sz w:val="1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(1)Net (Loss) and Revenues.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(2)In the first quarter of 2026, Xerox Holdings Corporation renamed “Reinvention-related costs” to “Transformation-related costs.” This change in terminology did not affect the nature of the costs.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(3)Reflects interest expense primarily related to the recently completed borrowings in support of the Lexmark acquisition financing, repayment of existing borrowings and general corporate purposes, as well as interest related to the funding from the Joint Venture Financing arrangement entered into with TPG in the first quarter of 2026.</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(4)Includes non-service retirement-related costs, as well as a gain of $56 million related to the early repayment of a portion of our 5.500% Senior Unsecured Notes due August 2028 (the "2028 Senior Unsecured Notes").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300" w:after="283"/>
        <w:ind w:left="0" w:right="0" w:hanging="360"/>
        <w:jc w:val="both"/>
        <w:rPr>
          <w:rFonts w:ascii="Arial;sans-serif" w:hAnsi="Arial;sans-serif"/>
          <w:b/>
          <w:color w:val="DA2031"/>
          <w:sz w:val="20"/>
        </w:rPr>
      </w:pPr>
      <w:r>
        <w:rPr>
          <w:rFonts w:ascii="Arial;sans-serif" w:hAnsi="Arial;sans-serif"/>
          <w:b/>
          <w:color w:val="DA2031"/>
          <w:sz w:val="20"/>
        </w:rPr>
        <w:t>Adjusted Gross Profit and Margin</w:t>
      </w:r>
    </w:p>
    <w:tbl>
      <w:tblPr>
        <w:tblW w:w="10205" w:type="dxa"/>
        <w:jc w:val="left"/>
        <w:tblInd w:w="0" w:type="dxa"/>
        <w:tblLayout w:type="fixed"/>
        <w:tblCellMar>
          <w:top w:w="28" w:type="dxa"/>
          <w:left w:w="28" w:type="dxa"/>
          <w:bottom w:w="28" w:type="dxa"/>
          <w:right w:w="28" w:type="dxa"/>
        </w:tblCellMar>
      </w:tblPr>
      <w:tblGrid>
        <w:gridCol w:w="1802"/>
        <w:gridCol w:w="1490"/>
        <w:gridCol w:w="1520"/>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09"/>
        <w:gridCol w:w="109"/>
        <w:gridCol w:w="109"/>
        <w:gridCol w:w="109"/>
        <w:gridCol w:w="156"/>
      </w:tblGrid>
      <w:tr>
        <w:trPr/>
        <w:tc>
          <w:tcPr>
            <w:tcW w:w="180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812"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Revenue</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Cost of revenue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Gross Profit and Margin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 impact related to the exit of certain Production Print manufacturing operations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Lexmark - fixed asset-related purchase accounting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Adjusted Gross Profit and Margin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(1)Total Revenues and cost of revenues</w:t>
      </w:r>
    </w:p>
    <w:p>
      <w:pPr>
        <w:pStyle w:val="TextBody"/>
        <w:bidi w:val="0"/>
        <w:spacing w:before="60" w:after="283"/>
        <w:jc w:val="both"/>
        <w:rPr/>
      </w:pPr>
      <w:r>
        <w:rPr/>
      </w:r>
    </w:p>
    <w:p>
      <w:pPr>
        <w:pStyle w:val="TextBody"/>
        <w:bidi w:val="0"/>
        <w:spacing w:lineRule="auto" w:line="288" w:before="300" w:after="283"/>
        <w:ind w:left="0" w:right="0" w:hanging="360"/>
        <w:jc w:val="both"/>
        <w:rPr>
          <w:rFonts w:ascii="Arial;sans-serif" w:hAnsi="Arial;sans-serif"/>
          <w:b/>
          <w:color w:val="DA2031"/>
          <w:sz w:val="20"/>
        </w:rPr>
      </w:pPr>
      <w:r>
        <w:rPr>
          <w:rFonts w:ascii="Arial;sans-serif" w:hAnsi="Arial;sans-serif"/>
          <w:b/>
          <w:color w:val="DA2031"/>
          <w:sz w:val="20"/>
        </w:rPr>
        <w:t>Free Cash Flow reconciliation</w:t>
      </w:r>
    </w:p>
    <w:tbl>
      <w:tblPr>
        <w:tblW w:w="4825" w:type="dxa"/>
        <w:jc w:val="left"/>
        <w:tblInd w:w="0" w:type="dxa"/>
        <w:tblLayout w:type="fixed"/>
        <w:tblCellMar>
          <w:top w:w="28" w:type="dxa"/>
          <w:left w:w="28" w:type="dxa"/>
          <w:bottom w:w="28" w:type="dxa"/>
          <w:right w:w="28" w:type="dxa"/>
        </w:tblCellMar>
      </w:tblPr>
      <w:tblGrid>
        <w:gridCol w:w="581"/>
        <w:gridCol w:w="506"/>
        <w:gridCol w:w="518"/>
        <w:gridCol w:w="109"/>
        <w:gridCol w:w="109"/>
        <w:gridCol w:w="109"/>
        <w:gridCol w:w="245"/>
        <w:gridCol w:w="621"/>
        <w:gridCol w:w="136"/>
        <w:gridCol w:w="136"/>
        <w:gridCol w:w="136"/>
        <w:gridCol w:w="136"/>
        <w:gridCol w:w="245"/>
        <w:gridCol w:w="621"/>
        <w:gridCol w:w="136"/>
        <w:gridCol w:w="109"/>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3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3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3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3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(1)Net cash used in operating activities.</w:t>
      </w:r>
    </w:p>
    <w:p>
      <w:pPr>
        <w:pStyle w:val="TextBody"/>
        <w:bidi w:val="0"/>
        <w:spacing w:before="60" w:after="283"/>
        <w:jc w:val="both"/>
        <w:rPr/>
      </w:pPr>
      <w:r>
        <w:rPr/>
      </w:r>
    </w:p>
    <w:p>
      <w:pPr>
        <w:pStyle w:val="TextBody"/>
        <w:bidi w:val="0"/>
        <w:spacing w:before="0" w:after="0"/>
        <w:jc w:val="left"/>
        <w:rPr/>
      </w:pPr>
      <w:r>
        <w:rPr/>
      </w:r>
    </w:p>
    <w:p>
      <w:pPr>
        <w:pStyle w:val="TextBody"/>
        <w:bidi w:val="0"/>
        <w:spacing w:lineRule="auto" w:line="268" w:before="300" w:after="283"/>
        <w:ind w:left="0" w:right="0" w:hanging="360"/>
        <w:jc w:val="both"/>
        <w:rPr>
          <w:rFonts w:ascii="Arial;sans-serif" w:hAnsi="Arial;sans-serif"/>
          <w:b/>
          <w:color w:val="DA2031"/>
          <w:sz w:val="20"/>
        </w:rPr>
      </w:pPr>
      <w:r>
        <w:rPr>
          <w:rFonts w:ascii="Arial;sans-serif" w:hAnsi="Arial;sans-serif"/>
          <w:b/>
          <w:color w:val="DA2031"/>
          <w:sz w:val="20"/>
        </w:rPr>
        <w:t xml:space="preserve">GUIDANCE </w:t>
      </w:r>
    </w:p>
    <w:p>
      <w:pPr>
        <w:pStyle w:val="TextBody"/>
        <w:bidi w:val="0"/>
        <w:spacing w:lineRule="auto" w:line="288" w:before="120" w:after="283"/>
        <w:jc w:val="both"/>
        <w:rPr>
          <w:rFonts w:ascii="Arial;sans-serif" w:hAnsi="Arial;sans-serif"/>
          <w:b/>
          <w:color w:val="DA2031"/>
          <w:sz w:val="20"/>
        </w:rPr>
      </w:pPr>
      <w:r>
        <w:rPr>
          <w:rFonts w:ascii="Arial;sans-serif" w:hAnsi="Arial;sans-serif"/>
          <w:b/>
          <w:color w:val="DA2031"/>
          <w:sz w:val="20"/>
        </w:rPr>
        <w:t>Adjusted Operating Income</w:t>
      </w:r>
    </w:p>
    <w:tbl>
      <w:tblPr>
        <w:tblW w:w="7069" w:type="dxa"/>
        <w:jc w:val="left"/>
        <w:tblInd w:w="0" w:type="dxa"/>
        <w:tblLayout w:type="fixed"/>
        <w:tblCellMar>
          <w:top w:w="28" w:type="dxa"/>
          <w:left w:w="28" w:type="dxa"/>
          <w:bottom w:w="28" w:type="dxa"/>
          <w:right w:w="28" w:type="dxa"/>
        </w:tblCellMar>
      </w:tblPr>
      <w:tblGrid>
        <w:gridCol w:w="1185"/>
        <w:gridCol w:w="1035"/>
        <w:gridCol w:w="1050"/>
        <w:gridCol w:w="109"/>
        <w:gridCol w:w="109"/>
        <w:gridCol w:w="109"/>
        <w:gridCol w:w="1336"/>
        <w:gridCol w:w="109"/>
        <w:gridCol w:w="109"/>
        <w:gridCol w:w="109"/>
        <w:gridCol w:w="109"/>
        <w:gridCol w:w="109"/>
        <w:gridCol w:w="369"/>
        <w:gridCol w:w="369"/>
        <w:gridCol w:w="372"/>
        <w:gridCol w:w="109"/>
        <w:gridCol w:w="109"/>
        <w:gridCol w:w="109"/>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Fiscal Year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Estimated Pre-tax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Restructuring and related costs,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7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Non-financing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7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expenses, net</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Estimated Adjusted Operating Income</w:t>
            </w:r>
            <w:r>
              <w:rPr>
                <w:rFonts w:ascii="Arial;sans-serif" w:hAnsi="Arial;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$450 - $500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(1)Other expenses, net includes approximately $85 million related to non-service retirement-related costs. </w:t>
      </w:r>
    </w:p>
    <w:p>
      <w:pPr>
        <w:pStyle w:val="TextBody"/>
        <w:bidi w:val="0"/>
        <w:spacing w:lineRule="auto" w:line="28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(2)Adjusted pre-tax income reflects the adjusted operating income guidance midpoint of $475 million.</w:t>
      </w:r>
    </w:p>
    <w:p>
      <w:pPr>
        <w:pStyle w:val="TextBody"/>
        <w:bidi w:val="0"/>
        <w:spacing w:before="0" w:after="0"/>
        <w:jc w:val="both"/>
        <w:rPr/>
      </w:pPr>
      <w:r>
        <w:rPr/>
      </w:r>
    </w:p>
    <w:p>
      <w:pPr>
        <w:pStyle w:val="TextBody"/>
        <w:bidi w:val="0"/>
        <w:spacing w:lineRule="auto" w:line="268" w:before="120" w:after="60"/>
        <w:ind w:left="0" w:right="0" w:hanging="360"/>
        <w:jc w:val="both"/>
        <w:rPr>
          <w:rFonts w:ascii="Arial;sans-serif" w:hAnsi="Arial;sans-serif"/>
          <w:b/>
          <w:color w:val="DA2031"/>
          <w:sz w:val="20"/>
        </w:rPr>
      </w:pPr>
      <w:r>
        <w:rPr>
          <w:rFonts w:ascii="Arial;sans-serif" w:hAnsi="Arial;sans-serif"/>
          <w:b/>
          <w:color w:val="DA2031"/>
          <w:sz w:val="20"/>
        </w:rPr>
        <w:t xml:space="preserve">Free Cash Flow </w:t>
      </w:r>
    </w:p>
    <w:tbl>
      <w:tblPr>
        <w:tblW w:w="6996" w:type="dxa"/>
        <w:jc w:val="left"/>
        <w:tblInd w:w="0" w:type="dxa"/>
        <w:tblLayout w:type="fixed"/>
        <w:tblCellMar>
          <w:top w:w="28" w:type="dxa"/>
          <w:left w:w="28" w:type="dxa"/>
          <w:bottom w:w="28" w:type="dxa"/>
          <w:right w:w="28" w:type="dxa"/>
        </w:tblCellMar>
      </w:tblPr>
      <w:tblGrid>
        <w:gridCol w:w="1522"/>
        <w:gridCol w:w="1330"/>
        <w:gridCol w:w="1348"/>
        <w:gridCol w:w="109"/>
        <w:gridCol w:w="109"/>
        <w:gridCol w:w="109"/>
        <w:gridCol w:w="444"/>
        <w:gridCol w:w="444"/>
        <w:gridCol w:w="446"/>
        <w:gridCol w:w="109"/>
        <w:gridCol w:w="109"/>
        <w:gridCol w:w="109"/>
        <w:gridCol w:w="109"/>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Fiscal Year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Estimated Net cash provided by operating activities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Estimated Free Cash Flow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20" w:after="60"/>
        <w:ind w:left="0" w:right="0" w:hanging="360"/>
        <w:jc w:val="both"/>
        <w:rPr/>
      </w:pPr>
      <w:r>
        <w:rPr/>
      </w:r>
    </w:p>
    <w:p>
      <w:pPr>
        <w:pStyle w:val="TextBody"/>
        <w:bidi w:val="0"/>
        <w:spacing w:lineRule="auto" w:line="268" w:before="120" w:after="60"/>
        <w:ind w:left="0" w:right="0" w:hanging="360"/>
        <w:jc w:val="both"/>
        <w:rPr>
          <w:rFonts w:ascii="Arial;sans-serif" w:hAnsi="Arial;sans-serif"/>
          <w:b/>
          <w:color w:val="DA2031"/>
          <w:sz w:val="20"/>
        </w:rPr>
      </w:pPr>
      <w:r>
        <w:rPr>
          <w:rFonts w:ascii="Arial;sans-serif" w:hAnsi="Arial;sans-serif"/>
          <w:b/>
          <w:color w:val="DA2031"/>
          <w:sz w:val="20"/>
        </w:rPr>
        <w:t xml:space="preserve">Pro Forma Basis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better understand the trends in our business, we discuss our 2026 operating results by comparing them against 2025 pro forma results. The 2025 pro forma results include estimated results of Lexmark. Lexmark is included in our 2025 results as of July 1, 2025, the effective date of acquisition.</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We refer to comparisons against these adjusted results as “pro-forma” basis comparisons. The pro forma information has been prepared in accordance with Article 11 of Regulation S-X, "Pro Forma Financial information.” The pro forma information is presented to facilitate comparisons with our results following the acquisition. Lexmark's 2025 historical results have been adjusted to reflect the costs of financing the transactions, fair value adjustments related to inventory, real and personal property (equipment and computer hardware and software) and intangible assets. In addition, adjustments were made to conform Lexmark's accounting policies to those of Xerox, including deferred revenue and inventory. In accordance with Article 11 of Regulation S-X, these proforma results exclude adjustments associated with transaction related costs which are already included in the historical financial statements.</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We believe comparisons on a pro-forma basis are more meaningful than the actual comparisons given the size and nature of the Lexmark acquisition. We believe the pro forma basis comparisons allow investors to have a better understanding and additional perspective of the expected trends in our business as well as the impact of the Lexmark acquisition on the Company’s operations. The pro forma financial information is based upon available information and assumptions that we believe are reasonable and is for illustrative purposes only. The pro forma combined financial information below should be read in conjunction with the consolidated financial statements and related notes to our 2025 Form 10-K.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pro forma monetary amounts, percentages, and other financial figures included in the Company’s first quarter 2026 earnings materials, including the prepared remarks, investor presentation, and press release have been subject to rounding adjustments. Accordingly, minor differences may exist among such materials. These variances, which result solely from rounding, are not considered material.</w:t>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240" w:after="6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68" w:before="240" w:after="60"/>
        <w:ind w:left="0" w:right="0" w:hanging="360"/>
        <w:jc w:val="both"/>
        <w:rPr>
          <w:rFonts w:ascii="Arial;sans-serif" w:hAnsi="Arial;sans-serif"/>
          <w:b/>
          <w:color w:val="DA2031"/>
          <w:sz w:val="20"/>
        </w:rPr>
      </w:pPr>
      <w:r>
        <w:rPr>
          <w:rFonts w:ascii="Arial;sans-serif" w:hAnsi="Arial;sans-serif"/>
          <w:b/>
          <w:color w:val="DA2031"/>
          <w:sz w:val="20"/>
        </w:rPr>
        <w:t>Pro Forma Revenues and Key Financial Ratios</w:t>
      </w:r>
    </w:p>
    <w:tbl>
      <w:tblPr>
        <w:tblW w:w="10205" w:type="dxa"/>
        <w:jc w:val="left"/>
        <w:tblInd w:w="0" w:type="dxa"/>
        <w:tblLayout w:type="fixed"/>
        <w:tblCellMar>
          <w:top w:w="28" w:type="dxa"/>
          <w:left w:w="28" w:type="dxa"/>
          <w:bottom w:w="28" w:type="dxa"/>
          <w:right w:w="28" w:type="dxa"/>
        </w:tblCellMar>
      </w:tblPr>
      <w:tblGrid>
        <w:gridCol w:w="930"/>
        <w:gridCol w:w="742"/>
        <w:gridCol w:w="755"/>
        <w:gridCol w:w="125"/>
        <w:gridCol w:w="125"/>
        <w:gridCol w:w="125"/>
        <w:gridCol w:w="226"/>
        <w:gridCol w:w="643"/>
        <w:gridCol w:w="296"/>
        <w:gridCol w:w="125"/>
        <w:gridCol w:w="125"/>
        <w:gridCol w:w="125"/>
        <w:gridCol w:w="226"/>
        <w:gridCol w:w="643"/>
        <w:gridCol w:w="296"/>
        <w:gridCol w:w="109"/>
        <w:gridCol w:w="109"/>
        <w:gridCol w:w="109"/>
        <w:gridCol w:w="196"/>
        <w:gridCol w:w="556"/>
        <w:gridCol w:w="256"/>
        <w:gridCol w:w="109"/>
        <w:gridCol w:w="109"/>
        <w:gridCol w:w="109"/>
        <w:gridCol w:w="233"/>
        <w:gridCol w:w="233"/>
        <w:gridCol w:w="234"/>
        <w:gridCol w:w="109"/>
        <w:gridCol w:w="109"/>
        <w:gridCol w:w="109"/>
        <w:gridCol w:w="416"/>
        <w:gridCol w:w="416"/>
        <w:gridCol w:w="417"/>
        <w:gridCol w:w="125"/>
        <w:gridCol w:w="125"/>
        <w:gridCol w:w="126"/>
        <w:gridCol w:w="109"/>
        <w:gridCol w:w="109"/>
        <w:gridCol w:w="166"/>
      </w:tblGrid>
      <w:tr>
        <w:trPr/>
        <w:tc>
          <w:tcPr>
            <w:tcW w:w="9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As 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Change </w:t>
              <w:br/>
              <w:t>B/(W)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B/(W)</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29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29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256"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Post sale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IT Solutions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to Condensed Consolidated Statements of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Supplies, paper and other sales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IT Products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Xerox Financial Services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IT Services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Services, maintenance, rentals and other</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u w:val="single"/>
              </w:rPr>
              <w:t>Segments</w:t>
            </w:r>
            <w:r>
              <w:rPr>
                <w:rFonts w:ascii="Arial;sans-serif" w:hAnsi="Arial;sans-serif"/>
                <w:b/>
                <w:color w:val="000000"/>
                <w:sz w:val="10"/>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 and Other</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 Solutions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Intersegment elimination </w:t>
            </w:r>
            <w:r>
              <w:rPr>
                <w:rFonts w:ascii="Arial;sans-serif" w:hAnsi="Arial;sans-serif"/>
                <w:b w:val="false"/>
                <w:color w:val="000000"/>
                <w:sz w:val="10"/>
              </w:rPr>
              <w:t>(3)</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Profit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Margin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Equipment </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Post sale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Margin</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RD&amp;E</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3"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RD&amp;E as a % of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SAG</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SAG as a % of Revenue</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29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360"/>
        <w:jc w:val="both"/>
        <w:rPr/>
      </w:pPr>
      <w:r>
        <w:rPr>
          <w:rFonts w:ascii="Arial;sans-serif" w:hAnsi="Arial;sans-serif"/>
          <w:b w:val="false"/>
          <w:i/>
          <w:color w:val="000000"/>
          <w:sz w:val="16"/>
        </w:rPr>
        <w:t>________</w:t>
      </w:r>
      <w:r>
        <w:rPr>
          <w:rFonts w:ascii="Arial;sans-serif" w:hAnsi="Arial;sans-serif"/>
          <w:b w:val="false"/>
          <w:color w:val="000000"/>
          <w:sz w:val="16"/>
        </w:rPr>
        <w:t>__</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(1)Reflects the inclusion of Lexmark's estimated results from January 1, 2025 through March 31, 2025. Lexmark's actual results are included in Xerox's reported results beginning on July 1, 2025, the effective date of the acquisition. ITsavvy results for the full first quarter of 2026 and 2025 are included in our consolidated results. Accordingly, there are no pro forma impacts related to the IT Solutions segment.</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(2)Refer to Appendix II, Reportable Segments, for definitions.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(3)Primarily reflects IT hardware, software solutions and services sold by the IT Solutions segment to the Print and Other segment.</w:t>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68" w:before="300" w:after="60"/>
        <w:ind w:left="0" w:right="0" w:hanging="450"/>
        <w:jc w:val="both"/>
        <w:rPr>
          <w:rFonts w:ascii="Arial;sans-serif" w:hAnsi="Arial;sans-serif"/>
          <w:b/>
          <w:color w:val="DA2031"/>
          <w:sz w:val="20"/>
        </w:rPr>
      </w:pPr>
      <w:r>
        <w:rPr>
          <w:rFonts w:ascii="Arial;sans-serif" w:hAnsi="Arial;sans-serif"/>
          <w:b/>
          <w:color w:val="DA2031"/>
          <w:sz w:val="20"/>
        </w:rPr>
        <w:t xml:space="preserve">Pro Forma Print and Other Revenue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2"/>
        <w:gridCol w:w="978"/>
        <w:gridCol w:w="995"/>
        <w:gridCol w:w="109"/>
        <w:gridCol w:w="109"/>
        <w:gridCol w:w="109"/>
        <w:gridCol w:w="196"/>
        <w:gridCol w:w="556"/>
        <w:gridCol w:w="109"/>
        <w:gridCol w:w="109"/>
        <w:gridCol w:w="109"/>
        <w:gridCol w:w="109"/>
        <w:gridCol w:w="196"/>
        <w:gridCol w:w="556"/>
        <w:gridCol w:w="109"/>
        <w:gridCol w:w="109"/>
        <w:gridCol w:w="109"/>
        <w:gridCol w:w="109"/>
        <w:gridCol w:w="228"/>
        <w:gridCol w:w="648"/>
        <w:gridCol w:w="126"/>
        <w:gridCol w:w="109"/>
        <w:gridCol w:w="109"/>
        <w:gridCol w:w="109"/>
        <w:gridCol w:w="228"/>
        <w:gridCol w:w="228"/>
        <w:gridCol w:w="230"/>
        <w:gridCol w:w="109"/>
        <w:gridCol w:w="109"/>
        <w:gridCol w:w="109"/>
        <w:gridCol w:w="597"/>
        <w:gridCol w:w="597"/>
        <w:gridCol w:w="599"/>
        <w:gridCol w:w="109"/>
        <w:gridCol w:w="163"/>
      </w:tblGrid>
      <w:tr>
        <w:trPr/>
        <w:tc>
          <w:tcPr>
            <w:tcW w:w="112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 xml:space="preserve">(1) </w:t>
            </w: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242424"/>
                <w:sz w:val="16"/>
              </w:rPr>
            </w:pPr>
            <w:r>
              <w:rPr>
                <w:rFonts w:ascii="Arial;sans-serif" w:hAnsi="Arial;sans-serif"/>
                <w:b w:val="false"/>
                <w:color w:val="242424"/>
                <w:sz w:val="16"/>
              </w:rPr>
              <w:t>Supplies, paper and other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Services, maintenance, rentals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Xerox Financial Services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Post sale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(1)Reflects the inclusion of Lexmark's estimated results from January 1, 2025 through March 31, 2025. Lexmark's actual results are included in Xerox's reported results beginning on July 1, 2025, the effective date of the acquisition. </w:t>
      </w:r>
    </w:p>
    <w:p>
      <w:pPr>
        <w:pStyle w:val="TextBody"/>
        <w:bidi w:val="0"/>
        <w:spacing w:lineRule="auto" w:line="268" w:before="300" w:after="60"/>
        <w:ind w:left="0" w:right="0" w:hanging="360"/>
        <w:jc w:val="both"/>
        <w:rPr>
          <w:rFonts w:ascii="Arial;sans-serif" w:hAnsi="Arial;sans-serif"/>
          <w:b/>
          <w:color w:val="DA2031"/>
          <w:sz w:val="20"/>
        </w:rPr>
      </w:pPr>
      <w:r>
        <w:rPr>
          <w:rFonts w:ascii="Arial;sans-serif" w:hAnsi="Arial;sans-serif"/>
          <w:b/>
          <w:color w:val="DA2031"/>
          <w:sz w:val="20"/>
        </w:rPr>
        <w:t>Pro Forma Adjusted Gross Profit and Margin</w:t>
      </w:r>
    </w:p>
    <w:p>
      <w:pPr>
        <w:pStyle w:val="TextBody"/>
        <w:bidi w:val="0"/>
        <w:spacing w:before="60" w:after="283"/>
        <w:jc w:val="both"/>
        <w:rPr/>
      </w:pPr>
      <w:r>
        <w:rPr/>
      </w:r>
    </w:p>
    <w:tbl>
      <w:tblPr>
        <w:tblW w:w="10205" w:type="dxa"/>
        <w:jc w:val="left"/>
        <w:tblInd w:w="0" w:type="dxa"/>
        <w:tblLayout w:type="fixed"/>
        <w:tblCellMar>
          <w:top w:w="28" w:type="dxa"/>
          <w:left w:w="28" w:type="dxa"/>
          <w:bottom w:w="28" w:type="dxa"/>
          <w:right w:w="28" w:type="dxa"/>
        </w:tblCellMar>
      </w:tblPr>
      <w:tblGrid>
        <w:gridCol w:w="1801"/>
        <w:gridCol w:w="1491"/>
        <w:gridCol w:w="1521"/>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09"/>
        <w:gridCol w:w="109"/>
        <w:gridCol w:w="109"/>
        <w:gridCol w:w="109"/>
        <w:gridCol w:w="155"/>
      </w:tblGrid>
      <w:tr>
        <w:trPr/>
        <w:tc>
          <w:tcPr>
            <w:tcW w:w="180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4813"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Revenue</w:t>
            </w:r>
            <w:r>
              <w:rPr>
                <w:rFonts w:ascii="Arial;sans-serif" w:hAnsi="Arial;sans-serif"/>
                <w:b/>
                <w:color w:val="000000"/>
                <w:sz w:val="10"/>
              </w:rPr>
              <w:t>(1)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of revenue</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Gross Profit and Margin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 impact related to the exit of certain Production Print manufacturing operations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Lexmark - fixed asset-related purchase accounting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Adjusted Gross Profit and Margin </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0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(1)Total Revenues and cost of revenues</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(2)Reflects the inclusion of Lexmark's estimated results from January 1, 2025 through March 31, 2025. Lexmark's actual results are included in Xerox's reported results beginning on July 1, 2025, the effective date of the acquisition.</w:t>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60" w:after="60"/>
        <w:ind w:left="0" w:right="0" w:hanging="360"/>
        <w:jc w:val="both"/>
        <w:rPr/>
      </w:pPr>
      <w:r>
        <w:rPr/>
      </w:r>
    </w:p>
    <w:p>
      <w:pPr>
        <w:pStyle w:val="TextBody"/>
        <w:bidi w:val="0"/>
        <w:spacing w:lineRule="auto" w:line="268" w:before="60" w:after="283"/>
        <w:jc w:val="both"/>
        <w:rPr>
          <w:rFonts w:ascii="Arial;sans-serif" w:hAnsi="Arial;sans-serif"/>
          <w:b/>
          <w:color w:val="DA2031"/>
          <w:sz w:val="20"/>
        </w:rPr>
      </w:pPr>
      <w:r>
        <w:rPr>
          <w:rFonts w:ascii="Arial;sans-serif" w:hAnsi="Arial;sans-serif"/>
          <w:b/>
          <w:color w:val="DA2031"/>
          <w:sz w:val="20"/>
        </w:rPr>
        <w:t xml:space="preserve">Pro Forma Adjusted Operating Income and Margin reconciliation </w:t>
      </w:r>
    </w:p>
    <w:tbl>
      <w:tblPr>
        <w:tblW w:w="10205" w:type="dxa"/>
        <w:jc w:val="left"/>
        <w:tblInd w:w="0" w:type="dxa"/>
        <w:tblLayout w:type="fixed"/>
        <w:tblCellMar>
          <w:top w:w="28" w:type="dxa"/>
          <w:left w:w="28" w:type="dxa"/>
          <w:bottom w:w="28" w:type="dxa"/>
          <w:right w:w="28" w:type="dxa"/>
        </w:tblCellMar>
      </w:tblPr>
      <w:tblGrid>
        <w:gridCol w:w="1498"/>
        <w:gridCol w:w="1085"/>
        <w:gridCol w:w="974"/>
        <w:gridCol w:w="109"/>
        <w:gridCol w:w="109"/>
        <w:gridCol w:w="109"/>
        <w:gridCol w:w="196"/>
        <w:gridCol w:w="460"/>
        <w:gridCol w:w="256"/>
        <w:gridCol w:w="109"/>
        <w:gridCol w:w="109"/>
        <w:gridCol w:w="109"/>
        <w:gridCol w:w="196"/>
        <w:gridCol w:w="370"/>
        <w:gridCol w:w="256"/>
        <w:gridCol w:w="109"/>
        <w:gridCol w:w="109"/>
        <w:gridCol w:w="109"/>
        <w:gridCol w:w="196"/>
        <w:gridCol w:w="556"/>
        <w:gridCol w:w="256"/>
        <w:gridCol w:w="109"/>
        <w:gridCol w:w="109"/>
        <w:gridCol w:w="109"/>
        <w:gridCol w:w="196"/>
        <w:gridCol w:w="421"/>
        <w:gridCol w:w="109"/>
        <w:gridCol w:w="125"/>
        <w:gridCol w:w="125"/>
        <w:gridCol w:w="126"/>
        <w:gridCol w:w="300"/>
        <w:gridCol w:w="603"/>
        <w:gridCol w:w="167"/>
        <w:gridCol w:w="123"/>
        <w:gridCol w:w="123"/>
        <w:gridCol w:w="180"/>
      </w:tblGrid>
      <w:tr>
        <w:trPr/>
        <w:tc>
          <w:tcPr>
            <w:tcW w:w="149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March 31,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Pro Forma</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Change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(Loss)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Reported</w:t>
            </w:r>
            <w:r>
              <w:rPr>
                <w:rFonts w:ascii="Arial;sans-serif" w:hAnsi="Arial;sans-serif"/>
                <w:b/>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Pre-tax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Inventory-related impact - exit of certain production print manufacturing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Lexmark - fixed asset-related purchase accounting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Transformation-related costs</w:t>
            </w:r>
            <w:r>
              <w:rPr>
                <w:rFonts w:ascii="Arial;sans-serif" w:hAnsi="Arial;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costs,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Non-financing interest expense</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(income) expenses, net </w:t>
            </w:r>
            <w:r>
              <w:rPr>
                <w:rFonts w:ascii="Arial;sans-serif" w:hAnsi="Arial;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Loss Margin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r>
    </w:tbl>
    <w:p>
      <w:pPr>
        <w:pStyle w:val="TextBody"/>
        <w:bidi w:val="0"/>
        <w:spacing w:lineRule="auto" w:line="268" w:before="120" w:after="283"/>
        <w:ind w:left="0" w:right="0" w:hanging="360"/>
        <w:jc w:val="both"/>
        <w:rPr>
          <w:rFonts w:ascii="Arial;sans-serif" w:hAnsi="Arial;sans-serif"/>
          <w:b w:val="false"/>
          <w:i/>
          <w:color w:val="000000"/>
          <w:sz w:val="16"/>
        </w:rPr>
      </w:pPr>
      <w:r>
        <w:rPr>
          <w:rFonts w:ascii="Arial;sans-serif" w:hAnsi="Arial;sans-serif"/>
          <w:b w:val="false"/>
          <w:i/>
          <w:color w:val="000000"/>
          <w:sz w:val="16"/>
        </w:rPr>
        <w:t>_____________</w:t>
      </w:r>
    </w:p>
    <w:p>
      <w:pPr>
        <w:pStyle w:val="TextBody"/>
        <w:bidi w:val="0"/>
        <w:spacing w:lineRule="auto" w:line="268" w:before="60" w:after="283"/>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(1)Net (Loss)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 xml:space="preserve">(2)Reflects the inclusion of Lexmark's estimated results from January 1, 2025 through March 31, 2025. Lexmark's actual results are included in Xerox's reported results beginning on July 1, 2025, the effective date of the acquisition. </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(3)In the first quarter of 2026, Xerox Holdings Corporation renamed “Reinvention-related costs” to “Transformation-related costs.” This change in terminology did not affect the nature of the costs.</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(4)Reflects interest expense primarily related to the recently completed borrowings in support of the Lexmark acquisition financing, repayment of existing borrowings and general corporate purposes, as well as interest related to the funding from the Joint Venture Financing arrangement entered into with TPG in the first quarter of 2026.</w:t>
      </w:r>
    </w:p>
    <w:p>
      <w:pPr>
        <w:pStyle w:val="TextBody"/>
        <w:bidi w:val="0"/>
        <w:spacing w:lineRule="auto" w:line="268"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(5)Includes non-service retirement-related costs as well as a gain of $56 million related to the early repayment of a portion of our 5.500% Senior Unsecured Notes due August 2028 (the "2028 Senior Unsecured Notes").</w:t>
      </w:r>
    </w:p>
    <w:p>
      <w:pPr>
        <w:pStyle w:val="TextBody"/>
        <w:bidi w:val="0"/>
        <w:spacing w:before="120" w:after="283"/>
        <w:ind w:left="0" w:right="0" w:hanging="360"/>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ind w:left="0" w:right="0" w:hanging="360"/>
        <w:jc w:val="both"/>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APPENDIX I</w:t>
      </w:r>
    </w:p>
    <w:p>
      <w:pPr>
        <w:pStyle w:val="TextBody"/>
        <w:bidi w:val="0"/>
        <w:spacing w:lineRule="auto" w:line="288" w:before="240" w:after="283"/>
        <w:jc w:val="left"/>
        <w:rPr>
          <w:rFonts w:ascii="Arial;sans-serif" w:hAnsi="Arial;sans-serif"/>
          <w:b/>
          <w:color w:val="DA2031"/>
          <w:sz w:val="22"/>
          <w:shd w:fill="FFFFFF" w:val="clear"/>
        </w:rPr>
      </w:pPr>
      <w:r>
        <w:rPr>
          <w:rFonts w:ascii="Arial;sans-serif" w:hAnsi="Arial;sans-serif"/>
          <w:b/>
          <w:color w:val="DA2031"/>
          <w:sz w:val="22"/>
          <w:shd w:fill="FFFFFF" w:val="clear"/>
        </w:rPr>
        <w:t>Xerox Holdings Corporation</w:t>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 xml:space="preserve">Loss per Share </w:t>
      </w:r>
    </w:p>
    <w:tbl>
      <w:tblPr>
        <w:tblW w:w="10205" w:type="dxa"/>
        <w:jc w:val="left"/>
        <w:tblInd w:w="0" w:type="dxa"/>
        <w:tblLayout w:type="fixed"/>
        <w:tblCellMar>
          <w:top w:w="28" w:type="dxa"/>
          <w:left w:w="28" w:type="dxa"/>
          <w:bottom w:w="28" w:type="dxa"/>
          <w:right w:w="28" w:type="dxa"/>
        </w:tblCellMar>
      </w:tblPr>
      <w:tblGrid>
        <w:gridCol w:w="2165"/>
        <w:gridCol w:w="1797"/>
        <w:gridCol w:w="1803"/>
        <w:gridCol w:w="181"/>
        <w:gridCol w:w="181"/>
        <w:gridCol w:w="181"/>
        <w:gridCol w:w="326"/>
        <w:gridCol w:w="926"/>
        <w:gridCol w:w="181"/>
        <w:gridCol w:w="181"/>
        <w:gridCol w:w="181"/>
        <w:gridCol w:w="181"/>
        <w:gridCol w:w="326"/>
        <w:gridCol w:w="926"/>
        <w:gridCol w:w="181"/>
        <w:gridCol w:w="109"/>
        <w:gridCol w:w="109"/>
        <w:gridCol w:w="109"/>
        <w:gridCol w:w="161"/>
      </w:tblGrid>
      <w:tr>
        <w:trPr/>
        <w:tc>
          <w:tcPr>
            <w:tcW w:w="216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per-share data, shares in thousands)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Loss per Share:</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dividends on preferred stock</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loss available to common shareholders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doub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128,985 </w:t>
            </w:r>
          </w:p>
        </w:tc>
        <w:tc>
          <w:tcPr>
            <w:tcW w:w="181" w:type="dxa"/>
            <w:tcBorders>
              <w:top w:val="doub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doub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125,194 </w:t>
            </w:r>
          </w:p>
        </w:tc>
        <w:tc>
          <w:tcPr>
            <w:tcW w:w="181" w:type="dxa"/>
            <w:tcBorders>
              <w:top w:val="doub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Loss per Share</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Loss per Share:</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dividends on preferred stock</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loss available to common shareholders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doub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128,985 </w:t>
            </w:r>
          </w:p>
        </w:tc>
        <w:tc>
          <w:tcPr>
            <w:tcW w:w="181" w:type="dxa"/>
            <w:tcBorders>
              <w:top w:val="doub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doub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125,194 </w:t>
            </w:r>
          </w:p>
        </w:tc>
        <w:tc>
          <w:tcPr>
            <w:tcW w:w="181" w:type="dxa"/>
            <w:tcBorders>
              <w:top w:val="doub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issuable with respect to:</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Notes</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weighted average common shares outstanding</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128,985 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125,194 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Loss per Share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securities were not included in the computation of diluted loss per share as they were either contingently issuable shares or shares that if included would have been anti-dilutive:</w:t>
            </w:r>
          </w:p>
        </w:tc>
        <w:tc>
          <w:tcPr>
            <w:tcW w:w="488" w:type="dxa"/>
            <w:gridSpan w:val="4"/>
            <w:tcBorders/>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Notes</w:t>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19,196 </w:t>
            </w:r>
          </w:p>
        </w:tc>
        <w:tc>
          <w:tcPr>
            <w:tcW w:w="1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Anti-Dilutive Securities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117,961 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Dividends per Common Share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0.025 </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0.125 </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 xml:space="preserve">APPENDIX II </w:t>
      </w:r>
    </w:p>
    <w:p>
      <w:pPr>
        <w:pStyle w:val="TextBody"/>
        <w:bidi w:val="0"/>
        <w:spacing w:lineRule="auto" w:line="288" w:before="0" w:after="0"/>
        <w:jc w:val="left"/>
        <w:rPr>
          <w:rFonts w:ascii="Arial;sans-serif" w:hAnsi="Arial;sans-serif"/>
          <w:b/>
          <w:color w:val="DA2031"/>
          <w:sz w:val="22"/>
        </w:rPr>
      </w:pPr>
      <w:r>
        <w:rPr>
          <w:rFonts w:ascii="Arial;sans-serif" w:hAnsi="Arial;sans-serif"/>
          <w:b/>
          <w:color w:val="DA2031"/>
          <w:sz w:val="22"/>
        </w:rPr>
        <w:t>Xerox Holdings Corporation</w:t>
      </w:r>
    </w:p>
    <w:p>
      <w:pPr>
        <w:pStyle w:val="TextBody"/>
        <w:bidi w:val="0"/>
        <w:spacing w:lineRule="auto" w:line="288" w:before="0" w:after="0"/>
        <w:jc w:val="both"/>
        <w:rPr>
          <w:rFonts w:ascii="Arial;sans-serif" w:hAnsi="Arial;sans-serif"/>
          <w:b/>
          <w:color w:val="DA2031"/>
          <w:sz w:val="22"/>
        </w:rPr>
      </w:pPr>
      <w:r>
        <w:rPr>
          <w:rFonts w:ascii="Arial;sans-serif" w:hAnsi="Arial;sans-serif"/>
          <w:b/>
          <w:color w:val="DA2031"/>
          <w:sz w:val="22"/>
        </w:rPr>
        <w:t>Reportable Segments</w:t>
      </w:r>
    </w:p>
    <w:p>
      <w:pPr>
        <w:pStyle w:val="TextBody"/>
        <w:bidi w:val="0"/>
        <w:spacing w:lineRule="auto" w:line="268" w:before="100" w:after="283"/>
        <w:jc w:val="both"/>
        <w:rPr/>
      </w:pPr>
      <w:r>
        <w:rPr>
          <w:rFonts w:ascii="Arial;sans-serif" w:hAnsi="Arial;sans-serif"/>
          <w:b w:val="false"/>
          <w:color w:val="000000"/>
          <w:sz w:val="20"/>
        </w:rPr>
        <w:t xml:space="preserve">Our reportable segments are aligned with how we manage the business and view the markets we serve. During the first quarter of 2025, the Company updated its determination of reportable segments to align with a change in how the Chief Operating Decision Maker (CODM), our Chief Executive Officer (CEO), allocates resources and assesses performance against the Company’s key growth strategies. As such, it was determined that there are two reportable segments - </w:t>
      </w:r>
      <w:r>
        <w:rPr>
          <w:rFonts w:ascii="Arial;sans-serif" w:hAnsi="Arial;sans-serif"/>
          <w:b/>
          <w:color w:val="DA2031"/>
          <w:sz w:val="20"/>
        </w:rPr>
        <w:t>Print and Other</w:t>
      </w:r>
      <w:r>
        <w:rPr>
          <w:rFonts w:ascii="Arial;sans-serif" w:hAnsi="Arial;sans-serif"/>
          <w:b w:val="false"/>
          <w:color w:val="000000"/>
          <w:sz w:val="20"/>
        </w:rPr>
        <w:t xml:space="preserve">, and </w:t>
      </w:r>
      <w:r>
        <w:rPr>
          <w:rFonts w:ascii="Arial;sans-serif" w:hAnsi="Arial;sans-serif"/>
          <w:b/>
          <w:color w:val="DA2031"/>
          <w:sz w:val="20"/>
        </w:rPr>
        <w:t>IT Solutions</w:t>
      </w:r>
      <w:r>
        <w:rPr>
          <w:rFonts w:ascii="Arial;sans-serif" w:hAnsi="Arial;sans-serif"/>
          <w:b w:val="false"/>
          <w:color w:val="000000"/>
          <w:sz w:val="20"/>
        </w:rPr>
        <w:t xml:space="preserve">. Prior to this change, the Company had determined that there were two reportable segments - Print and Other and Xerox Financial Solutions (XFS). As a result of this change, prior period reportable segment results and related disclosures have been conformed to reflect the Company’s current reportable segments. Refer to </w:t>
      </w:r>
      <w:r>
        <w:rPr>
          <w:rFonts w:ascii="Arial;sans-serif" w:hAnsi="Arial;sans-serif"/>
          <w:b w:val="false"/>
          <w:i/>
          <w:color w:val="DA2031"/>
          <w:sz w:val="20"/>
        </w:rPr>
        <w:t>Reportable Segments - Segment Review</w:t>
      </w:r>
      <w:r>
        <w:rPr>
          <w:rFonts w:ascii="Arial;sans-serif" w:hAnsi="Arial;sans-serif"/>
          <w:b/>
          <w:i/>
          <w:color w:val="000000"/>
          <w:sz w:val="20"/>
        </w:rPr>
        <w:t>,</w:t>
      </w:r>
      <w:r>
        <w:rPr>
          <w:color w:val="000000"/>
        </w:rPr>
        <w:t xml:space="preserve"> </w:t>
      </w:r>
      <w:r>
        <w:rPr>
          <w:rFonts w:ascii="Arial;sans-serif" w:hAnsi="Arial;sans-serif"/>
          <w:b w:val="false"/>
          <w:color w:val="000000"/>
          <w:sz w:val="20"/>
        </w:rPr>
        <w:t>for additional information related to these two segments.</w:t>
      </w:r>
    </w:p>
    <w:p>
      <w:pPr>
        <w:pStyle w:val="TextBody"/>
        <w:bidi w:val="0"/>
        <w:spacing w:lineRule="auto" w:line="268" w:before="100" w:after="283"/>
        <w:jc w:val="both"/>
        <w:rPr/>
      </w:pPr>
      <w:r>
        <w:rPr>
          <w:rFonts w:ascii="Arial;sans-serif" w:hAnsi="Arial;sans-serif"/>
          <w:b w:val="false"/>
          <w:color w:val="000000"/>
          <w:sz w:val="20"/>
        </w:rPr>
        <w:t xml:space="preserve">During 2024, the Company acquired ITsavvy Acquisition Company, Inc. (ITsavvy), a technology infrastructure solutions provider. As a result of this acquisition, during the first quarter of 2025, we reassessed our operating and reportable segments and determined that, based on the information provided to our CODM, as well as the CEO's management and assessment of the Company's operations, we had two operating and reportable segments - </w:t>
      </w:r>
      <w:r>
        <w:rPr>
          <w:rFonts w:ascii="Arial;sans-serif" w:hAnsi="Arial;sans-serif"/>
          <w:b/>
          <w:color w:val="DA2031"/>
          <w:sz w:val="20"/>
        </w:rPr>
        <w:t xml:space="preserve">Print </w:t>
      </w:r>
    </w:p>
    <w:p>
      <w:pPr>
        <w:pStyle w:val="TextBody"/>
        <w:bidi w:val="0"/>
        <w:spacing w:lineRule="auto" w:line="288" w:before="0" w:after="0"/>
        <w:jc w:val="both"/>
        <w:rPr/>
      </w:pPr>
      <w:r>
        <w:rPr>
          <w:rFonts w:ascii="Arial;sans-serif" w:hAnsi="Arial;sans-serif"/>
          <w:b/>
          <w:color w:val="DA2031"/>
          <w:sz w:val="20"/>
        </w:rPr>
        <w:t>and Other</w:t>
      </w:r>
      <w:r>
        <w:rPr>
          <w:rFonts w:ascii="Arial;sans-serif" w:hAnsi="Arial;sans-serif"/>
          <w:b w:val="false"/>
          <w:color w:val="000000"/>
          <w:sz w:val="20"/>
        </w:rPr>
        <w:t xml:space="preserve">, and </w:t>
      </w:r>
      <w:r>
        <w:rPr>
          <w:rFonts w:ascii="Arial;sans-serif" w:hAnsi="Arial;sans-serif"/>
          <w:b/>
          <w:color w:val="DA2031"/>
          <w:sz w:val="20"/>
        </w:rPr>
        <w:t>IT Solutions</w:t>
      </w:r>
      <w:r>
        <w:rPr>
          <w:rFonts w:ascii="Arial;sans-serif" w:hAnsi="Arial;sans-serif"/>
          <w:b w:val="false"/>
          <w:color w:val="000000"/>
          <w:sz w:val="20"/>
        </w:rPr>
        <w:t>. We also determined that there were no other businesses that met the requirements to be considered separate operating segments, including our former operating/reporting segment, XFS, whose results are now included in the Print and Other operating/reporting segment.</w:t>
      </w:r>
    </w:p>
    <w:p>
      <w:pPr>
        <w:pStyle w:val="TextBody"/>
        <w:bidi w:val="0"/>
        <w:spacing w:lineRule="auto" w:line="268" w:before="100" w:after="283"/>
        <w:jc w:val="both"/>
        <w:rPr/>
      </w:pPr>
      <w:r>
        <w:rPr>
          <w:rFonts w:ascii="Arial;sans-serif" w:hAnsi="Arial;sans-serif"/>
          <w:b w:val="false"/>
          <w:color w:val="000000"/>
          <w:sz w:val="20"/>
        </w:rPr>
        <w:t xml:space="preserve">Our </w:t>
      </w:r>
      <w:r>
        <w:rPr>
          <w:rFonts w:ascii="Arial;sans-serif" w:hAnsi="Arial;sans-serif"/>
          <w:b/>
          <w:color w:val="DA2031"/>
          <w:sz w:val="20"/>
        </w:rPr>
        <w:t>Print and Other</w:t>
      </w:r>
      <w:r>
        <w:rPr>
          <w:color w:val="000000"/>
        </w:rPr>
        <w:t xml:space="preserve"> </w:t>
      </w:r>
      <w:r>
        <w:rPr>
          <w:rFonts w:ascii="Arial;sans-serif" w:hAnsi="Arial;sans-serif"/>
          <w:b w:val="false"/>
          <w:color w:val="000000"/>
          <w:sz w:val="20"/>
        </w:rPr>
        <w:t>segment includes the design, development and sale of document management systems, supplies and services, as well as associated financing and technology-related offerings, digital and print-related software products and services. The segment also includes the delivery of managed services that involve a continuum of solutions and services that help our customers optimize their print and communications infrastructure, apply automation and simplification to maximize productivity, and ensure the highest levels of security. This segment also includes the Lexmark acquisition. In addition, the segment includes Xerox Financial Services, a global financing solutions provider, primarily enabling the sale of our equipment and services (previously reported XFS segment), which includes commissions and other payments for the exclusive right to provide lease financing for Xerox products. The product groupings range from:</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20"/>
        </w:rPr>
        <w:t>Entry”</w:t>
      </w:r>
      <w:r>
        <w:rPr>
          <w:rFonts w:ascii="Arial;sans-serif" w:hAnsi="Arial;sans-serif"/>
          <w:b w:val="false"/>
          <w:color w:val="000000"/>
          <w:sz w:val="20"/>
        </w:rPr>
        <w:t>, which include A4 devices and desktop printers and multifunction devices that primarily serve small and medium workgroups/work teams.</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Mid-Range”</w:t>
      </w:r>
      <w:r>
        <w:rPr>
          <w:rFonts w:ascii="Arial;sans-serif" w:hAnsi="Arial;sans-serif"/>
          <w:b w:val="false"/>
          <w:color w:val="000000"/>
          <w:sz w:val="20"/>
        </w:rPr>
        <w:t>, which include A3 devices that generally serve large workgroup/work team environments as well as products in the Light Production product groups serving centralized print centers, print for pay and low volume production print establishments.</w:t>
      </w:r>
    </w:p>
    <w:p>
      <w:pPr>
        <w:pStyle w:val="TextBody"/>
        <w:bidi w:val="0"/>
        <w:spacing w:lineRule="auto" w:line="288" w:before="60" w:after="283"/>
        <w:ind w:left="0" w:right="0" w:hanging="360"/>
        <w:jc w:val="both"/>
        <w:rPr/>
      </w:pPr>
      <w:r>
        <w:rPr>
          <w:color w:val="000000"/>
        </w:rPr>
        <w:t>•“</w:t>
      </w:r>
      <w:r>
        <w:rPr>
          <w:rFonts w:ascii="Arial;sans-serif" w:hAnsi="Arial;sans-serif"/>
          <w:b/>
          <w:color w:val="000000"/>
          <w:sz w:val="20"/>
        </w:rPr>
        <w:t>High-End”</w:t>
      </w:r>
      <w:r>
        <w:rPr>
          <w:rFonts w:ascii="Arial;sans-serif" w:hAnsi="Arial;sans-serif"/>
          <w:b w:val="false"/>
          <w:color w:val="000000"/>
          <w:sz w:val="20"/>
        </w:rPr>
        <w:t xml:space="preserve">, which include production printing and publishing systems that generally serve the graphic communications marketplace and print centers in large enterprises.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Customers range from small and mid-sized businesses to large enterprises. Customers also include graphic communication enterprises as well as channel partners including distributors and resellers. </w:t>
      </w:r>
    </w:p>
    <w:p>
      <w:pPr>
        <w:pStyle w:val="TextBody"/>
        <w:bidi w:val="0"/>
        <w:spacing w:lineRule="auto" w:line="268" w:before="100" w:after="283"/>
        <w:jc w:val="both"/>
        <w:rPr/>
      </w:pPr>
      <w:r>
        <w:rPr>
          <w:rFonts w:ascii="Arial;sans-serif" w:hAnsi="Arial;sans-serif"/>
          <w:b w:val="false"/>
          <w:color w:val="000000"/>
          <w:sz w:val="20"/>
        </w:rPr>
        <w:t xml:space="preserve">Our </w:t>
      </w:r>
      <w:r>
        <w:rPr>
          <w:rFonts w:ascii="Arial;sans-serif" w:hAnsi="Arial;sans-serif"/>
          <w:b/>
          <w:color w:val="DA2031"/>
          <w:sz w:val="20"/>
        </w:rPr>
        <w:t>IT Solutions</w:t>
      </w:r>
      <w:r>
        <w:rPr>
          <w:color w:val="000000"/>
        </w:rPr>
        <w:t xml:space="preserve"> </w:t>
      </w:r>
      <w:r>
        <w:rPr>
          <w:rFonts w:ascii="Arial;sans-serif" w:hAnsi="Arial;sans-serif"/>
          <w:b w:val="false"/>
          <w:color w:val="000000"/>
          <w:sz w:val="20"/>
        </w:rPr>
        <w:t>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3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10430</Words>
  <Characters>58445</Characters>
  <CharactersWithSpaces>67588</CharactersWithSpaces>
  <Paragraphs>2165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