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1000"/>
        <w:spacing w:after="0"/>
        <w:rPr>
          <w:sz w:val="20"/>
          <w:szCs w:val="20"/>
          <w:color w:val="auto"/>
        </w:rPr>
      </w:pPr>
      <w:r>
        <w:rPr>
          <w:rFonts w:ascii="Arial" w:cs="Arial" w:eastAsia="Arial" w:hAnsi="Arial"/>
          <w:sz w:val="17"/>
          <w:szCs w:val="17"/>
          <w:color w:val="7F160E"/>
        </w:rPr>
        <w:t>______________________________________________________________________________________________________</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53" w:lineRule="exact"/>
        <w:rPr>
          <w:sz w:val="24"/>
          <w:szCs w:val="24"/>
          <w:color w:val="auto"/>
        </w:rPr>
      </w:pPr>
    </w:p>
    <w:p>
      <w:pPr>
        <w:ind w:left="1120"/>
        <w:spacing w:after="0"/>
        <w:rPr>
          <w:sz w:val="20"/>
          <w:szCs w:val="20"/>
          <w:color w:val="auto"/>
        </w:rPr>
      </w:pPr>
      <w:r>
        <w:rPr>
          <w:rFonts w:ascii="Arial" w:cs="Arial" w:eastAsia="Arial" w:hAnsi="Arial"/>
          <w:sz w:val="17"/>
          <w:szCs w:val="17"/>
          <w:color w:val="7F160E"/>
        </w:rPr>
        <w:t>_____________________________________________________________________________________________________</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28, 2020</w:t>
      </w:r>
    </w:p>
    <w:p>
      <w:pPr>
        <w:spacing w:after="0" w:line="32" w:lineRule="exact"/>
        <w:rPr>
          <w:sz w:val="24"/>
          <w:szCs w:val="24"/>
          <w:color w:val="auto"/>
        </w:rPr>
      </w:pPr>
    </w:p>
    <w:p>
      <w:pPr>
        <w:ind w:left="1120"/>
        <w:spacing w:after="0"/>
        <w:rPr>
          <w:sz w:val="20"/>
          <w:szCs w:val="20"/>
          <w:color w:val="auto"/>
        </w:rPr>
      </w:pPr>
      <w:r>
        <w:rPr>
          <w:rFonts w:ascii="Arial" w:cs="Arial" w:eastAsia="Arial" w:hAnsi="Arial"/>
          <w:sz w:val="17"/>
          <w:szCs w:val="17"/>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270510</wp:posOffset>
            </wp:positionV>
            <wp:extent cx="120904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XEROX HOLDINGS CORPORATION</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XEROX CORPORATION</w:t>
      </w:r>
    </w:p>
    <w:p>
      <w:pPr>
        <w:spacing w:after="0" w:line="72"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167" w:lineRule="exact"/>
        <w:rPr>
          <w:sz w:val="24"/>
          <w:szCs w:val="24"/>
          <w:color w:val="auto"/>
        </w:rPr>
      </w:pPr>
    </w:p>
    <w:tbl>
      <w:tblPr>
        <w:tblLayout w:type="fixed"/>
        <w:tblInd w:w="100" w:type="dxa"/>
        <w:tblCellMar>
          <w:top w:w="0" w:type="dxa"/>
          <w:left w:w="0" w:type="dxa"/>
          <w:bottom w:w="0" w:type="dxa"/>
          <w:right w:w="0" w:type="dxa"/>
        </w:tblCellMar>
      </w:tblPr>
      <w:tr>
        <w:trPr>
          <w:trHeight w:val="215"/>
        </w:trPr>
        <w:tc>
          <w:tcPr>
            <w:tcW w:w="4220" w:type="dxa"/>
            <w:vAlign w:val="bottom"/>
          </w:tcPr>
          <w:p>
            <w:pPr>
              <w:jc w:val="center"/>
              <w:ind w:right="462"/>
              <w:spacing w:after="0"/>
              <w:rPr>
                <w:sz w:val="20"/>
                <w:szCs w:val="20"/>
                <w:color w:val="auto"/>
              </w:rPr>
            </w:pPr>
            <w:r>
              <w:rPr>
                <w:rFonts w:ascii="Arial" w:cs="Arial" w:eastAsia="Arial" w:hAnsi="Arial"/>
                <w:sz w:val="16"/>
                <w:szCs w:val="16"/>
                <w:b w:val="1"/>
                <w:bCs w:val="1"/>
                <w:color w:val="auto"/>
                <w:w w:val="98"/>
              </w:rPr>
              <w:t>New York</w:t>
            </w:r>
          </w:p>
        </w:tc>
        <w:tc>
          <w:tcPr>
            <w:tcW w:w="3400" w:type="dxa"/>
            <w:vAlign w:val="bottom"/>
          </w:tcPr>
          <w:p>
            <w:pPr>
              <w:jc w:val="center"/>
              <w:ind w:right="582"/>
              <w:spacing w:after="0"/>
              <w:rPr>
                <w:sz w:val="20"/>
                <w:szCs w:val="20"/>
                <w:color w:val="auto"/>
              </w:rPr>
            </w:pPr>
            <w:r>
              <w:rPr>
                <w:rFonts w:ascii="Arial" w:cs="Arial" w:eastAsia="Arial" w:hAnsi="Arial"/>
                <w:sz w:val="16"/>
                <w:szCs w:val="16"/>
                <w:b w:val="1"/>
                <w:bCs w:val="1"/>
                <w:color w:val="auto"/>
              </w:rPr>
              <w:t>001-39013</w:t>
            </w:r>
          </w:p>
        </w:tc>
        <w:tc>
          <w:tcPr>
            <w:tcW w:w="2100" w:type="dxa"/>
            <w:vAlign w:val="bottom"/>
          </w:tcPr>
          <w:p>
            <w:pPr>
              <w:jc w:val="center"/>
              <w:ind w:left="1122"/>
              <w:spacing w:after="0"/>
              <w:rPr>
                <w:sz w:val="20"/>
                <w:szCs w:val="20"/>
                <w:color w:val="auto"/>
              </w:rPr>
            </w:pPr>
            <w:r>
              <w:rPr>
                <w:rFonts w:ascii="Arial" w:cs="Arial" w:eastAsia="Arial" w:hAnsi="Arial"/>
                <w:sz w:val="16"/>
                <w:szCs w:val="16"/>
                <w:b w:val="1"/>
                <w:bCs w:val="1"/>
                <w:color w:val="auto"/>
              </w:rPr>
              <w:t>83-3933743</w:t>
            </w:r>
          </w:p>
        </w:tc>
      </w:tr>
      <w:tr>
        <w:trPr>
          <w:trHeight w:val="243"/>
        </w:trPr>
        <w:tc>
          <w:tcPr>
            <w:tcW w:w="4220" w:type="dxa"/>
            <w:vAlign w:val="bottom"/>
          </w:tcPr>
          <w:p>
            <w:pPr>
              <w:jc w:val="center"/>
              <w:ind w:right="462"/>
              <w:spacing w:after="0"/>
              <w:rPr>
                <w:sz w:val="20"/>
                <w:szCs w:val="20"/>
                <w:color w:val="auto"/>
              </w:rPr>
            </w:pPr>
            <w:r>
              <w:rPr>
                <w:rFonts w:ascii="Arial" w:cs="Arial" w:eastAsia="Arial" w:hAnsi="Arial"/>
                <w:sz w:val="16"/>
                <w:szCs w:val="16"/>
                <w:b w:val="1"/>
                <w:bCs w:val="1"/>
                <w:color w:val="auto"/>
                <w:w w:val="98"/>
              </w:rPr>
              <w:t>New York</w:t>
            </w:r>
          </w:p>
        </w:tc>
        <w:tc>
          <w:tcPr>
            <w:tcW w:w="3400" w:type="dxa"/>
            <w:vAlign w:val="bottom"/>
          </w:tcPr>
          <w:p>
            <w:pPr>
              <w:jc w:val="center"/>
              <w:ind w:right="582"/>
              <w:spacing w:after="0"/>
              <w:rPr>
                <w:sz w:val="20"/>
                <w:szCs w:val="20"/>
                <w:color w:val="auto"/>
              </w:rPr>
            </w:pPr>
            <w:r>
              <w:rPr>
                <w:rFonts w:ascii="Arial" w:cs="Arial" w:eastAsia="Arial" w:hAnsi="Arial"/>
                <w:sz w:val="16"/>
                <w:szCs w:val="16"/>
                <w:b w:val="1"/>
                <w:bCs w:val="1"/>
                <w:color w:val="auto"/>
              </w:rPr>
              <w:t>001-04471</w:t>
            </w:r>
          </w:p>
        </w:tc>
        <w:tc>
          <w:tcPr>
            <w:tcW w:w="2100" w:type="dxa"/>
            <w:vAlign w:val="bottom"/>
          </w:tcPr>
          <w:p>
            <w:pPr>
              <w:jc w:val="center"/>
              <w:ind w:left="1122"/>
              <w:spacing w:after="0"/>
              <w:rPr>
                <w:sz w:val="20"/>
                <w:szCs w:val="20"/>
                <w:color w:val="auto"/>
              </w:rPr>
            </w:pPr>
            <w:r>
              <w:rPr>
                <w:rFonts w:ascii="Arial" w:cs="Arial" w:eastAsia="Arial" w:hAnsi="Arial"/>
                <w:sz w:val="16"/>
                <w:szCs w:val="16"/>
                <w:b w:val="1"/>
                <w:bCs w:val="1"/>
                <w:color w:val="auto"/>
              </w:rPr>
              <w:t>16-0468020</w:t>
            </w:r>
          </w:p>
        </w:tc>
      </w:tr>
      <w:tr>
        <w:trPr>
          <w:trHeight w:val="213"/>
        </w:trPr>
        <w:tc>
          <w:tcPr>
            <w:tcW w:w="4220" w:type="dxa"/>
            <w:vAlign w:val="bottom"/>
          </w:tcPr>
          <w:p>
            <w:pPr>
              <w:jc w:val="center"/>
              <w:ind w:right="442"/>
              <w:spacing w:after="0"/>
              <w:rPr>
                <w:sz w:val="20"/>
                <w:szCs w:val="20"/>
                <w:color w:val="auto"/>
              </w:rPr>
            </w:pPr>
            <w:r>
              <w:rPr>
                <w:rFonts w:ascii="Arial" w:cs="Arial" w:eastAsia="Arial" w:hAnsi="Arial"/>
                <w:sz w:val="14"/>
                <w:szCs w:val="14"/>
                <w:color w:val="auto"/>
              </w:rPr>
              <w:t>(State or other jurisdiction of incorporation or organization)</w:t>
            </w:r>
          </w:p>
        </w:tc>
        <w:tc>
          <w:tcPr>
            <w:tcW w:w="3400" w:type="dxa"/>
            <w:vAlign w:val="bottom"/>
          </w:tcPr>
          <w:p>
            <w:pPr>
              <w:jc w:val="center"/>
              <w:ind w:right="582"/>
              <w:spacing w:after="0"/>
              <w:rPr>
                <w:sz w:val="20"/>
                <w:szCs w:val="20"/>
                <w:color w:val="auto"/>
              </w:rPr>
            </w:pPr>
            <w:r>
              <w:rPr>
                <w:rFonts w:ascii="Arial" w:cs="Arial" w:eastAsia="Arial" w:hAnsi="Arial"/>
                <w:sz w:val="14"/>
                <w:szCs w:val="14"/>
                <w:color w:val="auto"/>
              </w:rPr>
              <w:t>(Commission File Number)</w:t>
            </w:r>
          </w:p>
        </w:tc>
        <w:tc>
          <w:tcPr>
            <w:tcW w:w="2100" w:type="dxa"/>
            <w:vAlign w:val="bottom"/>
          </w:tcPr>
          <w:p>
            <w:pPr>
              <w:jc w:val="center"/>
              <w:ind w:left="1082"/>
              <w:spacing w:after="0"/>
              <w:rPr>
                <w:sz w:val="20"/>
                <w:szCs w:val="20"/>
                <w:color w:val="auto"/>
              </w:rPr>
            </w:pPr>
            <w:r>
              <w:rPr>
                <w:rFonts w:ascii="Arial" w:cs="Arial" w:eastAsia="Arial" w:hAnsi="Arial"/>
                <w:sz w:val="14"/>
                <w:szCs w:val="14"/>
                <w:color w:val="auto"/>
              </w:rPr>
              <w:t>(IRS Employer</w:t>
            </w:r>
          </w:p>
        </w:tc>
      </w:tr>
    </w:tbl>
    <w:p>
      <w:pPr>
        <w:ind w:left="8820"/>
        <w:spacing w:after="0"/>
        <w:rPr>
          <w:sz w:val="20"/>
          <w:szCs w:val="20"/>
          <w:color w:val="auto"/>
        </w:rPr>
      </w:pPr>
      <w:r>
        <w:rPr>
          <w:rFonts w:ascii="Arial" w:cs="Arial" w:eastAsia="Arial" w:hAnsi="Arial"/>
          <w:sz w:val="14"/>
          <w:szCs w:val="14"/>
          <w:color w:val="auto"/>
        </w:rPr>
        <w:t>Identification No.)</w:t>
      </w: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201 Merritt 7</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Norwalk , Connecticut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06851-1056</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( 203 ) 968-3000</w:t>
      </w:r>
    </w:p>
    <w:p>
      <w:pPr>
        <w:spacing w:after="0" w:line="32" w:lineRule="exact"/>
        <w:rPr>
          <w:sz w:val="24"/>
          <w:szCs w:val="24"/>
          <w:color w:val="auto"/>
        </w:rPr>
      </w:pPr>
    </w:p>
    <w:p>
      <w:pPr>
        <w:ind w:left="1080"/>
        <w:spacing w:after="0"/>
        <w:rPr>
          <w:sz w:val="20"/>
          <w:szCs w:val="20"/>
          <w:color w:val="auto"/>
        </w:rPr>
      </w:pPr>
      <w:r>
        <w:rPr>
          <w:rFonts w:ascii="Arial" w:cs="Arial" w:eastAsia="Arial" w:hAnsi="Arial"/>
          <w:sz w:val="17"/>
          <w:szCs w:val="17"/>
          <w:color w:val="7F160E"/>
        </w:rPr>
        <w:t>_____________________________________________________________________________________________________</w:t>
      </w:r>
    </w:p>
    <w:p>
      <w:pPr>
        <w:spacing w:after="0" w:line="74"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â˜</w:t>
            </w: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05"/>
        </w:trPr>
        <w:tc>
          <w:tcPr>
            <w:tcW w:w="400" w:type="dxa"/>
            <w:vAlign w:val="bottom"/>
          </w:tcPr>
          <w:p>
            <w:pPr>
              <w:spacing w:after="0"/>
              <w:rPr>
                <w:sz w:val="20"/>
                <w:szCs w:val="20"/>
                <w:color w:val="auto"/>
              </w:rPr>
            </w:pPr>
            <w:r>
              <w:rPr>
                <w:rFonts w:ascii="Arial" w:cs="Arial" w:eastAsia="Arial" w:hAnsi="Arial"/>
                <w:sz w:val="18"/>
                <w:szCs w:val="18"/>
                <w:color w:val="auto"/>
              </w:rPr>
              <w:t>â˜</w:t>
            </w: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05"/>
        </w:trPr>
        <w:tc>
          <w:tcPr>
            <w:tcW w:w="400" w:type="dxa"/>
            <w:vAlign w:val="bottom"/>
          </w:tcPr>
          <w:p>
            <w:pPr>
              <w:spacing w:after="0"/>
              <w:rPr>
                <w:sz w:val="20"/>
                <w:szCs w:val="20"/>
                <w:color w:val="auto"/>
              </w:rPr>
            </w:pPr>
            <w:r>
              <w:rPr>
                <w:rFonts w:ascii="Arial" w:cs="Arial" w:eastAsia="Arial" w:hAnsi="Arial"/>
                <w:sz w:val="18"/>
                <w:szCs w:val="18"/>
                <w:color w:val="auto"/>
              </w:rPr>
              <w:t>â˜</w:t>
            </w: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05"/>
        </w:trPr>
        <w:tc>
          <w:tcPr>
            <w:tcW w:w="400" w:type="dxa"/>
            <w:vAlign w:val="bottom"/>
          </w:tcPr>
          <w:p>
            <w:pPr>
              <w:spacing w:after="0"/>
              <w:rPr>
                <w:sz w:val="20"/>
                <w:szCs w:val="20"/>
                <w:color w:val="auto"/>
              </w:rPr>
            </w:pPr>
            <w:r>
              <w:rPr>
                <w:rFonts w:ascii="Arial" w:cs="Arial" w:eastAsia="Arial" w:hAnsi="Arial"/>
                <w:sz w:val="18"/>
                <w:szCs w:val="18"/>
                <w:color w:val="auto"/>
              </w:rPr>
              <w:t>â˜</w:t>
            </w:r>
          </w:p>
        </w:tc>
        <w:tc>
          <w:tcPr>
            <w:tcW w:w="10000" w:type="dxa"/>
            <w:vAlign w:val="bottom"/>
            <w:gridSpan w:val="3"/>
          </w:tcPr>
          <w:p>
            <w:pPr>
              <w:ind w:left="2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493"/>
        </w:trPr>
        <w:tc>
          <w:tcPr>
            <w:tcW w:w="400" w:type="dxa"/>
            <w:vAlign w:val="bottom"/>
          </w:tcPr>
          <w:p>
            <w:pPr>
              <w:spacing w:after="0"/>
              <w:rPr>
                <w:sz w:val="24"/>
                <w:szCs w:val="24"/>
                <w:color w:val="auto"/>
              </w:rPr>
            </w:pPr>
          </w:p>
        </w:tc>
        <w:tc>
          <w:tcPr>
            <w:tcW w:w="10000" w:type="dxa"/>
            <w:vAlign w:val="bottom"/>
            <w:gridSpan w:val="3"/>
          </w:tcPr>
          <w:p>
            <w:pPr>
              <w:jc w:val="center"/>
              <w:ind w:left="413"/>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43"/>
        </w:trPr>
        <w:tc>
          <w:tcPr>
            <w:tcW w:w="400" w:type="dxa"/>
            <w:vAlign w:val="bottom"/>
          </w:tcPr>
          <w:p>
            <w:pPr>
              <w:spacing w:after="0"/>
              <w:rPr>
                <w:sz w:val="21"/>
                <w:szCs w:val="21"/>
                <w:color w:val="auto"/>
              </w:rPr>
            </w:pPr>
          </w:p>
        </w:tc>
        <w:tc>
          <w:tcPr>
            <w:tcW w:w="4440" w:type="dxa"/>
            <w:vAlign w:val="bottom"/>
          </w:tcPr>
          <w:p>
            <w:pPr>
              <w:ind w:left="1400"/>
              <w:spacing w:after="0"/>
              <w:rPr>
                <w:sz w:val="20"/>
                <w:szCs w:val="20"/>
                <w:color w:val="auto"/>
              </w:rPr>
            </w:pPr>
            <w:r>
              <w:rPr>
                <w:rFonts w:ascii="Arial" w:cs="Arial" w:eastAsia="Arial" w:hAnsi="Arial"/>
                <w:sz w:val="16"/>
                <w:szCs w:val="16"/>
                <w:color w:val="auto"/>
              </w:rPr>
              <w:t>Title of each class</w:t>
            </w:r>
          </w:p>
        </w:tc>
        <w:tc>
          <w:tcPr>
            <w:tcW w:w="1860" w:type="dxa"/>
            <w:vAlign w:val="bottom"/>
          </w:tcPr>
          <w:p>
            <w:pPr>
              <w:jc w:val="center"/>
              <w:ind w:right="155"/>
              <w:spacing w:after="0"/>
              <w:rPr>
                <w:sz w:val="20"/>
                <w:szCs w:val="20"/>
                <w:color w:val="auto"/>
              </w:rPr>
            </w:pPr>
            <w:r>
              <w:rPr>
                <w:rFonts w:ascii="Arial" w:cs="Arial" w:eastAsia="Arial" w:hAnsi="Arial"/>
                <w:sz w:val="16"/>
                <w:szCs w:val="16"/>
                <w:color w:val="auto"/>
              </w:rPr>
              <w:t>Trading Symbol</w:t>
            </w:r>
          </w:p>
        </w:tc>
        <w:tc>
          <w:tcPr>
            <w:tcW w:w="3700" w:type="dxa"/>
            <w:vAlign w:val="bottom"/>
          </w:tcPr>
          <w:p>
            <w:pPr>
              <w:jc w:val="center"/>
              <w:ind w:left="395"/>
              <w:spacing w:after="0"/>
              <w:rPr>
                <w:sz w:val="20"/>
                <w:szCs w:val="20"/>
                <w:color w:val="auto"/>
              </w:rPr>
            </w:pPr>
            <w:r>
              <w:rPr>
                <w:rFonts w:ascii="Arial" w:cs="Arial" w:eastAsia="Arial" w:hAnsi="Arial"/>
                <w:sz w:val="16"/>
                <w:szCs w:val="16"/>
                <w:color w:val="auto"/>
              </w:rPr>
              <w:t>Name of each exchange on which registered</w:t>
            </w:r>
          </w:p>
        </w:tc>
      </w:tr>
      <w:tr>
        <w:trPr>
          <w:trHeight w:val="263"/>
        </w:trPr>
        <w:tc>
          <w:tcPr>
            <w:tcW w:w="4840" w:type="dxa"/>
            <w:vAlign w:val="bottom"/>
            <w:gridSpan w:val="2"/>
          </w:tcPr>
          <w:p>
            <w:pPr>
              <w:spacing w:after="0"/>
              <w:rPr>
                <w:sz w:val="20"/>
                <w:szCs w:val="20"/>
                <w:color w:val="auto"/>
              </w:rPr>
            </w:pPr>
            <w:r>
              <w:rPr>
                <w:rFonts w:ascii="Arial" w:cs="Arial" w:eastAsia="Arial" w:hAnsi="Arial"/>
                <w:sz w:val="18"/>
                <w:szCs w:val="18"/>
                <w:color w:val="auto"/>
              </w:rPr>
              <w:t>Xerox Holdings Corporation Common Stock, $1 par value</w:t>
            </w:r>
          </w:p>
        </w:tc>
        <w:tc>
          <w:tcPr>
            <w:tcW w:w="1860" w:type="dxa"/>
            <w:vAlign w:val="bottom"/>
          </w:tcPr>
          <w:p>
            <w:pPr>
              <w:jc w:val="center"/>
              <w:ind w:right="155"/>
              <w:spacing w:after="0"/>
              <w:rPr>
                <w:sz w:val="20"/>
                <w:szCs w:val="20"/>
                <w:color w:val="auto"/>
              </w:rPr>
            </w:pPr>
            <w:r>
              <w:rPr>
                <w:rFonts w:ascii="Arial" w:cs="Arial" w:eastAsia="Arial" w:hAnsi="Arial"/>
                <w:sz w:val="18"/>
                <w:szCs w:val="18"/>
                <w:color w:val="auto"/>
              </w:rPr>
              <w:t>XRX</w:t>
            </w:r>
          </w:p>
        </w:tc>
        <w:tc>
          <w:tcPr>
            <w:tcW w:w="3700" w:type="dxa"/>
            <w:vAlign w:val="bottom"/>
          </w:tcPr>
          <w:p>
            <w:pPr>
              <w:jc w:val="center"/>
              <w:ind w:left="395"/>
              <w:spacing w:after="0"/>
              <w:rPr>
                <w:sz w:val="20"/>
                <w:szCs w:val="20"/>
                <w:color w:val="auto"/>
              </w:rPr>
            </w:pPr>
            <w:r>
              <w:rPr>
                <w:rFonts w:ascii="Arial" w:cs="Arial" w:eastAsia="Arial" w:hAnsi="Arial"/>
                <w:sz w:val="18"/>
                <w:szCs w:val="18"/>
                <w:color w:val="auto"/>
                <w:w w:val="98"/>
              </w:rPr>
              <w:t>New York Stock Exchange</w:t>
            </w:r>
          </w:p>
        </w:tc>
      </w:tr>
    </w:tbl>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5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1" w:name="page2"/>
    <w:bookmarkEnd w:id="1"/>
    <w:p>
      <w:pPr>
        <w:ind w:right="5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4"/>
          <w:szCs w:val="14"/>
          <w:color w:val="auto"/>
        </w:rPr>
        <w:t>â˜</w:t>
      </w:r>
    </w:p>
    <w:p>
      <w:pPr>
        <w:spacing w:after="0" w:line="7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â˜</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On April 28, 2020 , Registrant released its first quarter 2020 earnings and is furnishing to the Securities and Exchange Commission ("SEC") a copy of the earnings press release as Exhibit 99.1 to this Report under Item 2.02 of Form 8-K.</w:t>
      </w:r>
    </w:p>
    <w:p>
      <w:pPr>
        <w:spacing w:after="0" w:line="15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6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56"/>
        </w:trPr>
        <w:tc>
          <w:tcPr>
            <w:tcW w:w="1240" w:type="dxa"/>
            <w:vAlign w:val="bottom"/>
          </w:tcPr>
          <w:p>
            <w:pPr>
              <w:ind w:left="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99.1</w:t>
              </w:r>
            </w:hyperlink>
          </w:p>
        </w:tc>
        <w:tc>
          <w:tcPr>
            <w:tcW w:w="10000" w:type="dxa"/>
            <w:vAlign w:val="bottom"/>
          </w:tcPr>
          <w:p>
            <w:pPr>
              <w:ind w:left="260"/>
              <w:spacing w:after="0"/>
              <w:rPr>
                <w:sz w:val="20"/>
                <w:szCs w:val="20"/>
                <w:color w:val="auto"/>
              </w:rPr>
            </w:pPr>
            <w:r>
              <w:rPr>
                <w:rFonts w:ascii="Arial" w:cs="Arial" w:eastAsia="Arial" w:hAnsi="Arial"/>
                <w:sz w:val="18"/>
                <w:szCs w:val="18"/>
                <w:color w:val="auto"/>
              </w:rPr>
              <w:t>Registrant’s first quarter 2020 earnings press release dated April 28, 2020</w:t>
            </w:r>
          </w:p>
        </w:tc>
      </w:tr>
      <w:tr>
        <w:trPr>
          <w:trHeight w:val="965"/>
        </w:trPr>
        <w:tc>
          <w:tcPr>
            <w:tcW w:w="124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16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This filing,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12529"/>
        </w:rPr>
        <w:t>The effects of the COVID-19 pandemic have materially affected how we and our customers are operating our businesses, and the duration and extent to which this will impact our future results of operations and overall financial performance remain uncertain.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COVID-19 pandemic has negatively impacted the global economy, disrupted customer spending and global supply chains, and created significant volatility and disruption of financial markets. The extent of the impact of the COVID-19 pandemic on our business and financial performance, including our ability to execute our near-term and long-term business strategies and initiatives within the expected time frames, will depend on future developments, including the duration and severity of the pandemic and </w:t>
      </w:r>
      <w:r>
        <w:rPr>
          <w:rFonts w:ascii="Arial" w:cs="Arial" w:eastAsia="Arial" w:hAnsi="Arial"/>
          <w:sz w:val="18"/>
          <w:szCs w:val="18"/>
          <w:color w:val="212529"/>
        </w:rPr>
        <w:t>the extent and effectiveness of containment</w:t>
      </w:r>
      <w:r>
        <w:rPr>
          <w:rFonts w:ascii="Arial" w:cs="Arial" w:eastAsia="Arial" w:hAnsi="Arial"/>
          <w:sz w:val="18"/>
          <w:szCs w:val="18"/>
          <w:color w:val="auto"/>
        </w:rPr>
        <w:t xml:space="preserve"> </w:t>
      </w:r>
      <w:r>
        <w:rPr>
          <w:rFonts w:ascii="Arial" w:cs="Arial" w:eastAsia="Arial" w:hAnsi="Arial"/>
          <w:sz w:val="18"/>
          <w:szCs w:val="18"/>
          <w:color w:val="212529"/>
        </w:rPr>
        <w:t xml:space="preserve">actions, </w:t>
      </w:r>
      <w:r>
        <w:rPr>
          <w:rFonts w:ascii="Arial" w:cs="Arial" w:eastAsia="Arial" w:hAnsi="Arial"/>
          <w:sz w:val="18"/>
          <w:szCs w:val="18"/>
          <w:color w:val="000000"/>
        </w:rPr>
        <w:t>the availability of therapeutics and the development of a vaccine, which are uncertain and cannot be predicted.</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12529"/>
        </w:rPr>
        <w:t xml:space="preserve">Our operations are being negatively affected by a range of external factors related to the COVID-19 pandemic that are not within our control. For example, most countries, states, counties and cities have imposed and continue to impose a wide range of restrictions on our employees’, partners’ and customers’ physical movement to limit the spread of COVID-19 </w:t>
      </w:r>
      <w:r>
        <w:rPr>
          <w:rFonts w:ascii="Arial" w:cs="Arial" w:eastAsia="Arial" w:hAnsi="Arial"/>
          <w:sz w:val="18"/>
          <w:szCs w:val="18"/>
          <w:color w:val="000000"/>
        </w:rPr>
        <w:t>including travel bans and restrictions, quarantines,</w:t>
      </w:r>
      <w:r>
        <w:rPr>
          <w:rFonts w:ascii="Arial" w:cs="Arial" w:eastAsia="Arial" w:hAnsi="Arial"/>
          <w:sz w:val="18"/>
          <w:szCs w:val="18"/>
          <w:color w:val="212529"/>
        </w:rPr>
        <w:t xml:space="preserve"> </w:t>
      </w:r>
      <w:r>
        <w:rPr>
          <w:rFonts w:ascii="Arial" w:cs="Arial" w:eastAsia="Arial" w:hAnsi="Arial"/>
          <w:sz w:val="18"/>
          <w:szCs w:val="18"/>
          <w:color w:val="000000"/>
        </w:rPr>
        <w:t xml:space="preserve">shelter-in-place orders, and business limitations and shutdowns. </w:t>
      </w:r>
      <w:r>
        <w:rPr>
          <w:rFonts w:ascii="Arial" w:cs="Arial" w:eastAsia="Arial" w:hAnsi="Arial"/>
          <w:sz w:val="18"/>
          <w:szCs w:val="18"/>
          <w:color w:val="212529"/>
        </w:rPr>
        <w:t>Such restrictions limit our ability, as well as that of our channel partners, to</w:t>
      </w:r>
      <w:r>
        <w:rPr>
          <w:rFonts w:ascii="Arial" w:cs="Arial" w:eastAsia="Arial" w:hAnsi="Arial"/>
          <w:sz w:val="18"/>
          <w:szCs w:val="18"/>
          <w:color w:val="000000"/>
        </w:rPr>
        <w:t xml:space="preserve"> </w:t>
      </w:r>
      <w:r>
        <w:rPr>
          <w:rFonts w:ascii="Arial" w:cs="Arial" w:eastAsia="Arial" w:hAnsi="Arial"/>
          <w:sz w:val="18"/>
          <w:szCs w:val="18"/>
          <w:color w:val="212529"/>
        </w:rPr>
        <w:t>sell, install and service our equipment for our customers, negatively impacting our operations and financial performance. Further, many countries are requiring businesses to remain closed unless they or their employees are deemed essential. In turn, businesses are requiring their office employees to work from home for extended periods of time, which is negatively impacting both sales and use of Xerox products, supplies and services. The longer this persists, the greater effect it will have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spacing w:after="0" w:line="256" w:lineRule="auto"/>
        <w:rPr>
          <w:sz w:val="20"/>
          <w:szCs w:val="20"/>
          <w:color w:val="auto"/>
        </w:rPr>
      </w:pPr>
      <w:r>
        <w:rPr>
          <w:rFonts w:ascii="Arial" w:cs="Arial" w:eastAsia="Arial" w:hAnsi="Arial"/>
          <w:sz w:val="18"/>
          <w:szCs w:val="18"/>
          <w:color w:val="auto"/>
        </w:rPr>
        <w:t>These forward-looking statements speak only as of the date of this filing or as of the date to which they refer, and Xerox assumes no obligation to update any forward-looking statements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1380490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55" w:right="5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XEROX HOLDINGS CORPORATION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/J</w:t>
      </w:r>
      <w:r>
        <w:rPr>
          <w:rFonts w:ascii="Arial" w:cs="Arial" w:eastAsia="Arial" w:hAnsi="Arial"/>
          <w:sz w:val="14"/>
          <w:szCs w:val="14"/>
          <w:color w:val="auto"/>
        </w:rPr>
        <w:t>OSEPH</w:t>
      </w:r>
      <w:r>
        <w:rPr>
          <w:rFonts w:ascii="Arial" w:cs="Arial" w:eastAsia="Arial" w:hAnsi="Arial"/>
          <w:sz w:val="18"/>
          <w:szCs w:val="18"/>
          <w:color w:val="auto"/>
        </w:rPr>
        <w:t xml:space="preserve"> H.M</w:t>
      </w:r>
      <w:r>
        <w:rPr>
          <w:rFonts w:ascii="Arial" w:cs="Arial" w:eastAsia="Arial" w:hAnsi="Arial"/>
          <w:sz w:val="14"/>
          <w:szCs w:val="14"/>
          <w:color w:val="auto"/>
        </w:rPr>
        <w:t>ANCINI</w:t>
      </w:r>
      <w:r>
        <w:rPr>
          <w:rFonts w:ascii="Arial" w:cs="Arial" w:eastAsia="Arial" w:hAnsi="Arial"/>
          <w:sz w:val="18"/>
          <w:szCs w:val="18"/>
          <w:color w:val="auto"/>
        </w:rPr>
        <w:t>,J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Joseph H. Mancini, Jr.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Vice President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Chief Accounting Officer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(Principal Accounting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XEROX CORPORATION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/J</w:t>
      </w:r>
      <w:r>
        <w:rPr>
          <w:rFonts w:ascii="Arial" w:cs="Arial" w:eastAsia="Arial" w:hAnsi="Arial"/>
          <w:sz w:val="14"/>
          <w:szCs w:val="14"/>
          <w:color w:val="auto"/>
        </w:rPr>
        <w:t>OSEPH</w:t>
      </w:r>
      <w:r>
        <w:rPr>
          <w:rFonts w:ascii="Arial" w:cs="Arial" w:eastAsia="Arial" w:hAnsi="Arial"/>
          <w:sz w:val="18"/>
          <w:szCs w:val="18"/>
          <w:color w:val="auto"/>
        </w:rPr>
        <w:t xml:space="preserve"> H.M</w:t>
      </w:r>
      <w:r>
        <w:rPr>
          <w:rFonts w:ascii="Arial" w:cs="Arial" w:eastAsia="Arial" w:hAnsi="Arial"/>
          <w:sz w:val="14"/>
          <w:szCs w:val="14"/>
          <w:color w:val="auto"/>
        </w:rPr>
        <w:t>ANCINI</w:t>
      </w:r>
      <w:r>
        <w:rPr>
          <w:rFonts w:ascii="Arial" w:cs="Arial" w:eastAsia="Arial" w:hAnsi="Arial"/>
          <w:sz w:val="18"/>
          <w:szCs w:val="18"/>
          <w:color w:val="auto"/>
        </w:rPr>
        <w:t>,J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2305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Joseph H. Mancini, Jr.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Vice President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Chief Accounting Officer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1"/>
        </w:trPr>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60" w:type="dxa"/>
            <w:vAlign w:val="bottom"/>
          </w:tcPr>
          <w:p>
            <w:pPr>
              <w:ind w:left="3320"/>
              <w:spacing w:after="0"/>
              <w:rPr>
                <w:sz w:val="20"/>
                <w:szCs w:val="20"/>
                <w:color w:val="auto"/>
              </w:rPr>
            </w:pPr>
            <w:r>
              <w:rPr>
                <w:rFonts w:ascii="Arial" w:cs="Arial" w:eastAsia="Arial" w:hAnsi="Arial"/>
                <w:sz w:val="20"/>
                <w:szCs w:val="20"/>
                <w:b w:val="1"/>
                <w:bCs w:val="1"/>
                <w:color w:val="auto"/>
              </w:rPr>
              <w:t>EXHIBIT INDEX</w:t>
            </w:r>
          </w:p>
        </w:tc>
      </w:tr>
      <w:tr>
        <w:trPr>
          <w:trHeight w:val="597"/>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480" w:type="dxa"/>
            <w:vAlign w:val="bottom"/>
            <w:tcBorders>
              <w:top w:val="single" w:sz="8" w:color="auto"/>
            </w:tcBorders>
          </w:tcPr>
          <w:p>
            <w:pPr>
              <w:ind w:left="18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99.1</w:t>
              </w:r>
            </w:hyperlink>
          </w:p>
        </w:tc>
        <w:tc>
          <w:tcPr>
            <w:tcW w:w="100" w:type="dxa"/>
            <w:vAlign w:val="bottom"/>
          </w:tcPr>
          <w:p>
            <w:pPr>
              <w:spacing w:after="0"/>
              <w:rPr>
                <w:sz w:val="21"/>
                <w:szCs w:val="21"/>
                <w:color w:val="auto"/>
              </w:rPr>
            </w:pPr>
          </w:p>
        </w:tc>
        <w:tc>
          <w:tcPr>
            <w:tcW w:w="9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Registrant’s first quarter 2020 earnings press release dated April 28, 2020</w:t>
            </w:r>
          </w:p>
        </w:tc>
      </w:tr>
      <w:tr>
        <w:trPr>
          <w:trHeight w:val="257"/>
        </w:trPr>
        <w:tc>
          <w:tcPr>
            <w:tcW w:w="1480" w:type="dxa"/>
            <w:vAlign w:val="bottom"/>
          </w:tcPr>
          <w:p>
            <w:pPr>
              <w:ind w:left="1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270"/>
        </w:trPr>
        <w:tc>
          <w:tcPr>
            <w:tcW w:w="1480" w:type="dxa"/>
            <w:vAlign w:val="bottom"/>
          </w:tcPr>
          <w:p>
            <w:pPr>
              <w:ind w:left="1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The cover page from this Current Report on Form 8-K, formatted as Inline XBRL.</w:t>
            </w:r>
          </w:p>
        </w:tc>
      </w:tr>
    </w:tbl>
    <w:p>
      <w:pPr>
        <w:sectPr>
          <w:pgSz w:w="11900" w:h="16838" w:orient="portrait"/>
          <w:cols w:equalWidth="0" w:num="1">
            <w:col w:w="11240"/>
          </w:cols>
          <w:pgMar w:left="320" w:top="544" w:right="339" w:bottom="1440" w:gutter="0" w:footer="0" w:header="0"/>
        </w:sectPr>
      </w:pPr>
    </w:p>
    <w:bookmarkStart w:id="6" w:name="page7"/>
    <w:bookmarkEnd w:id="6"/>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4674235</wp:posOffset>
            </wp:positionH>
            <wp:positionV relativeFrom="page">
              <wp:posOffset>123190</wp:posOffset>
            </wp:positionV>
            <wp:extent cx="120840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8405" cy="240030"/>
                    </a:xfrm>
                    <a:prstGeom prst="rect">
                      <a:avLst/>
                    </a:prstGeom>
                    <a:noFill/>
                  </pic:spPr>
                </pic:pic>
              </a:graphicData>
            </a:graphic>
          </wp:anchor>
        </w:drawing>
        <w:t xml:space="preserve">News from Xerox Holdings Corporatio </w:t>
      </w:r>
      <w:r>
        <w:rPr>
          <w:rFonts w:ascii="Arial" w:cs="Arial" w:eastAsia="Arial" w:hAnsi="Arial"/>
          <w:sz w:val="35"/>
          <w:szCs w:val="35"/>
          <w:color w:val="auto"/>
        </w:rPr>
        <w:t>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909295"/>
        </w:rPr>
        <w:t>For Immediate Release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4"/>
          <w:szCs w:val="14"/>
          <w:color w:val="909295"/>
        </w:rPr>
        <w:t>Xerox Holdings Corporation</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4"/>
          <w:szCs w:val="14"/>
          <w:color w:val="909295"/>
        </w:rPr>
        <w:t>201 Merritt 7</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14"/>
          <w:szCs w:val="14"/>
          <w:color w:val="909295"/>
        </w:rPr>
        <w:t>Norwalk, CT 06851-1056</w:t>
      </w:r>
    </w:p>
    <w:p>
      <w:pPr>
        <w:ind w:left="7140"/>
        <w:spacing w:after="0" w:line="238" w:lineRule="auto"/>
        <w:rPr>
          <w:sz w:val="20"/>
          <w:szCs w:val="20"/>
          <w:color w:val="auto"/>
        </w:rPr>
      </w:pPr>
      <w:r>
        <w:rPr>
          <w:rFonts w:ascii="Arial" w:cs="Arial" w:eastAsia="Arial" w:hAnsi="Arial"/>
          <w:sz w:val="14"/>
          <w:szCs w:val="14"/>
          <w:color w:val="909295"/>
        </w:rPr>
        <w:t>tel+1-203-968-3000</w:t>
      </w:r>
    </w:p>
    <w:p>
      <w:pPr>
        <w:spacing w:after="0"/>
        <w:rPr>
          <w:sz w:val="20"/>
          <w:szCs w:val="20"/>
          <w:color w:val="auto"/>
        </w:rPr>
      </w:pPr>
      <w:r>
        <w:rPr>
          <w:rFonts w:ascii="Arial" w:cs="Arial" w:eastAsia="Arial" w:hAnsi="Arial"/>
          <w:sz w:val="25"/>
          <w:szCs w:val="25"/>
          <w:color w:val="auto"/>
        </w:rPr>
        <w:t>Xerox Releases First-Quarter Results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Financial Results</w:t>
      </w:r>
    </w:p>
    <w:p>
      <w:pPr>
        <w:spacing w:after="0" w:line="216" w:lineRule="exact"/>
        <w:rPr>
          <w:sz w:val="20"/>
          <w:szCs w:val="20"/>
          <w:color w:val="auto"/>
        </w:rPr>
      </w:pPr>
    </w:p>
    <w:p>
      <w:pPr>
        <w:ind w:left="340" w:right="380" w:hanging="332"/>
        <w:spacing w:after="0" w:line="23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20"/>
          <w:szCs w:val="20"/>
          <w:color w:val="auto"/>
        </w:rPr>
        <w:t>$173 million of operating cash flow from continuing operations, down $49 million year-over-year, and $150 million of free cash flow, down $57 million year-over-year</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20"/>
          <w:szCs w:val="20"/>
          <w:color w:val="auto"/>
        </w:rPr>
        <w:t>Adjusted operating margin of 4.7 percent, down 630 basis points year-over-year</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20"/>
          <w:szCs w:val="20"/>
          <w:color w:val="auto"/>
        </w:rPr>
        <w:t>$1.86 billion of revenue, a decrease of 14.7 percent year-over-year or 13.9 percent in constant currency</w:t>
      </w:r>
    </w:p>
    <w:p>
      <w:pPr>
        <w:ind w:left="340" w:right="340" w:hanging="332"/>
        <w:spacing w:after="0" w:line="23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20"/>
          <w:szCs w:val="20"/>
          <w:color w:val="auto"/>
        </w:rPr>
        <w:t>GAAP loss from continuing operations of $(0.03) per share, down $0.37 year-over-year, and adjusted earnings per share (EPS) of $0.21, down $0.45 year-over-year</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20"/>
          <w:szCs w:val="20"/>
          <w:color w:val="auto"/>
        </w:rPr>
        <w:t>Withdraws 2020 financial guidance due to economic uncertainty caused by COVID-19</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NORWALK, Conn., April. 28, 2020 - </w:t>
      </w:r>
      <w:r>
        <w:rPr>
          <w:rFonts w:ascii="Arial" w:cs="Arial" w:eastAsia="Arial" w:hAnsi="Arial"/>
          <w:sz w:val="19"/>
          <w:szCs w:val="19"/>
          <w:u w:val="single" w:color="auto"/>
          <w:color w:val="FF0000"/>
        </w:rPr>
        <w:t>Xerox Holdings Corporation</w:t>
      </w:r>
      <w:r>
        <w:rPr>
          <w:rFonts w:ascii="Arial" w:cs="Arial" w:eastAsia="Arial" w:hAnsi="Arial"/>
          <w:sz w:val="19"/>
          <w:szCs w:val="19"/>
          <w:color w:val="auto"/>
        </w:rPr>
        <w:t xml:space="preserve"> (NYSE: XRX) announced its first-quarter 2020 financial results.</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“During this unprecedented time, we are committed to doing everything in our power to protect our employees, customers, partners and society, because we all have a critical role to play battling the COVID-19 pandemic,” said Xerox Vice Chairman and CEO John Visentin. “While Xerox saw an immediate impact to our business due to the rapid implementation of lockdown measures globally, the disciplined approach we implemented over the last two years provided a foundation to move quickly to preserve cash, continue operations, provide support to our many clients on the frontlines, and apply our manufacturing and R&amp;D expertise to help save lives. I’m incredibly proud of the Xerox team’s dedication and ingenuity during this extraordinary time.”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First-Quarter Key Financial Results - Continuing Operations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000" w:type="dxa"/>
            <w:vAlign w:val="bottom"/>
            <w:tcBorders>
              <w:top w:val="single" w:sz="8" w:color="A6A6A6"/>
              <w:left w:val="single" w:sz="8" w:color="A6A6A6"/>
              <w:right w:val="single" w:sz="8" w:color="A6A6A6"/>
            </w:tcBorders>
          </w:tcPr>
          <w:p>
            <w:pPr>
              <w:spacing w:after="0"/>
              <w:rPr>
                <w:sz w:val="20"/>
                <w:szCs w:val="20"/>
                <w:color w:val="auto"/>
              </w:rPr>
            </w:pPr>
          </w:p>
        </w:tc>
        <w:tc>
          <w:tcPr>
            <w:tcW w:w="1760" w:type="dxa"/>
            <w:vAlign w:val="bottom"/>
            <w:tcBorders>
              <w:top w:val="single" w:sz="8" w:color="A6A6A6"/>
              <w:right w:val="single" w:sz="8" w:color="A6A6A6"/>
            </w:tcBorders>
          </w:tcPr>
          <w:p>
            <w:pPr>
              <w:spacing w:after="0"/>
              <w:rPr>
                <w:sz w:val="20"/>
                <w:szCs w:val="20"/>
                <w:color w:val="auto"/>
              </w:rPr>
            </w:pPr>
          </w:p>
        </w:tc>
        <w:tc>
          <w:tcPr>
            <w:tcW w:w="1740" w:type="dxa"/>
            <w:vAlign w:val="bottom"/>
            <w:tcBorders>
              <w:top w:val="single" w:sz="8" w:color="A6A6A6"/>
              <w:right w:val="single" w:sz="8" w:color="A6A6A6"/>
            </w:tcBorders>
          </w:tcPr>
          <w:p>
            <w:pPr>
              <w:spacing w:after="0"/>
              <w:rPr>
                <w:sz w:val="20"/>
                <w:szCs w:val="20"/>
                <w:color w:val="auto"/>
              </w:rPr>
            </w:pPr>
          </w:p>
        </w:tc>
        <w:tc>
          <w:tcPr>
            <w:tcW w:w="1760" w:type="dxa"/>
            <w:vAlign w:val="bottom"/>
            <w:tcBorders>
              <w:top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D92130"/>
              </w:rPr>
              <w:t>B/(W)</w:t>
            </w:r>
          </w:p>
        </w:tc>
        <w:tc>
          <w:tcPr>
            <w:tcW w:w="1760" w:type="dxa"/>
            <w:vAlign w:val="bottom"/>
            <w:tcBorders>
              <w:top w:val="single" w:sz="8" w:color="A6A6A6"/>
              <w:right w:val="single" w:sz="8" w:color="A6A6A6"/>
            </w:tcBorders>
            <w:gridSpan w:val="2"/>
          </w:tcPr>
          <w:p>
            <w:pPr>
              <w:ind w:left="20"/>
              <w:spacing w:after="0"/>
              <w:rPr>
                <w:sz w:val="20"/>
                <w:szCs w:val="20"/>
                <w:color w:val="auto"/>
              </w:rPr>
            </w:pPr>
            <w:r>
              <w:rPr>
                <w:rFonts w:ascii="Arial" w:cs="Arial" w:eastAsia="Arial" w:hAnsi="Arial"/>
                <w:sz w:val="16"/>
                <w:szCs w:val="16"/>
                <w:b w:val="1"/>
                <w:bCs w:val="1"/>
                <w:color w:val="D92130"/>
              </w:rPr>
              <w:t>% Change</w:t>
            </w:r>
          </w:p>
        </w:tc>
      </w:tr>
      <w:tr>
        <w:trPr>
          <w:trHeight w:val="255"/>
        </w:trPr>
        <w:tc>
          <w:tcPr>
            <w:tcW w:w="40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D92130"/>
              </w:rPr>
              <w:t>(in millions, except per share data)</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D92130"/>
              </w:rPr>
              <w:t>Q1 2020</w:t>
            </w:r>
          </w:p>
        </w:tc>
        <w:tc>
          <w:tcPr>
            <w:tcW w:w="174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D92130"/>
              </w:rPr>
              <w:t>Q1 2019</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D92130"/>
              </w:rPr>
              <w:t>YOY</w:t>
            </w:r>
          </w:p>
        </w:tc>
        <w:tc>
          <w:tcPr>
            <w:tcW w:w="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D92130"/>
              </w:rPr>
              <w:t>YOY</w:t>
            </w:r>
          </w:p>
        </w:tc>
        <w:tc>
          <w:tcPr>
            <w:tcW w:w="1140" w:type="dxa"/>
            <w:vAlign w:val="bottom"/>
            <w:tcBorders>
              <w:bottom w:val="single" w:sz="8" w:color="A6A6A6"/>
              <w:right w:val="single" w:sz="8" w:color="A6A6A6"/>
            </w:tcBorders>
          </w:tcPr>
          <w:p>
            <w:pPr>
              <w:spacing w:after="0"/>
              <w:rPr>
                <w:sz w:val="22"/>
                <w:szCs w:val="22"/>
                <w:color w:val="auto"/>
              </w:rPr>
            </w:pPr>
          </w:p>
        </w:tc>
      </w:tr>
      <w:tr>
        <w:trPr>
          <w:trHeight w:val="250"/>
        </w:trPr>
        <w:tc>
          <w:tcPr>
            <w:tcW w:w="4000" w:type="dxa"/>
            <w:vAlign w:val="bottom"/>
            <w:tcBorders>
              <w:left w:val="single" w:sz="8" w:color="A6A6A6"/>
              <w:right w:val="single" w:sz="8" w:color="A6A6A6"/>
            </w:tcBorders>
          </w:tcPr>
          <w:p>
            <w:pPr>
              <w:spacing w:after="0"/>
              <w:rPr>
                <w:sz w:val="21"/>
                <w:szCs w:val="21"/>
                <w:color w:val="auto"/>
              </w:rPr>
            </w:pPr>
          </w:p>
        </w:tc>
        <w:tc>
          <w:tcPr>
            <w:tcW w:w="1760" w:type="dxa"/>
            <w:vAlign w:val="bottom"/>
            <w:tcBorders>
              <w:right w:val="single" w:sz="8" w:color="A6A6A6"/>
            </w:tcBorders>
          </w:tcPr>
          <w:p>
            <w:pPr>
              <w:spacing w:after="0"/>
              <w:rPr>
                <w:sz w:val="21"/>
                <w:szCs w:val="21"/>
                <w:color w:val="auto"/>
              </w:rPr>
            </w:pPr>
          </w:p>
        </w:tc>
        <w:tc>
          <w:tcPr>
            <w:tcW w:w="1740" w:type="dxa"/>
            <w:vAlign w:val="bottom"/>
            <w:tcBorders>
              <w:right w:val="single" w:sz="8" w:color="A6A6A6"/>
            </w:tcBorders>
          </w:tcPr>
          <w:p>
            <w:pPr>
              <w:spacing w:after="0"/>
              <w:rPr>
                <w:sz w:val="21"/>
                <w:szCs w:val="21"/>
                <w:color w:val="auto"/>
              </w:rPr>
            </w:pPr>
          </w:p>
        </w:tc>
        <w:tc>
          <w:tcPr>
            <w:tcW w:w="1760" w:type="dxa"/>
            <w:vAlign w:val="bottom"/>
            <w:tcBorders>
              <w:right w:val="single" w:sz="8" w:color="A6A6A6"/>
            </w:tcBorders>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6"/>
                <w:szCs w:val="16"/>
                <w:b w:val="1"/>
                <w:bCs w:val="1"/>
                <w:color w:val="auto"/>
              </w:rPr>
              <w:t>(14.7)%</w:t>
            </w:r>
          </w:p>
        </w:tc>
        <w:tc>
          <w:tcPr>
            <w:tcW w:w="1140" w:type="dxa"/>
            <w:vAlign w:val="bottom"/>
            <w:tcBorders>
              <w:right w:val="single" w:sz="8" w:color="A6A6A6"/>
            </w:tcBorders>
          </w:tcPr>
          <w:p>
            <w:pPr>
              <w:ind w:left="20"/>
              <w:spacing w:after="0"/>
              <w:rPr>
                <w:sz w:val="20"/>
                <w:szCs w:val="20"/>
                <w:color w:val="auto"/>
              </w:rPr>
            </w:pPr>
            <w:r>
              <w:rPr>
                <w:rFonts w:ascii="Arial" w:cs="Arial" w:eastAsia="Arial" w:hAnsi="Arial"/>
                <w:sz w:val="16"/>
                <w:szCs w:val="16"/>
                <w:b w:val="1"/>
                <w:bCs w:val="1"/>
                <w:color w:val="auto"/>
              </w:rPr>
              <w:t>AC</w:t>
            </w:r>
          </w:p>
        </w:tc>
      </w:tr>
      <w:tr>
        <w:trPr>
          <w:trHeight w:val="290"/>
        </w:trPr>
        <w:tc>
          <w:tcPr>
            <w:tcW w:w="40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Revenue</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$1,860</w:t>
            </w:r>
          </w:p>
        </w:tc>
        <w:tc>
          <w:tcPr>
            <w:tcW w:w="174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$2,180</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$(320)</w:t>
            </w:r>
          </w:p>
        </w:tc>
        <w:tc>
          <w:tcPr>
            <w:tcW w:w="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(13.9)%</w:t>
            </w:r>
          </w:p>
        </w:tc>
        <w:tc>
          <w:tcPr>
            <w:tcW w:w="114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 xml:space="preserve">CC </w:t>
            </w:r>
            <w:r>
              <w:rPr>
                <w:rFonts w:ascii="Arial" w:cs="Arial" w:eastAsia="Arial" w:hAnsi="Arial"/>
                <w:sz w:val="21"/>
                <w:szCs w:val="21"/>
                <w:b w:val="1"/>
                <w:bCs w:val="1"/>
                <w:color w:val="auto"/>
                <w:vertAlign w:val="superscript"/>
              </w:rPr>
              <w:t>1</w:t>
            </w:r>
          </w:p>
        </w:tc>
      </w:tr>
      <w:tr>
        <w:trPr>
          <w:trHeight w:val="257"/>
        </w:trPr>
        <w:tc>
          <w:tcPr>
            <w:tcW w:w="400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Gross Margin</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38.3%</w:t>
            </w:r>
          </w:p>
        </w:tc>
        <w:tc>
          <w:tcPr>
            <w:tcW w:w="174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40.2%</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(190) bps</w:t>
            </w:r>
          </w:p>
        </w:tc>
        <w:tc>
          <w:tcPr>
            <w:tcW w:w="620" w:type="dxa"/>
            <w:vAlign w:val="bottom"/>
            <w:tcBorders>
              <w:bottom w:val="single" w:sz="8" w:color="A6A6A6"/>
            </w:tcBorders>
            <w:shd w:val="clear" w:color="auto" w:fill="E5E5E5"/>
          </w:tcPr>
          <w:p>
            <w:pPr>
              <w:spacing w:after="0"/>
              <w:rPr>
                <w:sz w:val="22"/>
                <w:szCs w:val="22"/>
                <w:color w:val="auto"/>
              </w:rPr>
            </w:pPr>
          </w:p>
        </w:tc>
        <w:tc>
          <w:tcPr>
            <w:tcW w:w="1140" w:type="dxa"/>
            <w:vAlign w:val="bottom"/>
            <w:tcBorders>
              <w:bottom w:val="single" w:sz="8" w:color="A6A6A6"/>
              <w:right w:val="single" w:sz="8" w:color="A6A6A6"/>
            </w:tcBorders>
            <w:shd w:val="clear" w:color="auto" w:fill="E5E5E5"/>
          </w:tcPr>
          <w:p>
            <w:pPr>
              <w:spacing w:after="0"/>
              <w:rPr>
                <w:sz w:val="22"/>
                <w:szCs w:val="22"/>
                <w:color w:val="auto"/>
              </w:rPr>
            </w:pPr>
          </w:p>
        </w:tc>
      </w:tr>
      <w:tr>
        <w:trPr>
          <w:trHeight w:val="264"/>
        </w:trPr>
        <w:tc>
          <w:tcPr>
            <w:tcW w:w="400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RD&amp;E %</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4.5%</w:t>
            </w:r>
          </w:p>
        </w:tc>
        <w:tc>
          <w:tcPr>
            <w:tcW w:w="174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4.2%</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(30) bps</w:t>
            </w:r>
          </w:p>
        </w:tc>
        <w:tc>
          <w:tcPr>
            <w:tcW w:w="620" w:type="dxa"/>
            <w:vAlign w:val="bottom"/>
            <w:tcBorders>
              <w:bottom w:val="single" w:sz="8" w:color="A6A6A6"/>
            </w:tcBorders>
            <w:shd w:val="clear" w:color="auto" w:fill="E5E5E5"/>
          </w:tcPr>
          <w:p>
            <w:pPr>
              <w:spacing w:after="0"/>
              <w:rPr>
                <w:sz w:val="22"/>
                <w:szCs w:val="22"/>
                <w:color w:val="auto"/>
              </w:rPr>
            </w:pPr>
          </w:p>
        </w:tc>
        <w:tc>
          <w:tcPr>
            <w:tcW w:w="1140" w:type="dxa"/>
            <w:vAlign w:val="bottom"/>
            <w:tcBorders>
              <w:bottom w:val="single" w:sz="8" w:color="A6A6A6"/>
              <w:right w:val="single" w:sz="8" w:color="A6A6A6"/>
            </w:tcBorders>
            <w:shd w:val="clear" w:color="auto" w:fill="E5E5E5"/>
          </w:tcPr>
          <w:p>
            <w:pPr>
              <w:spacing w:after="0"/>
              <w:rPr>
                <w:sz w:val="22"/>
                <w:szCs w:val="22"/>
                <w:color w:val="auto"/>
              </w:rPr>
            </w:pPr>
          </w:p>
        </w:tc>
      </w:tr>
      <w:tr>
        <w:trPr>
          <w:trHeight w:val="263"/>
        </w:trPr>
        <w:tc>
          <w:tcPr>
            <w:tcW w:w="400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SAG %</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29.1%</w:t>
            </w:r>
          </w:p>
        </w:tc>
        <w:tc>
          <w:tcPr>
            <w:tcW w:w="174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25.0%</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(410) bps</w:t>
            </w:r>
          </w:p>
        </w:tc>
        <w:tc>
          <w:tcPr>
            <w:tcW w:w="620" w:type="dxa"/>
            <w:vAlign w:val="bottom"/>
            <w:tcBorders>
              <w:bottom w:val="single" w:sz="8" w:color="A6A6A6"/>
            </w:tcBorders>
            <w:shd w:val="clear" w:color="auto" w:fill="E5E5E5"/>
          </w:tcPr>
          <w:p>
            <w:pPr>
              <w:spacing w:after="0"/>
              <w:rPr>
                <w:sz w:val="22"/>
                <w:szCs w:val="22"/>
                <w:color w:val="auto"/>
              </w:rPr>
            </w:pPr>
          </w:p>
        </w:tc>
        <w:tc>
          <w:tcPr>
            <w:tcW w:w="1140" w:type="dxa"/>
            <w:vAlign w:val="bottom"/>
            <w:tcBorders>
              <w:bottom w:val="single" w:sz="8" w:color="A6A6A6"/>
              <w:right w:val="single" w:sz="8" w:color="A6A6A6"/>
            </w:tcBorders>
            <w:shd w:val="clear" w:color="auto" w:fill="E5E5E5"/>
          </w:tcPr>
          <w:p>
            <w:pPr>
              <w:spacing w:after="0"/>
              <w:rPr>
                <w:sz w:val="22"/>
                <w:szCs w:val="22"/>
                <w:color w:val="auto"/>
              </w:rPr>
            </w:pPr>
          </w:p>
        </w:tc>
      </w:tr>
      <w:tr>
        <w:trPr>
          <w:trHeight w:val="237"/>
        </w:trPr>
        <w:tc>
          <w:tcPr>
            <w:tcW w:w="40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Pre-Tax (Loss) Income</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$(5)</w:t>
            </w:r>
          </w:p>
        </w:tc>
        <w:tc>
          <w:tcPr>
            <w:tcW w:w="174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$73</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$(78)</w:t>
            </w:r>
          </w:p>
        </w:tc>
        <w:tc>
          <w:tcPr>
            <w:tcW w:w="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nm</w:t>
            </w:r>
          </w:p>
        </w:tc>
        <w:tc>
          <w:tcPr>
            <w:tcW w:w="1140" w:type="dxa"/>
            <w:vAlign w:val="bottom"/>
            <w:tcBorders>
              <w:bottom w:val="single" w:sz="8" w:color="A6A6A6"/>
              <w:right w:val="single" w:sz="8" w:color="A6A6A6"/>
            </w:tcBorders>
          </w:tcPr>
          <w:p>
            <w:pPr>
              <w:spacing w:after="0"/>
              <w:rPr>
                <w:sz w:val="20"/>
                <w:szCs w:val="20"/>
                <w:color w:val="auto"/>
              </w:rPr>
            </w:pPr>
          </w:p>
        </w:tc>
      </w:tr>
      <w:tr>
        <w:trPr>
          <w:trHeight w:val="263"/>
        </w:trPr>
        <w:tc>
          <w:tcPr>
            <w:tcW w:w="400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Pre-Tax (Loss) Income Margin</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(0.3)%</w:t>
            </w:r>
          </w:p>
        </w:tc>
        <w:tc>
          <w:tcPr>
            <w:tcW w:w="174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3.3%</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(360) bps</w:t>
            </w:r>
          </w:p>
        </w:tc>
        <w:tc>
          <w:tcPr>
            <w:tcW w:w="620" w:type="dxa"/>
            <w:vAlign w:val="bottom"/>
            <w:tcBorders>
              <w:bottom w:val="single" w:sz="8" w:color="A6A6A6"/>
            </w:tcBorders>
            <w:shd w:val="clear" w:color="auto" w:fill="E5E5E5"/>
          </w:tcPr>
          <w:p>
            <w:pPr>
              <w:spacing w:after="0"/>
              <w:rPr>
                <w:sz w:val="22"/>
                <w:szCs w:val="22"/>
                <w:color w:val="auto"/>
              </w:rPr>
            </w:pPr>
          </w:p>
        </w:tc>
        <w:tc>
          <w:tcPr>
            <w:tcW w:w="1140" w:type="dxa"/>
            <w:vAlign w:val="bottom"/>
            <w:tcBorders>
              <w:bottom w:val="single" w:sz="8" w:color="A6A6A6"/>
              <w:right w:val="single" w:sz="8" w:color="A6A6A6"/>
            </w:tcBorders>
            <w:shd w:val="clear" w:color="auto" w:fill="E5E5E5"/>
          </w:tcPr>
          <w:p>
            <w:pPr>
              <w:spacing w:after="0"/>
              <w:rPr>
                <w:sz w:val="22"/>
                <w:szCs w:val="22"/>
                <w:color w:val="auto"/>
              </w:rPr>
            </w:pPr>
          </w:p>
        </w:tc>
      </w:tr>
      <w:tr>
        <w:trPr>
          <w:trHeight w:val="297"/>
        </w:trPr>
        <w:tc>
          <w:tcPr>
            <w:tcW w:w="40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 xml:space="preserve">Operating Income - Adjusted </w:t>
            </w:r>
            <w:r>
              <w:rPr>
                <w:rFonts w:ascii="Arial" w:cs="Arial" w:eastAsia="Arial" w:hAnsi="Arial"/>
                <w:sz w:val="21"/>
                <w:szCs w:val="21"/>
                <w:b w:val="1"/>
                <w:bCs w:val="1"/>
                <w:color w:val="auto"/>
                <w:vertAlign w:val="superscript"/>
              </w:rPr>
              <w:t>1</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$87</w:t>
            </w:r>
          </w:p>
        </w:tc>
        <w:tc>
          <w:tcPr>
            <w:tcW w:w="174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$239</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$(152)</w:t>
            </w:r>
          </w:p>
        </w:tc>
        <w:tc>
          <w:tcPr>
            <w:tcW w:w="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(63.6)%</w:t>
            </w:r>
          </w:p>
        </w:tc>
        <w:tc>
          <w:tcPr>
            <w:tcW w:w="1140" w:type="dxa"/>
            <w:vAlign w:val="bottom"/>
            <w:tcBorders>
              <w:bottom w:val="single" w:sz="8" w:color="A6A6A6"/>
              <w:right w:val="single" w:sz="8" w:color="A6A6A6"/>
            </w:tcBorders>
          </w:tcPr>
          <w:p>
            <w:pPr>
              <w:spacing w:after="0"/>
              <w:rPr>
                <w:sz w:val="24"/>
                <w:szCs w:val="24"/>
                <w:color w:val="auto"/>
              </w:rPr>
            </w:pPr>
          </w:p>
        </w:tc>
      </w:tr>
      <w:tr>
        <w:trPr>
          <w:trHeight w:val="290"/>
        </w:trPr>
        <w:tc>
          <w:tcPr>
            <w:tcW w:w="400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 xml:space="preserve">Operating Margin - Adjusted </w:t>
            </w:r>
            <w:r>
              <w:rPr>
                <w:rFonts w:ascii="Arial" w:cs="Arial" w:eastAsia="Arial" w:hAnsi="Arial"/>
                <w:sz w:val="21"/>
                <w:szCs w:val="21"/>
                <w:color w:val="auto"/>
                <w:vertAlign w:val="superscript"/>
              </w:rPr>
              <w:t>1</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4.7%</w:t>
            </w:r>
          </w:p>
        </w:tc>
        <w:tc>
          <w:tcPr>
            <w:tcW w:w="174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11.0%</w:t>
            </w:r>
          </w:p>
        </w:tc>
        <w:tc>
          <w:tcPr>
            <w:tcW w:w="1760" w:type="dxa"/>
            <w:vAlign w:val="bottom"/>
            <w:tcBorders>
              <w:bottom w:val="single" w:sz="8" w:color="A6A6A6"/>
              <w:right w:val="single" w:sz="8" w:color="A6A6A6"/>
            </w:tcBorders>
            <w:shd w:val="clear" w:color="auto" w:fill="E5E5E5"/>
          </w:tcPr>
          <w:p>
            <w:pPr>
              <w:ind w:left="20"/>
              <w:spacing w:after="0"/>
              <w:rPr>
                <w:sz w:val="20"/>
                <w:szCs w:val="20"/>
                <w:color w:val="auto"/>
              </w:rPr>
            </w:pPr>
            <w:r>
              <w:rPr>
                <w:rFonts w:ascii="Arial" w:cs="Arial" w:eastAsia="Arial" w:hAnsi="Arial"/>
                <w:sz w:val="16"/>
                <w:szCs w:val="16"/>
                <w:color w:val="auto"/>
              </w:rPr>
              <w:t>(630) bps</w:t>
            </w:r>
          </w:p>
        </w:tc>
        <w:tc>
          <w:tcPr>
            <w:tcW w:w="620" w:type="dxa"/>
            <w:vAlign w:val="bottom"/>
            <w:tcBorders>
              <w:bottom w:val="single" w:sz="8" w:color="A6A6A6"/>
            </w:tcBorders>
            <w:shd w:val="clear" w:color="auto" w:fill="E5E5E5"/>
          </w:tcPr>
          <w:p>
            <w:pPr>
              <w:spacing w:after="0"/>
              <w:rPr>
                <w:sz w:val="24"/>
                <w:szCs w:val="24"/>
                <w:color w:val="auto"/>
              </w:rPr>
            </w:pPr>
          </w:p>
        </w:tc>
        <w:tc>
          <w:tcPr>
            <w:tcW w:w="1140" w:type="dxa"/>
            <w:vAlign w:val="bottom"/>
            <w:tcBorders>
              <w:bottom w:val="single" w:sz="8" w:color="A6A6A6"/>
              <w:right w:val="single" w:sz="8" w:color="A6A6A6"/>
            </w:tcBorders>
            <w:shd w:val="clear" w:color="auto" w:fill="E5E5E5"/>
          </w:tcPr>
          <w:p>
            <w:pPr>
              <w:spacing w:after="0"/>
              <w:rPr>
                <w:sz w:val="24"/>
                <w:szCs w:val="24"/>
                <w:color w:val="auto"/>
              </w:rPr>
            </w:pPr>
          </w:p>
        </w:tc>
      </w:tr>
      <w:tr>
        <w:trPr>
          <w:trHeight w:val="230"/>
        </w:trPr>
        <w:tc>
          <w:tcPr>
            <w:tcW w:w="40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GAAP (Loss) Earnings per Share</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$(0.03)</w:t>
            </w:r>
          </w:p>
        </w:tc>
        <w:tc>
          <w:tcPr>
            <w:tcW w:w="174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$0.34</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$(0.37)</w:t>
            </w:r>
          </w:p>
        </w:tc>
        <w:tc>
          <w:tcPr>
            <w:tcW w:w="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nm</w:t>
            </w:r>
          </w:p>
        </w:tc>
        <w:tc>
          <w:tcPr>
            <w:tcW w:w="1140" w:type="dxa"/>
            <w:vAlign w:val="bottom"/>
            <w:tcBorders>
              <w:bottom w:val="single" w:sz="8" w:color="A6A6A6"/>
              <w:right w:val="single" w:sz="8" w:color="A6A6A6"/>
            </w:tcBorders>
          </w:tcPr>
          <w:p>
            <w:pPr>
              <w:spacing w:after="0"/>
              <w:rPr>
                <w:sz w:val="20"/>
                <w:szCs w:val="20"/>
                <w:color w:val="auto"/>
              </w:rPr>
            </w:pPr>
          </w:p>
        </w:tc>
      </w:tr>
      <w:tr>
        <w:trPr>
          <w:trHeight w:val="297"/>
        </w:trPr>
        <w:tc>
          <w:tcPr>
            <w:tcW w:w="40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 xml:space="preserve">EPS - Adjusted </w:t>
            </w:r>
            <w:r>
              <w:rPr>
                <w:rFonts w:ascii="Arial" w:cs="Arial" w:eastAsia="Arial" w:hAnsi="Arial"/>
                <w:sz w:val="21"/>
                <w:szCs w:val="21"/>
                <w:b w:val="1"/>
                <w:bCs w:val="1"/>
                <w:color w:val="auto"/>
                <w:vertAlign w:val="superscript"/>
              </w:rPr>
              <w:t>1</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$0.21</w:t>
            </w:r>
          </w:p>
        </w:tc>
        <w:tc>
          <w:tcPr>
            <w:tcW w:w="174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$0.66</w:t>
            </w:r>
          </w:p>
        </w:tc>
        <w:tc>
          <w:tcPr>
            <w:tcW w:w="176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6"/>
                <w:szCs w:val="16"/>
                <w:b w:val="1"/>
                <w:bCs w:val="1"/>
                <w:color w:val="auto"/>
              </w:rPr>
              <w:t>$(0.45)</w:t>
            </w:r>
          </w:p>
        </w:tc>
        <w:tc>
          <w:tcPr>
            <w:tcW w:w="6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(68.2%)</w:t>
            </w:r>
          </w:p>
        </w:tc>
        <w:tc>
          <w:tcPr>
            <w:tcW w:w="1140" w:type="dxa"/>
            <w:vAlign w:val="bottom"/>
            <w:tcBorders>
              <w:bottom w:val="single" w:sz="8" w:color="A6A6A6"/>
              <w:right w:val="single" w:sz="8" w:color="A6A6A6"/>
            </w:tcBorders>
          </w:tcPr>
          <w:p>
            <w:pPr>
              <w:spacing w:after="0"/>
              <w:rPr>
                <w:sz w:val="24"/>
                <w:szCs w:val="24"/>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(1) Refer to the “Non-GAAP Financial Measures” section of this release for a discussion of these non-GAAP measures and their reconciliation to the reported GAAP measures.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First-Quarter Business Highlights</w:t>
      </w:r>
    </w:p>
    <w:p>
      <w:pPr>
        <w:spacing w:after="0" w:line="24" w:lineRule="exact"/>
        <w:rPr>
          <w:sz w:val="20"/>
          <w:szCs w:val="20"/>
          <w:color w:val="auto"/>
        </w:rPr>
      </w:pPr>
    </w:p>
    <w:p>
      <w:pPr>
        <w:ind w:left="340" w:right="780" w:hanging="332"/>
        <w:spacing w:after="0" w:line="24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Identified ways to address some of society’s biggest needs created by the COVID-19 crisis such as producing FDA-approved, low cost ventilators; antiseptic hand sanitizer; and medical-grade face masks.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6" w:right="359" w:bottom="1440" w:gutter="0" w:footer="0" w:header="0"/>
        </w:sectPr>
      </w:pPr>
    </w:p>
    <w:bookmarkStart w:id="7" w:name="page8"/>
    <w:bookmarkEnd w:id="7"/>
    <w:p>
      <w:pPr>
        <w:ind w:left="340" w:right="380" w:hanging="332"/>
        <w:spacing w:after="0" w:line="24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Supported clients on the frontlines including federal, state , and local governments; healthcare providers; retailers; and emergency responders such as Imperial College Healthcare NHS Trust, Cleveland Clinic, the Defense Logistics Agency, Morrisons, and the Bank of New York Mellon.</w:t>
      </w:r>
    </w:p>
    <w:p>
      <w:pPr>
        <w:ind w:left="340" w:right="180" w:hanging="332"/>
        <w:spacing w:after="0" w:line="23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Expanded Xerox’s portfolio with the launch of IT Services for remote workers and learners, Virtual Print Management Service and Workplace Cloud Fleet Management, three offerings designed to support and accelerate digital transformation efforts of clients.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Closed four acquisitions, expanding Xerox’s small and medium-sized business market presence in the U.K. and Canada.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Guidance</w:t>
      </w:r>
    </w:p>
    <w:p>
      <w:pPr>
        <w:spacing w:after="0" w:line="2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company is withdrawing its 2020 financial guidance for revenue, adjusted operating margin, EPS and free cash flow due to the high level of economic uncertainty and disruption caused by COVID-19.</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Xerox</w:t>
      </w:r>
    </w:p>
    <w:p>
      <w:pPr>
        <w:spacing w:after="0" w:line="24"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 xml:space="preserve">Xerox Holdings Corporation makes every day work better. </w:t>
      </w:r>
      <w:r>
        <w:rPr>
          <w:rFonts w:ascii="Arial" w:cs="Arial" w:eastAsia="Arial" w:hAnsi="Arial"/>
          <w:sz w:val="19"/>
          <w:szCs w:val="19"/>
          <w:color w:val="auto"/>
        </w:rPr>
        <w:t>We are a workplace technology company building and integrating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software and hardware for enterprises large and small. As customers seek to manage information across digital and physical platforms, Xerox delivers a seamless, secure and sustainable experience. Whether inventing the copier, the Ethernet, the laser printer or more, Xerox has long defined the modern work experience. Learn how that innovation continues at </w:t>
      </w:r>
      <w:r>
        <w:rPr>
          <w:rFonts w:ascii="Arial" w:cs="Arial" w:eastAsia="Arial" w:hAnsi="Arial"/>
          <w:sz w:val="19"/>
          <w:szCs w:val="19"/>
          <w:u w:val="single" w:color="auto"/>
          <w:color w:val="FF0000"/>
        </w:rPr>
        <w:t>xerox.com</w:t>
      </w:r>
      <w:r>
        <w:rPr>
          <w:rFonts w:ascii="Arial" w:cs="Arial" w:eastAsia="Arial" w:hAnsi="Arial"/>
          <w:sz w:val="19"/>
          <w:szCs w:val="19"/>
          <w:color w:val="auto"/>
        </w:rPr>
        <w:t xml:space="preserve"> .</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This release refers to the following non-GAAP financial measures for the first - quarter and full-year 2020 guidance:</w:t>
      </w:r>
    </w:p>
    <w:p>
      <w:pPr>
        <w:ind w:left="340" w:right="80" w:hanging="332"/>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EPS, which excludes restructuring and related costs, the amortization of intangible assets, non-service retirement-related costs, transaction and related costs, net and other discrete adjustments from GAAP (loss)/earnings per share from continuing operations.</w:t>
      </w:r>
    </w:p>
    <w:p>
      <w:pPr>
        <w:spacing w:after="0" w:line="1" w:lineRule="exact"/>
        <w:rPr>
          <w:rFonts w:ascii="Arial" w:cs="Arial" w:eastAsia="Arial" w:hAnsi="Arial"/>
          <w:sz w:val="18"/>
          <w:szCs w:val="18"/>
          <w:color w:val="auto"/>
        </w:rPr>
      </w:pPr>
    </w:p>
    <w:p>
      <w:pPr>
        <w:ind w:left="340" w:right="180" w:hanging="332"/>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operating margin and income, which exclude the EPS adjustments noted above as well as the remainder of other expenses, net from pre-tax margin and (loss)/income.</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Constant currency (CC) revenue change, which excludes the effects of currency translation.</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Free cash flow, which is operating cash flow from continuing operations less capital expenditures.</w:t>
      </w:r>
    </w:p>
    <w:p>
      <w:pPr>
        <w:spacing w:after="0" w:line="216"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Refer to the “Non-GAAP Financial Measures” section of this release for a discussion of these non-GAAP measures and their reconciliation to the reported GAAP measures.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8" w:name="page9"/>
    <w:bookmarkEnd w:id="8"/>
    <w:p>
      <w:pPr>
        <w:ind w:right="40"/>
        <w:spacing w:after="0"/>
        <w:rPr>
          <w:sz w:val="20"/>
          <w:szCs w:val="20"/>
          <w:color w:val="auto"/>
        </w:rPr>
      </w:pPr>
      <w:r>
        <w:rPr>
          <w:rFonts w:ascii="Arial" w:cs="Arial" w:eastAsia="Arial" w:hAnsi="Arial"/>
          <w:sz w:val="20"/>
          <w:szCs w:val="20"/>
          <w:color w:val="auto"/>
        </w:rPr>
        <w:t>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b w:val="1"/>
          <w:bCs w:val="1"/>
          <w:color w:val="auto"/>
        </w:rPr>
        <w:t>The effects of the COVID-19 pandemic have materially affected how we and our customers are operating our businesses, and the duration and extent to which this will impact our future results of operations and overall financial performance remain uncertain.</w:t>
      </w:r>
    </w:p>
    <w:p>
      <w:pPr>
        <w:spacing w:after="0" w:line="195"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The COVID-19 pandemic has negatively impacted the global economy, disrupted customer spending and global supply chains, and created significant volatility and disruption of financial markets. The extent of the impact of the COVID-19 pandemic on our business and financial performance, including our ability to execute our near-term and long-term business strategies and initiatives within the expected time frames, will depend on future developments, including the duration and severity of the pandemic and the extent and effectiveness of containment actions, the availability of therapeutics and the development of a vaccine, which are uncertain and cannot be predicted.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Our operations are being negatively affected by a range of external factors related to the COVID-19 pandemic that are not within our control. For example, most countries, states, counties and cities have imposed and continue to impose a wide range of restrictions on our employees’, partners’ and customers’ physical movement to limit the spread of COVID-19 including travel bans and restrictions, quarantines, shelter-in-place orders, and business limitations and shutdowns. Such restrictions limit our ability, as well as that of our channel partners, to sell, install and service our equipment for our customers, negatively impacting our operations and financial performance. Further, many countries are requiring businesses to remain closed unless they or their employees are deemed essential. In turn, businesses are requiring their office employees to work from home for extended periods of time, which is negatively impacting both sales and use of Xerox products, supplies and services. The longer this persists, the greater effect it will have on our business.</w:t>
      </w:r>
    </w:p>
    <w:p>
      <w:pPr>
        <w:spacing w:after="0" w:line="212" w:lineRule="exact"/>
        <w:rPr>
          <w:sz w:val="20"/>
          <w:szCs w:val="20"/>
          <w:color w:val="auto"/>
        </w:rPr>
      </w:pPr>
    </w:p>
    <w:p>
      <w:pPr>
        <w:ind w:right="560"/>
        <w:spacing w:after="0" w:line="243" w:lineRule="auto"/>
        <w:rPr>
          <w:sz w:val="20"/>
          <w:szCs w:val="20"/>
          <w:color w:val="auto"/>
        </w:rPr>
      </w:pPr>
      <w:r>
        <w:rPr>
          <w:rFonts w:ascii="Arial" w:cs="Arial" w:eastAsia="Arial" w:hAnsi="Arial"/>
          <w:sz w:val="20"/>
          <w:szCs w:val="20"/>
          <w:color w:val="auto"/>
        </w:rPr>
        <w:t>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-XXX-</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Caroline Gransee-Linsey, Xerox, +1-203-849-2359, </w:t>
      </w:r>
      <w:r>
        <w:rPr>
          <w:rFonts w:ascii="Arial" w:cs="Arial" w:eastAsia="Arial" w:hAnsi="Arial"/>
          <w:sz w:val="20"/>
          <w:szCs w:val="20"/>
          <w:u w:val="single" w:color="auto"/>
          <w:color w:val="FF0000"/>
        </w:rPr>
        <w:t>Caroline.Gransee-Linsey@xerox.com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Ann Pettrone, Xerox, +1-203-849-2590, </w:t>
      </w:r>
      <w:r>
        <w:rPr>
          <w:rFonts w:ascii="Arial" w:cs="Arial" w:eastAsia="Arial" w:hAnsi="Arial"/>
          <w:sz w:val="20"/>
          <w:szCs w:val="20"/>
          <w:u w:val="single" w:color="auto"/>
          <w:color w:val="FF0000"/>
        </w:rPr>
        <w:t>Ann.Pettrone@xerox.com</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receive RSS news feeds,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FF0000"/>
        </w:rPr>
        <w:t>https://www.news.xerox.com</w:t>
      </w:r>
      <w:r>
        <w:rPr>
          <w:rFonts w:ascii="Arial" w:cs="Arial" w:eastAsia="Arial" w:hAnsi="Arial"/>
          <w:sz w:val="20"/>
          <w:szCs w:val="20"/>
          <w:b w:val="1"/>
          <w:bCs w:val="1"/>
          <w:color w:val="auto"/>
        </w:rPr>
        <w:t xml:space="preserve"> </w:t>
      </w:r>
      <w:r>
        <w:rPr>
          <w:rFonts w:ascii="Arial" w:cs="Arial" w:eastAsia="Arial" w:hAnsi="Arial"/>
          <w:sz w:val="20"/>
          <w:szCs w:val="20"/>
          <w:color w:val="auto"/>
        </w:rPr>
        <w:t>. For open commentary, industry perspectives and views,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visit </w:t>
      </w:r>
      <w:r>
        <w:rPr>
          <w:rFonts w:ascii="Arial" w:cs="Arial" w:eastAsia="Arial" w:hAnsi="Arial"/>
          <w:sz w:val="20"/>
          <w:szCs w:val="20"/>
          <w:u w:val="single" w:color="auto"/>
          <w:color w:val="FF0000"/>
        </w:rPr>
        <w:t>http://twitter.com/xerox</w:t>
      </w:r>
      <w:r>
        <w:rPr>
          <w:rFonts w:ascii="Arial" w:cs="Arial" w:eastAsia="Arial" w:hAnsi="Arial"/>
          <w:sz w:val="20"/>
          <w:szCs w:val="20"/>
          <w:color w:val="auto"/>
        </w:rPr>
        <w:t xml:space="preserve"> , </w:t>
      </w:r>
      <w:r>
        <w:rPr>
          <w:rFonts w:ascii="Arial" w:cs="Arial" w:eastAsia="Arial" w:hAnsi="Arial"/>
          <w:sz w:val="20"/>
          <w:szCs w:val="20"/>
          <w:u w:val="single" w:color="auto"/>
          <w:color w:val="FF0000"/>
        </w:rPr>
        <w:t>http://www.facebook.com/XeroxCorp</w:t>
      </w:r>
      <w:r>
        <w:rPr>
          <w:rFonts w:ascii="Arial" w:cs="Arial" w:eastAsia="Arial" w:hAnsi="Arial"/>
          <w:sz w:val="20"/>
          <w:szCs w:val="20"/>
          <w:color w:val="auto"/>
        </w:rPr>
        <w:t xml:space="preserve"> , </w:t>
      </w:r>
      <w:r>
        <w:rPr>
          <w:rFonts w:ascii="Arial" w:cs="Arial" w:eastAsia="Arial" w:hAnsi="Arial"/>
          <w:sz w:val="20"/>
          <w:szCs w:val="20"/>
          <w:u w:val="single" w:color="auto"/>
          <w:color w:val="FF0000"/>
        </w:rPr>
        <w:t>https://www.instagram.com/xerox/</w:t>
      </w:r>
      <w:r>
        <w:rPr>
          <w:rFonts w:ascii="Arial" w:cs="Arial" w:eastAsia="Arial" w:hAnsi="Arial"/>
          <w:sz w:val="20"/>
          <w:szCs w:val="20"/>
          <w:color w:val="auto"/>
        </w:rPr>
        <w:t xml:space="preserve"> , </w:t>
      </w:r>
      <w:r>
        <w:rPr>
          <w:rFonts w:ascii="Arial" w:cs="Arial" w:eastAsia="Arial" w:hAnsi="Arial"/>
          <w:sz w:val="20"/>
          <w:szCs w:val="20"/>
          <w:u w:val="single" w:color="auto"/>
          <w:color w:val="FF0000"/>
        </w:rPr>
        <w:t>http://www.linkedin.com/company/xerox</w:t>
      </w:r>
      <w:r>
        <w:rPr>
          <w:rFonts w:ascii="Arial" w:cs="Arial" w:eastAsia="Arial" w:hAnsi="Arial"/>
          <w:sz w:val="20"/>
          <w:szCs w:val="20"/>
          <w:color w:val="FF0000"/>
        </w:rPr>
        <w:t xml:space="preserve"> </w:t>
      </w:r>
      <w:r>
        <w:rPr>
          <w:rFonts w:ascii="Arial" w:cs="Arial" w:eastAsia="Arial" w:hAnsi="Arial"/>
          <w:sz w:val="20"/>
          <w:szCs w:val="20"/>
          <w:color w:val="000000"/>
        </w:rPr>
        <w:t>,</w:t>
      </w:r>
      <w:r>
        <w:rPr>
          <w:rFonts w:ascii="Arial" w:cs="Arial" w:eastAsia="Arial" w:hAnsi="Arial"/>
          <w:sz w:val="20"/>
          <w:szCs w:val="20"/>
          <w:color w:val="FF0000"/>
        </w:rPr>
        <w:t xml:space="preserve"> </w:t>
      </w:r>
      <w:r>
        <w:rPr>
          <w:rFonts w:ascii="Arial" w:cs="Arial" w:eastAsia="Arial" w:hAnsi="Arial"/>
          <w:sz w:val="20"/>
          <w:szCs w:val="20"/>
          <w:u w:val="single" w:color="auto"/>
          <w:color w:val="FF0000"/>
        </w:rPr>
        <w:t>http://www.youtube.com/XeroxCorp</w:t>
      </w:r>
      <w:r>
        <w:rPr>
          <w:rFonts w:ascii="Arial" w:cs="Arial" w:eastAsia="Arial" w:hAnsi="Arial"/>
          <w:sz w:val="20"/>
          <w:szCs w:val="20"/>
          <w:color w:val="FF0000"/>
        </w:rPr>
        <w:t xml:space="preserve"> </w:t>
      </w:r>
      <w:r>
        <w:rPr>
          <w:rFonts w:ascii="Arial" w:cs="Arial" w:eastAsia="Arial" w:hAnsi="Arial"/>
          <w:sz w:val="20"/>
          <w:szCs w:val="20"/>
          <w:color w:val="000000"/>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Xerox </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is a trademark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28" w:right="5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(LOSS) INCOME (UNAUDITED)</w:t>
      </w:r>
    </w:p>
    <w:p>
      <w:pPr>
        <w:spacing w:after="0" w:line="200" w:lineRule="exact"/>
        <w:rPr>
          <w:sz w:val="20"/>
          <w:szCs w:val="20"/>
          <w:color w:val="auto"/>
        </w:rPr>
      </w:pPr>
    </w:p>
    <w:p>
      <w:pPr>
        <w:spacing w:after="0" w:line="233" w:lineRule="exact"/>
        <w:rPr>
          <w:sz w:val="20"/>
          <w:szCs w:val="20"/>
          <w:color w:val="auto"/>
        </w:rPr>
      </w:pPr>
    </w:p>
    <w:p>
      <w:pPr>
        <w:ind w:left="90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42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14605</wp:posOffset>
            </wp:positionV>
            <wp:extent cx="19113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9"/>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Sales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Services, maintenance and rentals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1,236</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Financing</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5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tcBorders>
              <w:bottom w:val="single" w:sz="8" w:color="auto"/>
            </w:tcBorders>
            <w:shd w:val="clear" w:color="auto" w:fill="E5E5E5"/>
          </w:tcPr>
          <w:p>
            <w:pPr>
              <w:spacing w:after="0"/>
              <w:rPr>
                <w:sz w:val="22"/>
                <w:szCs w:val="22"/>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1,860</w:t>
            </w:r>
          </w:p>
        </w:tc>
        <w:tc>
          <w:tcPr>
            <w:tcW w:w="120" w:type="dxa"/>
            <w:vAlign w:val="bottom"/>
            <w:shd w:val="clear" w:color="auto" w:fill="E5E5E5"/>
          </w:tcPr>
          <w:p>
            <w:pPr>
              <w:spacing w:after="0"/>
              <w:rPr>
                <w:sz w:val="22"/>
                <w:szCs w:val="22"/>
                <w:color w:val="auto"/>
              </w:rPr>
            </w:pPr>
          </w:p>
        </w:tc>
        <w:tc>
          <w:tcPr>
            <w:tcW w:w="340" w:type="dxa"/>
            <w:vAlign w:val="bottom"/>
            <w:tcBorders>
              <w:bottom w:val="single" w:sz="8" w:color="auto"/>
            </w:tcBorders>
            <w:shd w:val="clear" w:color="auto" w:fill="E5E5E5"/>
          </w:tcPr>
          <w:p>
            <w:pPr>
              <w:spacing w:after="0"/>
              <w:rPr>
                <w:sz w:val="22"/>
                <w:szCs w:val="22"/>
                <w:color w:val="auto"/>
              </w:rPr>
            </w:pPr>
          </w:p>
        </w:tc>
        <w:tc>
          <w:tcPr>
            <w:tcW w:w="11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258"/>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Cost of sales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Cost of services, maintenance and rentals</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Cost of financing</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Research, development and engineering expenses</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Selling, administrative and general expenses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Restructuring and related costs</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Transaction and related costs, net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Other expenses, net</w:t>
            </w:r>
          </w:p>
        </w:tc>
        <w:tc>
          <w:tcPr>
            <w:tcW w:w="340" w:type="dxa"/>
            <w:vAlign w:val="bottom"/>
            <w:tcBorders>
              <w:bottom w:val="single" w:sz="8" w:color="auto"/>
            </w:tcBorders>
            <w:shd w:val="clear" w:color="auto" w:fill="E5E5E5"/>
          </w:tcPr>
          <w:p>
            <w:pPr>
              <w:spacing w:after="0"/>
              <w:rPr>
                <w:sz w:val="24"/>
                <w:szCs w:val="24"/>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E5E5E5"/>
          </w:tcPr>
          <w:p>
            <w:pPr>
              <w:spacing w:after="0"/>
              <w:rPr>
                <w:sz w:val="24"/>
                <w:szCs w:val="24"/>
                <w:color w:val="auto"/>
              </w:rPr>
            </w:pPr>
          </w:p>
        </w:tc>
        <w:tc>
          <w:tcPr>
            <w:tcW w:w="340" w:type="dxa"/>
            <w:vAlign w:val="bottom"/>
            <w:tcBorders>
              <w:bottom w:val="single" w:sz="8" w:color="auto"/>
            </w:tcBorders>
            <w:shd w:val="clear" w:color="auto" w:fill="E5E5E5"/>
          </w:tcPr>
          <w:p>
            <w:pPr>
              <w:spacing w:after="0"/>
              <w:rPr>
                <w:sz w:val="24"/>
                <w:szCs w:val="24"/>
                <w:color w:val="auto"/>
              </w:rPr>
            </w:pPr>
          </w:p>
        </w:tc>
        <w:tc>
          <w:tcPr>
            <w:tcW w:w="11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44"/>
        </w:trPr>
        <w:tc>
          <w:tcPr>
            <w:tcW w:w="82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1,865</w:t>
            </w:r>
          </w:p>
        </w:tc>
        <w:tc>
          <w:tcPr>
            <w:tcW w:w="120" w:type="dxa"/>
            <w:vAlign w:val="bottom"/>
            <w:tcBorders>
              <w:bottom w:val="single" w:sz="8" w:color="E5E5E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2,107</w:t>
            </w:r>
          </w:p>
        </w:tc>
        <w:tc>
          <w:tcPr>
            <w:tcW w:w="0" w:type="dxa"/>
            <w:vAlign w:val="bottom"/>
          </w:tcPr>
          <w:p>
            <w:pPr>
              <w:spacing w:after="0"/>
              <w:rPr>
                <w:sz w:val="1"/>
                <w:szCs w:val="1"/>
                <w:color w:val="auto"/>
              </w:rPr>
            </w:pPr>
          </w:p>
        </w:tc>
      </w:tr>
      <w:tr>
        <w:trPr>
          <w:trHeight w:val="25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 xml:space="preserve">(Loss) Income before Income Taxes &amp; Equity Income </w:t>
            </w:r>
            <w:r>
              <w:rPr>
                <w:rFonts w:ascii="Arial" w:cs="Arial" w:eastAsia="Arial" w:hAnsi="Arial"/>
                <w:sz w:val="17"/>
                <w:szCs w:val="17"/>
                <w:b w:val="1"/>
                <w:bCs w:val="1"/>
                <w:color w:val="auto"/>
                <w:vertAlign w:val="superscript"/>
              </w:rPr>
              <w:t>(1)</w:t>
            </w: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Income tax benefit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Equity in net income of unconsolidated affiliates</w:t>
            </w:r>
          </w:p>
        </w:tc>
        <w:tc>
          <w:tcPr>
            <w:tcW w:w="340" w:type="dxa"/>
            <w:vAlign w:val="bottom"/>
            <w:tcBorders>
              <w:bottom w:val="single" w:sz="8" w:color="auto"/>
            </w:tcBorders>
            <w:shd w:val="clear" w:color="auto" w:fill="E5E5E5"/>
          </w:tcPr>
          <w:p>
            <w:pPr>
              <w:spacing w:after="0"/>
              <w:rPr>
                <w:sz w:val="24"/>
                <w:szCs w:val="24"/>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24"/>
                <w:szCs w:val="24"/>
                <w:color w:val="auto"/>
              </w:rPr>
            </w:pPr>
          </w:p>
        </w:tc>
        <w:tc>
          <w:tcPr>
            <w:tcW w:w="340" w:type="dxa"/>
            <w:vAlign w:val="bottom"/>
            <w:tcBorders>
              <w:bottom w:val="single" w:sz="8" w:color="auto"/>
            </w:tcBorders>
            <w:shd w:val="clear" w:color="auto" w:fill="E5E5E5"/>
          </w:tcPr>
          <w:p>
            <w:pPr>
              <w:spacing w:after="0"/>
              <w:rPr>
                <w:sz w:val="24"/>
                <w:szCs w:val="24"/>
                <w:color w:val="auto"/>
              </w:rPr>
            </w:pPr>
          </w:p>
        </w:tc>
        <w:tc>
          <w:tcPr>
            <w:tcW w:w="11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4"/>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 Income from Continuing Operations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Income from discontinued operations, net of tax</w:t>
            </w:r>
          </w:p>
        </w:tc>
        <w:tc>
          <w:tcPr>
            <w:tcW w:w="340" w:type="dxa"/>
            <w:vAlign w:val="bottom"/>
            <w:shd w:val="clear" w:color="auto" w:fill="E5E5E5"/>
          </w:tcPr>
          <w:p>
            <w:pPr>
              <w:spacing w:after="0"/>
              <w:rPr>
                <w:sz w:val="24"/>
                <w:szCs w:val="24"/>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44"/>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(Loss) Income</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Less: Income from continuing operations attributable to noncontrolling interests</w:t>
            </w:r>
          </w:p>
        </w:tc>
        <w:tc>
          <w:tcPr>
            <w:tcW w:w="340" w:type="dxa"/>
            <w:vAlign w:val="bottom"/>
            <w:shd w:val="clear" w:color="auto" w:fill="E5E5E5"/>
          </w:tcPr>
          <w:p>
            <w:pPr>
              <w:spacing w:after="0"/>
              <w:rPr>
                <w:sz w:val="24"/>
                <w:szCs w:val="24"/>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Less: Income from discontinued operations attributable to noncontrolling interests</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8220" w:type="dxa"/>
            <w:vAlign w:val="bottom"/>
            <w:tcBorders>
              <w:top w:val="single" w:sz="8" w:color="E5E5E5"/>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Net (Loss) Income Attributable to Xerox Holdings</w:t>
            </w:r>
          </w:p>
        </w:tc>
        <w:tc>
          <w:tcPr>
            <w:tcW w:w="34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E5E5E5"/>
              <w:bottom w:val="single" w:sz="8" w:color="E5E5E5"/>
            </w:tcBorders>
            <w:shd w:val="clear" w:color="auto" w:fill="E5E5E5"/>
          </w:tcPr>
          <w:p>
            <w:pPr>
              <w:spacing w:after="0"/>
              <w:rPr>
                <w:sz w:val="21"/>
                <w:szCs w:val="21"/>
                <w:color w:val="auto"/>
              </w:rPr>
            </w:pPr>
          </w:p>
        </w:tc>
        <w:tc>
          <w:tcPr>
            <w:tcW w:w="340" w:type="dxa"/>
            <w:vAlign w:val="bottom"/>
            <w:tcBorders>
              <w:top w:val="single" w:sz="8" w:color="auto"/>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Amounts Attributable to Xerox Holdings:</w:t>
            </w: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(Loss) Income from continuing operations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Income from discontinued operations</w:t>
            </w:r>
          </w:p>
        </w:tc>
        <w:tc>
          <w:tcPr>
            <w:tcW w:w="340" w:type="dxa"/>
            <w:vAlign w:val="bottom"/>
            <w:shd w:val="clear" w:color="auto" w:fill="E5E5E5"/>
          </w:tcPr>
          <w:p>
            <w:pPr>
              <w:spacing w:after="0"/>
              <w:rPr>
                <w:sz w:val="24"/>
                <w:szCs w:val="24"/>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7"/>
        </w:trPr>
        <w:tc>
          <w:tcPr>
            <w:tcW w:w="82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Net (Loss) Income Attributable to Xerox Holdings</w:t>
            </w: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E5E5E5"/>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50"/>
        </w:trPr>
        <w:tc>
          <w:tcPr>
            <w:tcW w:w="81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10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Basic (Loss) Earnings per Share:</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42"/>
        </w:trPr>
        <w:tc>
          <w:tcPr>
            <w:tcW w:w="8220" w:type="dxa"/>
            <w:vAlign w:val="bottom"/>
            <w:tcBorders>
              <w:top w:val="single" w:sz="8" w:color="E5E5E5"/>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Basic (Loss) Earnings per Share</w:t>
            </w:r>
          </w:p>
        </w:tc>
        <w:tc>
          <w:tcPr>
            <w:tcW w:w="34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top w:val="single" w:sz="8" w:color="E5E5E5"/>
              <w:bottom w:val="single" w:sz="8" w:color="E5E5E5"/>
            </w:tcBorders>
            <w:shd w:val="clear" w:color="auto" w:fill="E5E5E5"/>
          </w:tcPr>
          <w:p>
            <w:pPr>
              <w:spacing w:after="0"/>
              <w:rPr>
                <w:sz w:val="21"/>
                <w:szCs w:val="21"/>
                <w:color w:val="auto"/>
              </w:rPr>
            </w:pPr>
          </w:p>
        </w:tc>
        <w:tc>
          <w:tcPr>
            <w:tcW w:w="340" w:type="dxa"/>
            <w:vAlign w:val="bottom"/>
            <w:tcBorders>
              <w:top w:val="single" w:sz="8" w:color="auto"/>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Diluted (Loss) Earnings per Share:</w:t>
            </w: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E5E5E5"/>
          </w:tcPr>
          <w:p>
            <w:pPr>
              <w:spacing w:after="0"/>
              <w:rPr>
                <w:sz w:val="24"/>
                <w:szCs w:val="24"/>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36"/>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Diluted (Loss) Earnings per Share</w:t>
            </w: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i w:val="1"/>
                <w:iCs w:val="1"/>
                <w:color w:val="auto"/>
              </w:rPr>
              <w:t>___________________________</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spacing w:after="0"/>
              <w:rPr>
                <w:sz w:val="20"/>
                <w:szCs w:val="20"/>
                <w:color w:val="auto"/>
              </w:rPr>
            </w:pPr>
            <w:r>
              <w:rPr>
                <w:rFonts w:ascii="Arial" w:cs="Arial" w:eastAsia="Arial" w:hAnsi="Arial"/>
                <w:sz w:val="9"/>
                <w:szCs w:val="9"/>
                <w:i w:val="1"/>
                <w:iCs w:val="1"/>
                <w:color w:val="auto"/>
              </w:rPr>
              <w:t xml:space="preserve">(1) </w:t>
            </w:r>
            <w:r>
              <w:rPr>
                <w:rFonts w:ascii="Arial" w:cs="Arial" w:eastAsia="Arial" w:hAnsi="Arial"/>
                <w:sz w:val="12"/>
                <w:szCs w:val="12"/>
                <w:i w:val="1"/>
                <w:iCs w:val="1"/>
                <w:color w:val="auto"/>
              </w:rPr>
              <w:t>Referred to as “Pre-Tax (Loss) Income” throughout the remainder of this document.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COMPREHENSIVE (LOSS) INCOME (UNAUDITED)</w:t>
      </w:r>
    </w:p>
    <w:p>
      <w:pPr>
        <w:spacing w:after="0" w:line="200" w:lineRule="exact"/>
        <w:rPr>
          <w:sz w:val="20"/>
          <w:szCs w:val="20"/>
          <w:color w:val="auto"/>
        </w:rPr>
      </w:pPr>
    </w:p>
    <w:p>
      <w:pPr>
        <w:spacing w:after="0" w:line="233" w:lineRule="exact"/>
        <w:rPr>
          <w:sz w:val="20"/>
          <w:szCs w:val="20"/>
          <w:color w:val="auto"/>
        </w:rPr>
      </w:pPr>
    </w:p>
    <w:p>
      <w:pPr>
        <w:ind w:left="90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42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14605</wp:posOffset>
            </wp:positionV>
            <wp:extent cx="191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r>
      <w:tr>
        <w:trPr>
          <w:trHeight w:val="25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Net (Loss) Income</w:t>
            </w:r>
          </w:p>
        </w:tc>
        <w:tc>
          <w:tcPr>
            <w:tcW w:w="3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136</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Less: Income from continuing operations attributable to noncontrolling interests</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Less: Income from discontinued operations attributable to noncontrolling interests</w:t>
            </w:r>
          </w:p>
        </w:tc>
        <w:tc>
          <w:tcPr>
            <w:tcW w:w="340" w:type="dxa"/>
            <w:vAlign w:val="bottom"/>
            <w:shd w:val="clear" w:color="auto" w:fill="E5E5E5"/>
          </w:tcPr>
          <w:p>
            <w:pPr>
              <w:spacing w:after="0"/>
              <w:rPr>
                <w:sz w:val="24"/>
                <w:szCs w:val="24"/>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r>
      <w:tr>
        <w:trPr>
          <w:trHeight w:val="244"/>
        </w:trPr>
        <w:tc>
          <w:tcPr>
            <w:tcW w:w="82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Net (Loss) Income Attributable to Xerox Holdings</w:t>
            </w: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E5E5E5"/>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133</w:t>
            </w:r>
          </w:p>
        </w:tc>
      </w:tr>
      <w:tr>
        <w:trPr>
          <w:trHeight w:val="243"/>
        </w:trPr>
        <w:tc>
          <w:tcPr>
            <w:tcW w:w="81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100" w:type="dxa"/>
            <w:vAlign w:val="bottom"/>
            <w:shd w:val="clear" w:color="auto" w:fill="E5E5E5"/>
          </w:tcPr>
          <w:p>
            <w:pPr>
              <w:spacing w:after="0"/>
              <w:rPr>
                <w:sz w:val="21"/>
                <w:szCs w:val="21"/>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 Comprehensive (Loss) Income, Net</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Translation adjustments, net</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37</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Unrealized gains, net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Changes in defined benefit plans, net</w:t>
            </w:r>
          </w:p>
        </w:tc>
        <w:tc>
          <w:tcPr>
            <w:tcW w:w="340" w:type="dxa"/>
            <w:vAlign w:val="bottom"/>
            <w:tcBorders>
              <w:bottom w:val="single" w:sz="8" w:color="auto"/>
            </w:tcBorders>
            <w:shd w:val="clear" w:color="auto" w:fill="E5E5E5"/>
          </w:tcPr>
          <w:p>
            <w:pPr>
              <w:spacing w:after="0"/>
              <w:rPr>
                <w:sz w:val="24"/>
                <w:szCs w:val="24"/>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E5E5E5"/>
          </w:tcPr>
          <w:p>
            <w:pPr>
              <w:spacing w:after="0"/>
              <w:rPr>
                <w:sz w:val="24"/>
                <w:szCs w:val="24"/>
                <w:color w:val="auto"/>
              </w:rPr>
            </w:pPr>
          </w:p>
        </w:tc>
        <w:tc>
          <w:tcPr>
            <w:tcW w:w="340" w:type="dxa"/>
            <w:vAlign w:val="bottom"/>
            <w:tcBorders>
              <w:bottom w:val="single" w:sz="8" w:color="auto"/>
            </w:tcBorders>
            <w:shd w:val="clear" w:color="auto" w:fill="E5E5E5"/>
          </w:tcPr>
          <w:p>
            <w:pPr>
              <w:spacing w:after="0"/>
              <w:rPr>
                <w:sz w:val="24"/>
                <w:szCs w:val="24"/>
                <w:color w:val="auto"/>
              </w:rPr>
            </w:pPr>
          </w:p>
        </w:tc>
        <w:tc>
          <w:tcPr>
            <w:tcW w:w="11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r>
      <w:tr>
        <w:trPr>
          <w:trHeight w:val="244"/>
        </w:trPr>
        <w:tc>
          <w:tcPr>
            <w:tcW w:w="82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Other Comprehensive (Loss) Income, Net Attributable to Xerox Holdings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E5E5E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r>
      <w:tr>
        <w:trPr>
          <w:trHeight w:val="283"/>
        </w:trPr>
        <w:tc>
          <w:tcPr>
            <w:tcW w:w="81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spacing w:after="0"/>
              <w:rPr>
                <w:sz w:val="24"/>
                <w:szCs w:val="24"/>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Comprehensive (Loss) Income,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Less: Comprehensive income, net from continuing operations attributable to noncontrolling interests</w:t>
            </w:r>
          </w:p>
        </w:tc>
        <w:tc>
          <w:tcPr>
            <w:tcW w:w="340" w:type="dxa"/>
            <w:vAlign w:val="bottom"/>
            <w:shd w:val="clear" w:color="auto" w:fill="E5E5E5"/>
          </w:tcPr>
          <w:p>
            <w:pPr>
              <w:spacing w:after="0"/>
              <w:rPr>
                <w:sz w:val="24"/>
                <w:szCs w:val="24"/>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Less: Comprehensive income, net from discontinued operations attributable to noncontrolling interests</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43"/>
        </w:trPr>
        <w:tc>
          <w:tcPr>
            <w:tcW w:w="8220" w:type="dxa"/>
            <w:vAlign w:val="bottom"/>
            <w:tcBorders>
              <w:top w:val="single" w:sz="8" w:color="E5E5E5"/>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Comprehensive (Loss) Income, Net Attributable to Xerox Holdings</w:t>
            </w:r>
          </w:p>
        </w:tc>
        <w:tc>
          <w:tcPr>
            <w:tcW w:w="34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top w:val="single" w:sz="8" w:color="E5E5E5"/>
              <w:bottom w:val="single" w:sz="8" w:color="E5E5E5"/>
            </w:tcBorders>
            <w:shd w:val="clear" w:color="auto" w:fill="E5E5E5"/>
          </w:tcPr>
          <w:p>
            <w:pPr>
              <w:spacing w:after="0"/>
              <w:rPr>
                <w:sz w:val="21"/>
                <w:szCs w:val="21"/>
                <w:color w:val="auto"/>
              </w:rPr>
            </w:pPr>
          </w:p>
        </w:tc>
        <w:tc>
          <w:tcPr>
            <w:tcW w:w="340" w:type="dxa"/>
            <w:vAlign w:val="bottom"/>
            <w:tcBorders>
              <w:top w:val="single" w:sz="8" w:color="auto"/>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173</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BALANCE SHEETS (UNAUDITED)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share data in thousands)</w:t>
            </w:r>
          </w:p>
        </w:tc>
        <w:tc>
          <w:tcPr>
            <w:tcW w:w="14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March 31, 2020</w:t>
            </w:r>
          </w:p>
        </w:tc>
        <w:tc>
          <w:tcPr>
            <w:tcW w:w="10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December 31, 2019</w:t>
            </w:r>
          </w:p>
        </w:tc>
      </w:tr>
      <w:tr>
        <w:trPr>
          <w:trHeight w:val="203"/>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E5E5E5"/>
          </w:tcPr>
          <w:p>
            <w:pPr>
              <w:spacing w:after="0"/>
              <w:rPr>
                <w:sz w:val="17"/>
                <w:szCs w:val="17"/>
                <w:color w:val="auto"/>
              </w:rPr>
            </w:pPr>
          </w:p>
        </w:tc>
        <w:tc>
          <w:tcPr>
            <w:tcW w:w="14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520" w:type="dxa"/>
            <w:vAlign w:val="bottom"/>
            <w:shd w:val="clear" w:color="auto" w:fill="E5E5E5"/>
          </w:tcPr>
          <w:p>
            <w:pPr>
              <w:spacing w:after="0"/>
              <w:rPr>
                <w:sz w:val="17"/>
                <w:szCs w:val="17"/>
                <w:color w:val="auto"/>
              </w:rPr>
            </w:pPr>
          </w:p>
        </w:tc>
      </w:tr>
      <w:tr>
        <w:trPr>
          <w:trHeight w:val="66"/>
        </w:trPr>
        <w:tc>
          <w:tcPr>
            <w:tcW w:w="7640" w:type="dxa"/>
            <w:vAlign w:val="bottom"/>
            <w:shd w:val="clear" w:color="auto" w:fill="E5E5E5"/>
          </w:tcPr>
          <w:p>
            <w:pPr>
              <w:spacing w:after="0"/>
              <w:rPr>
                <w:sz w:val="5"/>
                <w:szCs w:val="5"/>
                <w:color w:val="auto"/>
              </w:rPr>
            </w:pPr>
          </w:p>
        </w:tc>
        <w:tc>
          <w:tcPr>
            <w:tcW w:w="140" w:type="dxa"/>
            <w:vAlign w:val="bottom"/>
            <w:shd w:val="clear" w:color="auto" w:fill="E5E5E5"/>
          </w:tcPr>
          <w:p>
            <w:pPr>
              <w:spacing w:after="0"/>
              <w:rPr>
                <w:sz w:val="5"/>
                <w:szCs w:val="5"/>
                <w:color w:val="auto"/>
              </w:rPr>
            </w:pPr>
          </w:p>
        </w:tc>
        <w:tc>
          <w:tcPr>
            <w:tcW w:w="220" w:type="dxa"/>
            <w:vAlign w:val="bottom"/>
            <w:shd w:val="clear" w:color="auto" w:fill="E5E5E5"/>
          </w:tcPr>
          <w:p>
            <w:pPr>
              <w:spacing w:after="0"/>
              <w:rPr>
                <w:sz w:val="5"/>
                <w:szCs w:val="5"/>
                <w:color w:val="auto"/>
              </w:rPr>
            </w:pPr>
          </w:p>
        </w:tc>
        <w:tc>
          <w:tcPr>
            <w:tcW w:w="1460" w:type="dxa"/>
            <w:vAlign w:val="bottom"/>
            <w:shd w:val="clear" w:color="auto" w:fill="E5E5E5"/>
          </w:tcPr>
          <w:p>
            <w:pPr>
              <w:spacing w:after="0"/>
              <w:rPr>
                <w:sz w:val="5"/>
                <w:szCs w:val="5"/>
                <w:color w:val="auto"/>
              </w:rPr>
            </w:pPr>
          </w:p>
        </w:tc>
        <w:tc>
          <w:tcPr>
            <w:tcW w:w="100" w:type="dxa"/>
            <w:vAlign w:val="bottom"/>
            <w:shd w:val="clear" w:color="auto" w:fill="E5E5E5"/>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1520" w:type="dxa"/>
            <w:vAlign w:val="bottom"/>
            <w:shd w:val="clear" w:color="auto" w:fill="E5E5E5"/>
          </w:tcPr>
          <w:p>
            <w:pPr>
              <w:spacing w:after="0"/>
              <w:rPr>
                <w:sz w:val="5"/>
                <w:szCs w:val="5"/>
                <w:color w:val="auto"/>
              </w:rPr>
            </w:pP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2,740</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1,236</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Billed portion of finance receivables, net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111</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Finance receivables, net</w:t>
            </w:r>
          </w:p>
        </w:tc>
        <w:tc>
          <w:tcPr>
            <w:tcW w:w="22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1,158</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694</w:t>
            </w:r>
          </w:p>
        </w:tc>
      </w:tr>
      <w:tr>
        <w:trPr>
          <w:trHeight w:val="270"/>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shd w:val="clear" w:color="auto" w:fill="E5E5E5"/>
          </w:tcPr>
          <w:p>
            <w:pPr>
              <w:spacing w:after="0"/>
              <w:rPr>
                <w:sz w:val="23"/>
                <w:szCs w:val="23"/>
                <w:color w:val="auto"/>
              </w:rPr>
            </w:pPr>
          </w:p>
        </w:tc>
        <w:tc>
          <w:tcPr>
            <w:tcW w:w="14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E5E5E5"/>
          </w:tcPr>
          <w:p>
            <w:pPr>
              <w:spacing w:after="0"/>
              <w:rPr>
                <w:sz w:val="23"/>
                <w:szCs w:val="23"/>
                <w:color w:val="auto"/>
              </w:rPr>
            </w:pPr>
          </w:p>
        </w:tc>
        <w:tc>
          <w:tcPr>
            <w:tcW w:w="160" w:type="dxa"/>
            <w:vAlign w:val="bottom"/>
            <w:tcBorders>
              <w:bottom w:val="single" w:sz="8" w:color="auto"/>
            </w:tcBorders>
            <w:shd w:val="clear" w:color="auto" w:fill="E5E5E5"/>
          </w:tcPr>
          <w:p>
            <w:pPr>
              <w:spacing w:after="0"/>
              <w:rPr>
                <w:sz w:val="23"/>
                <w:szCs w:val="23"/>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201</w:t>
            </w:r>
          </w:p>
        </w:tc>
      </w:tr>
      <w:tr>
        <w:trPr>
          <w:trHeight w:val="250"/>
        </w:trPr>
        <w:tc>
          <w:tcPr>
            <w:tcW w:w="7780" w:type="dxa"/>
            <w:vAlign w:val="bottom"/>
            <w:gridSpan w:val="2"/>
          </w:tcPr>
          <w:p>
            <w:pPr>
              <w:ind w:left="38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6,140</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Finance receivables due after one year, net</w:t>
            </w:r>
          </w:p>
        </w:tc>
        <w:tc>
          <w:tcPr>
            <w:tcW w:w="22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1,929</w:t>
            </w: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2,082</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364</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Land, buildings and equipment, net</w:t>
            </w:r>
          </w:p>
        </w:tc>
        <w:tc>
          <w:tcPr>
            <w:tcW w:w="22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426</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199</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3,900</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Deferred tax assets</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598</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shd w:val="clear" w:color="auto" w:fill="E5E5E5"/>
          </w:tcPr>
          <w:p>
            <w:pPr>
              <w:spacing w:after="0"/>
              <w:rPr>
                <w:sz w:val="24"/>
                <w:szCs w:val="24"/>
                <w:color w:val="auto"/>
              </w:rPr>
            </w:pPr>
          </w:p>
        </w:tc>
        <w:tc>
          <w:tcPr>
            <w:tcW w:w="14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E5E5E5"/>
          </w:tcPr>
          <w:p>
            <w:pPr>
              <w:spacing w:after="0"/>
              <w:rPr>
                <w:sz w:val="24"/>
                <w:szCs w:val="24"/>
                <w:color w:val="auto"/>
              </w:rPr>
            </w:pPr>
          </w:p>
        </w:tc>
        <w:tc>
          <w:tcPr>
            <w:tcW w:w="160" w:type="dxa"/>
            <w:vAlign w:val="bottom"/>
            <w:tcBorders>
              <w:bottom w:val="single" w:sz="8" w:color="auto"/>
            </w:tcBorders>
            <w:shd w:val="clear" w:color="auto" w:fill="E5E5E5"/>
          </w:tcPr>
          <w:p>
            <w:pPr>
              <w:spacing w:after="0"/>
              <w:rPr>
                <w:sz w:val="24"/>
                <w:szCs w:val="24"/>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1,338</w:t>
            </w:r>
          </w:p>
        </w:tc>
      </w:tr>
      <w:tr>
        <w:trPr>
          <w:trHeight w:val="277"/>
        </w:trPr>
        <w:tc>
          <w:tcPr>
            <w:tcW w:w="778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14,784</w:t>
            </w:r>
          </w:p>
        </w:tc>
        <w:tc>
          <w:tcPr>
            <w:tcW w:w="100" w:type="dxa"/>
            <w:vAlign w:val="bottom"/>
            <w:tcBorders>
              <w:bottom w:val="single" w:sz="8" w:color="E5E5E5"/>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15,047</w:t>
            </w:r>
          </w:p>
        </w:tc>
      </w:tr>
      <w:tr>
        <w:trPr>
          <w:trHeight w:val="250"/>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220" w:type="dxa"/>
            <w:vAlign w:val="bottom"/>
            <w:shd w:val="clear" w:color="auto" w:fill="E5E5E5"/>
          </w:tcPr>
          <w:p>
            <w:pPr>
              <w:spacing w:after="0"/>
              <w:rPr>
                <w:sz w:val="21"/>
                <w:szCs w:val="21"/>
                <w:color w:val="auto"/>
              </w:rPr>
            </w:pPr>
          </w:p>
        </w:tc>
        <w:tc>
          <w:tcPr>
            <w:tcW w:w="14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520" w:type="dxa"/>
            <w:vAlign w:val="bottom"/>
            <w:shd w:val="clear" w:color="auto" w:fill="E5E5E5"/>
          </w:tcPr>
          <w:p>
            <w:pPr>
              <w:spacing w:after="0"/>
              <w:rPr>
                <w:sz w:val="21"/>
                <w:szCs w:val="21"/>
                <w:color w:val="auto"/>
              </w:rPr>
            </w:pP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1,049</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1,053</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Accrued compensation and benefits costs</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349</w:t>
            </w:r>
          </w:p>
        </w:tc>
      </w:tr>
      <w:tr>
        <w:trPr>
          <w:trHeight w:val="270"/>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Borders>
              <w:bottom w:val="single" w:sz="8" w:color="auto"/>
            </w:tcBorders>
            <w:shd w:val="clear" w:color="auto" w:fill="E5E5E5"/>
          </w:tcPr>
          <w:p>
            <w:pPr>
              <w:spacing w:after="0"/>
              <w:rPr>
                <w:sz w:val="23"/>
                <w:szCs w:val="23"/>
                <w:color w:val="auto"/>
              </w:rPr>
            </w:pPr>
          </w:p>
        </w:tc>
        <w:tc>
          <w:tcPr>
            <w:tcW w:w="14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E5E5E5"/>
          </w:tcPr>
          <w:p>
            <w:pPr>
              <w:spacing w:after="0"/>
              <w:rPr>
                <w:sz w:val="23"/>
                <w:szCs w:val="23"/>
                <w:color w:val="auto"/>
              </w:rPr>
            </w:pPr>
          </w:p>
        </w:tc>
        <w:tc>
          <w:tcPr>
            <w:tcW w:w="160" w:type="dxa"/>
            <w:vAlign w:val="bottom"/>
            <w:tcBorders>
              <w:bottom w:val="single" w:sz="8" w:color="auto"/>
            </w:tcBorders>
            <w:shd w:val="clear" w:color="auto" w:fill="E5E5E5"/>
          </w:tcPr>
          <w:p>
            <w:pPr>
              <w:spacing w:after="0"/>
              <w:rPr>
                <w:sz w:val="23"/>
                <w:szCs w:val="23"/>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984</w:t>
            </w:r>
          </w:p>
        </w:tc>
      </w:tr>
      <w:tr>
        <w:trPr>
          <w:trHeight w:val="250"/>
        </w:trPr>
        <w:tc>
          <w:tcPr>
            <w:tcW w:w="7780" w:type="dxa"/>
            <w:vAlign w:val="bottom"/>
            <w:gridSpan w:val="2"/>
          </w:tcPr>
          <w:p>
            <w:pPr>
              <w:ind w:left="3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3,435</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Long-term debt</w:t>
            </w:r>
          </w:p>
        </w:tc>
        <w:tc>
          <w:tcPr>
            <w:tcW w:w="22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3,238</w:t>
            </w: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3,233</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Pension and other benefit liabilities</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1,707</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Post-retirement medical benefits</w:t>
            </w:r>
          </w:p>
        </w:tc>
        <w:tc>
          <w:tcPr>
            <w:tcW w:w="22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352</w:t>
            </w:r>
          </w:p>
        </w:tc>
      </w:tr>
      <w:tr>
        <w:trPr>
          <w:trHeight w:val="264"/>
        </w:trPr>
        <w:tc>
          <w:tcPr>
            <w:tcW w:w="778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E5E5E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w:t>
            </w:r>
          </w:p>
        </w:tc>
      </w:tr>
      <w:tr>
        <w:trPr>
          <w:trHeight w:val="250"/>
        </w:trPr>
        <w:tc>
          <w:tcPr>
            <w:tcW w:w="7780" w:type="dxa"/>
            <w:vAlign w:val="bottom"/>
            <w:gridSpan w:val="2"/>
            <w:shd w:val="clear" w:color="auto" w:fill="E5E5E5"/>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E5E5E5"/>
          </w:tcPr>
          <w:p>
            <w:pPr>
              <w:spacing w:after="0"/>
              <w:rPr>
                <w:sz w:val="21"/>
                <w:szCs w:val="21"/>
                <w:color w:val="auto"/>
              </w:rPr>
            </w:pPr>
          </w:p>
        </w:tc>
        <w:tc>
          <w:tcPr>
            <w:tcW w:w="14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9,170</w:t>
            </w:r>
          </w:p>
        </w:tc>
        <w:tc>
          <w:tcPr>
            <w:tcW w:w="100" w:type="dxa"/>
            <w:vAlign w:val="bottom"/>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9,239</w:t>
            </w:r>
          </w:p>
        </w:tc>
      </w:tr>
      <w:tr>
        <w:trPr>
          <w:trHeight w:val="283"/>
        </w:trPr>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4"/>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220" w:type="dxa"/>
            <w:vAlign w:val="bottom"/>
            <w:tcBorders>
              <w:bottom w:val="single" w:sz="8" w:color="auto"/>
            </w:tcBorders>
            <w:shd w:val="clear" w:color="auto" w:fill="E5E5E5"/>
          </w:tcPr>
          <w:p>
            <w:pPr>
              <w:spacing w:after="0"/>
              <w:rPr>
                <w:sz w:val="22"/>
                <w:szCs w:val="22"/>
                <w:color w:val="auto"/>
              </w:rPr>
            </w:pPr>
          </w:p>
        </w:tc>
        <w:tc>
          <w:tcPr>
            <w:tcW w:w="14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spacing w:after="0"/>
              <w:rPr>
                <w:sz w:val="22"/>
                <w:szCs w:val="22"/>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214</w:t>
            </w:r>
          </w:p>
        </w:tc>
      </w:tr>
      <w:tr>
        <w:trPr>
          <w:trHeight w:val="283"/>
        </w:trPr>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Common stock</w:t>
            </w:r>
          </w:p>
        </w:tc>
        <w:tc>
          <w:tcPr>
            <w:tcW w:w="220" w:type="dxa"/>
            <w:vAlign w:val="bottom"/>
            <w:shd w:val="clear" w:color="auto" w:fill="E5E5E5"/>
          </w:tcPr>
          <w:p>
            <w:pPr>
              <w:spacing w:after="0"/>
              <w:rPr>
                <w:sz w:val="23"/>
                <w:szCs w:val="23"/>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215</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2,712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2,782</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Treasury stock, at cost</w:t>
            </w:r>
          </w:p>
        </w:tc>
        <w:tc>
          <w:tcPr>
            <w:tcW w:w="220" w:type="dxa"/>
            <w:vAlign w:val="bottom"/>
            <w:shd w:val="clear" w:color="auto" w:fill="E5E5E5"/>
          </w:tcPr>
          <w:p>
            <w:pPr>
              <w:spacing w:after="0"/>
              <w:rPr>
                <w:sz w:val="24"/>
                <w:szCs w:val="24"/>
                <w:color w:val="auto"/>
              </w:rPr>
            </w:pPr>
          </w:p>
        </w:tc>
        <w:tc>
          <w:tcPr>
            <w:tcW w:w="1560" w:type="dxa"/>
            <w:vAlign w:val="bottom"/>
            <w:gridSpan w:val="2"/>
            <w:shd w:val="clear" w:color="auto" w:fill="E5E5E5"/>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24"/>
                <w:szCs w:val="24"/>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6,252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6,312</w:t>
            </w:r>
          </w:p>
        </w:tc>
      </w:tr>
      <w:tr>
        <w:trPr>
          <w:trHeight w:val="270"/>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shd w:val="clear" w:color="auto" w:fill="E5E5E5"/>
          </w:tcPr>
          <w:p>
            <w:pPr>
              <w:spacing w:after="0"/>
              <w:rPr>
                <w:sz w:val="23"/>
                <w:szCs w:val="23"/>
                <w:color w:val="auto"/>
              </w:rPr>
            </w:pPr>
          </w:p>
        </w:tc>
        <w:tc>
          <w:tcPr>
            <w:tcW w:w="1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(3,784)</w:t>
            </w:r>
          </w:p>
        </w:tc>
        <w:tc>
          <w:tcPr>
            <w:tcW w:w="100" w:type="dxa"/>
            <w:vAlign w:val="bottom"/>
            <w:shd w:val="clear" w:color="auto" w:fill="E5E5E5"/>
          </w:tcPr>
          <w:p>
            <w:pPr>
              <w:spacing w:after="0"/>
              <w:rPr>
                <w:sz w:val="23"/>
                <w:szCs w:val="23"/>
                <w:color w:val="auto"/>
              </w:rPr>
            </w:pPr>
          </w:p>
        </w:tc>
        <w:tc>
          <w:tcPr>
            <w:tcW w:w="160" w:type="dxa"/>
            <w:vAlign w:val="bottom"/>
            <w:tcBorders>
              <w:bottom w:val="single" w:sz="8" w:color="auto"/>
            </w:tcBorders>
            <w:shd w:val="clear" w:color="auto" w:fill="E5E5E5"/>
          </w:tcPr>
          <w:p>
            <w:pPr>
              <w:spacing w:after="0"/>
              <w:rPr>
                <w:sz w:val="23"/>
                <w:szCs w:val="23"/>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(3,646)</w:t>
            </w:r>
          </w:p>
        </w:tc>
      </w:tr>
      <w:tr>
        <w:trPr>
          <w:trHeight w:val="250"/>
        </w:trPr>
        <w:tc>
          <w:tcPr>
            <w:tcW w:w="7780" w:type="dxa"/>
            <w:vAlign w:val="bottom"/>
            <w:gridSpan w:val="2"/>
          </w:tcPr>
          <w:p>
            <w:pPr>
              <w:ind w:left="380"/>
              <w:spacing w:after="0"/>
              <w:rPr>
                <w:sz w:val="20"/>
                <w:szCs w:val="20"/>
                <w:color w:val="auto"/>
              </w:rPr>
            </w:pPr>
            <w:r>
              <w:rPr>
                <w:rFonts w:ascii="Arial" w:cs="Arial" w:eastAsia="Arial" w:hAnsi="Arial"/>
                <w:sz w:val="14"/>
                <w:szCs w:val="14"/>
                <w:color w:val="auto"/>
              </w:rPr>
              <w:t>Xerox Holdings shareholders’ equity</w:t>
            </w: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5,587</w:t>
            </w:r>
          </w:p>
        </w:tc>
      </w:tr>
      <w:tr>
        <w:trPr>
          <w:trHeight w:val="276"/>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shd w:val="clear" w:color="auto" w:fill="E5E5E5"/>
          </w:tcPr>
          <w:p>
            <w:pPr>
              <w:spacing w:after="0"/>
              <w:rPr>
                <w:sz w:val="24"/>
                <w:szCs w:val="24"/>
                <w:color w:val="auto"/>
              </w:rPr>
            </w:pPr>
          </w:p>
        </w:tc>
        <w:tc>
          <w:tcPr>
            <w:tcW w:w="14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E5E5E5"/>
          </w:tcPr>
          <w:p>
            <w:pPr>
              <w:spacing w:after="0"/>
              <w:rPr>
                <w:sz w:val="24"/>
                <w:szCs w:val="24"/>
                <w:color w:val="auto"/>
              </w:rPr>
            </w:pPr>
          </w:p>
        </w:tc>
        <w:tc>
          <w:tcPr>
            <w:tcW w:w="160" w:type="dxa"/>
            <w:vAlign w:val="bottom"/>
            <w:tcBorders>
              <w:bottom w:val="single" w:sz="8" w:color="auto"/>
            </w:tcBorders>
            <w:shd w:val="clear" w:color="auto" w:fill="E5E5E5"/>
          </w:tcPr>
          <w:p>
            <w:pPr>
              <w:spacing w:after="0"/>
              <w:rPr>
                <w:sz w:val="24"/>
                <w:szCs w:val="24"/>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w:t>
            </w:r>
          </w:p>
        </w:tc>
      </w:tr>
      <w:tr>
        <w:trPr>
          <w:trHeight w:val="244"/>
        </w:trPr>
        <w:tc>
          <w:tcPr>
            <w:tcW w:w="778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b w:val="1"/>
                <w:bCs w:val="1"/>
                <w:color w:val="auto"/>
              </w:rPr>
              <w:t>Total Equity</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5,400</w:t>
            </w:r>
          </w:p>
        </w:tc>
        <w:tc>
          <w:tcPr>
            <w:tcW w:w="10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5,594</w:t>
            </w:r>
          </w:p>
        </w:tc>
      </w:tr>
      <w:tr>
        <w:trPr>
          <w:trHeight w:val="243"/>
        </w:trPr>
        <w:tc>
          <w:tcPr>
            <w:tcW w:w="7780" w:type="dxa"/>
            <w:vAlign w:val="bottom"/>
            <w:tcBorders>
              <w:bottom w:val="single" w:sz="8" w:color="E5E5E5"/>
            </w:tcBorders>
            <w:gridSpan w:val="2"/>
            <w:shd w:val="clear" w:color="auto" w:fill="E5E5E5"/>
          </w:tcPr>
          <w:p>
            <w:pPr>
              <w:ind w:left="380"/>
              <w:spacing w:after="0"/>
              <w:rPr>
                <w:sz w:val="20"/>
                <w:szCs w:val="20"/>
                <w:color w:val="auto"/>
              </w:rPr>
            </w:pPr>
            <w:r>
              <w:rPr>
                <w:rFonts w:ascii="Arial" w:cs="Arial" w:eastAsia="Arial" w:hAnsi="Arial"/>
                <w:sz w:val="14"/>
                <w:szCs w:val="14"/>
                <w:b w:val="1"/>
                <w:bCs w:val="1"/>
                <w:color w:val="auto"/>
              </w:rPr>
              <w:t>Total Liabilities and Equity</w:t>
            </w: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14,784</w:t>
            </w:r>
          </w:p>
        </w:tc>
        <w:tc>
          <w:tcPr>
            <w:tcW w:w="10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15,047</w:t>
            </w:r>
          </w:p>
        </w:tc>
      </w:tr>
      <w:tr>
        <w:trPr>
          <w:trHeight w:val="20"/>
        </w:trPr>
        <w:tc>
          <w:tcPr>
            <w:tcW w:w="7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64"/>
        </w:trPr>
        <w:tc>
          <w:tcPr>
            <w:tcW w:w="7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0"/>
        </w:trPr>
        <w:tc>
          <w:tcPr>
            <w:tcW w:w="77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Shares of common stock issued</w:t>
            </w:r>
          </w:p>
        </w:tc>
        <w:tc>
          <w:tcPr>
            <w:tcW w:w="220" w:type="dxa"/>
            <w:vAlign w:val="bottom"/>
            <w:shd w:val="clear" w:color="auto" w:fill="E5E5E5"/>
          </w:tcPr>
          <w:p>
            <w:pPr>
              <w:spacing w:after="0"/>
              <w:rPr>
                <w:sz w:val="23"/>
                <w:szCs w:val="23"/>
                <w:color w:val="auto"/>
              </w:rPr>
            </w:pPr>
          </w:p>
        </w:tc>
        <w:tc>
          <w:tcPr>
            <w:tcW w:w="14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212,831</w:t>
            </w:r>
          </w:p>
        </w:tc>
        <w:tc>
          <w:tcPr>
            <w:tcW w:w="10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214,621</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(2,031)</w:t>
            </w:r>
          </w:p>
        </w:tc>
      </w:tr>
      <w:tr>
        <w:trPr>
          <w:trHeight w:val="243"/>
        </w:trPr>
        <w:tc>
          <w:tcPr>
            <w:tcW w:w="7780" w:type="dxa"/>
            <w:vAlign w:val="bottom"/>
            <w:tcBorders>
              <w:top w:val="single" w:sz="8" w:color="E5E5E5"/>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Shares of Common Stock Outstanding</w:t>
            </w:r>
          </w:p>
        </w:tc>
        <w:tc>
          <w:tcPr>
            <w:tcW w:w="220" w:type="dxa"/>
            <w:vAlign w:val="bottom"/>
            <w:tcBorders>
              <w:top w:val="single" w:sz="8" w:color="auto"/>
              <w:bottom w:val="single" w:sz="8" w:color="auto"/>
            </w:tcBorders>
            <w:shd w:val="clear" w:color="auto" w:fill="E5E5E5"/>
          </w:tcPr>
          <w:p>
            <w:pPr>
              <w:spacing w:after="0"/>
              <w:rPr>
                <w:sz w:val="21"/>
                <w:szCs w:val="21"/>
                <w:color w:val="auto"/>
              </w:rPr>
            </w:pPr>
          </w:p>
        </w:tc>
        <w:tc>
          <w:tcPr>
            <w:tcW w:w="146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212,831</w:t>
            </w:r>
          </w:p>
        </w:tc>
        <w:tc>
          <w:tcPr>
            <w:tcW w:w="100" w:type="dxa"/>
            <w:vAlign w:val="bottom"/>
            <w:tcBorders>
              <w:top w:val="single" w:sz="8" w:color="E5E5E5"/>
              <w:bottom w:val="single" w:sz="8" w:color="E5E5E5"/>
            </w:tcBorders>
            <w:shd w:val="clear" w:color="auto" w:fill="E5E5E5"/>
          </w:tcPr>
          <w:p>
            <w:pPr>
              <w:spacing w:after="0"/>
              <w:rPr>
                <w:sz w:val="21"/>
                <w:szCs w:val="21"/>
                <w:color w:val="auto"/>
              </w:rPr>
            </w:pPr>
          </w:p>
        </w:tc>
        <w:tc>
          <w:tcPr>
            <w:tcW w:w="160" w:type="dxa"/>
            <w:vAlign w:val="bottom"/>
            <w:tcBorders>
              <w:top w:val="single" w:sz="8" w:color="auto"/>
              <w:bottom w:val="single" w:sz="8" w:color="auto"/>
            </w:tcBorders>
            <w:shd w:val="clear" w:color="auto" w:fill="E5E5E5"/>
          </w:tcPr>
          <w:p>
            <w:pPr>
              <w:spacing w:after="0"/>
              <w:rPr>
                <w:sz w:val="21"/>
                <w:szCs w:val="21"/>
                <w:color w:val="auto"/>
              </w:rPr>
            </w:pPr>
          </w:p>
        </w:tc>
        <w:tc>
          <w:tcPr>
            <w:tcW w:w="152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212,590</w:t>
            </w:r>
          </w:p>
        </w:tc>
      </w:tr>
      <w:tr>
        <w:trPr>
          <w:trHeight w:val="20"/>
        </w:trPr>
        <w:tc>
          <w:tcPr>
            <w:tcW w:w="7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7"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CASH FLOWS (UNAUDITED)</w:t>
      </w:r>
    </w:p>
    <w:p>
      <w:pPr>
        <w:spacing w:after="0" w:line="177" w:lineRule="exact"/>
        <w:rPr>
          <w:sz w:val="20"/>
          <w:szCs w:val="20"/>
          <w:color w:val="auto"/>
        </w:rPr>
      </w:pPr>
    </w:p>
    <w:p>
      <w:pPr>
        <w:ind w:left="90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42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14605</wp:posOffset>
            </wp:positionV>
            <wp:extent cx="19113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r>
      <w:tr>
        <w:trPr>
          <w:trHeight w:val="269"/>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Net (Loss) Income</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0"/>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Income from discontinued operations, net of tax</w:t>
            </w:r>
          </w:p>
        </w:tc>
        <w:tc>
          <w:tcPr>
            <w:tcW w:w="340" w:type="dxa"/>
            <w:vAlign w:val="bottom"/>
            <w:shd w:val="clear" w:color="auto" w:fill="E5E5E5"/>
          </w:tcPr>
          <w:p>
            <w:pPr>
              <w:spacing w:after="0"/>
              <w:rPr>
                <w:sz w:val="23"/>
                <w:szCs w:val="23"/>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23"/>
                <w:szCs w:val="23"/>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w:t>
            </w:r>
          </w:p>
        </w:tc>
      </w:tr>
      <w:tr>
        <w:trPr>
          <w:trHeight w:val="250"/>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(Loss) income from continuing operations</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r>
      <w:tr>
        <w:trPr>
          <w:trHeight w:val="27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Adjustments required to reconcile Net (loss) income to Cash flows from operating activities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spacing w:after="0"/>
              <w:rPr>
                <w:sz w:val="24"/>
                <w:szCs w:val="24"/>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Provisions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Net gain on sales of businesses and assets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Restructuring and asset impairment charges</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Payments for restructurings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Defined benefit pension cost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Contributions to defined benefit pension plans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Decrease in accounts receivable and billed portion of finance receivables</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Increase in inventories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Increase in equipment on operating leases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Decrease in finance receivables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81</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Increase in other current and long-term assets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Increase (decrease) in accounts payable</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Decrease in accrued compensation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(Decrease) increase in other current and long-term liabilities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47</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Net change in derivative assets and liabilities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w:t>
            </w:r>
          </w:p>
        </w:tc>
      </w:tr>
      <w:tr>
        <w:trPr>
          <w:trHeight w:val="264"/>
        </w:trPr>
        <w:tc>
          <w:tcPr>
            <w:tcW w:w="822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Other operating,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56"/>
        </w:trPr>
        <w:tc>
          <w:tcPr>
            <w:tcW w:w="8220" w:type="dxa"/>
            <w:vAlign w:val="bottom"/>
            <w:gridSpan w:val="2"/>
            <w:shd w:val="clear" w:color="auto" w:fill="E5E5E5"/>
          </w:tcPr>
          <w:p>
            <w:pPr>
              <w:ind w:left="7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222</w:t>
            </w:r>
          </w:p>
        </w:tc>
      </w:tr>
      <w:tr>
        <w:trPr>
          <w:trHeight w:val="264"/>
        </w:trPr>
        <w:tc>
          <w:tcPr>
            <w:tcW w:w="8220" w:type="dxa"/>
            <w:vAlign w:val="bottom"/>
            <w:gridSpan w:val="2"/>
          </w:tcPr>
          <w:p>
            <w:pPr>
              <w:ind w:left="72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56"/>
        </w:trPr>
        <w:tc>
          <w:tcPr>
            <w:tcW w:w="8220" w:type="dxa"/>
            <w:vAlign w:val="bottom"/>
            <w:tcBorders>
              <w:top w:val="single" w:sz="8" w:color="E5E5E5"/>
            </w:tcBorders>
            <w:gridSpan w:val="2"/>
            <w:shd w:val="clear" w:color="auto" w:fill="E5E5E5"/>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top w:val="single" w:sz="8" w:color="auto"/>
              <w:bottom w:val="single" w:sz="8" w:color="auto"/>
            </w:tcBorders>
            <w:shd w:val="clear" w:color="auto" w:fill="E5E5E5"/>
          </w:tcPr>
          <w:p>
            <w:pPr>
              <w:spacing w:after="0"/>
              <w:rPr>
                <w:sz w:val="22"/>
                <w:szCs w:val="22"/>
                <w:color w:val="auto"/>
              </w:rPr>
            </w:pPr>
          </w:p>
        </w:tc>
        <w:tc>
          <w:tcPr>
            <w:tcW w:w="112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Borders>
              <w:top w:val="single" w:sz="8" w:color="E5E5E5"/>
            </w:tcBorders>
            <w:shd w:val="clear" w:color="auto" w:fill="E5E5E5"/>
          </w:tcPr>
          <w:p>
            <w:pPr>
              <w:spacing w:after="0"/>
              <w:rPr>
                <w:sz w:val="22"/>
                <w:szCs w:val="22"/>
                <w:color w:val="auto"/>
              </w:rPr>
            </w:pPr>
          </w:p>
        </w:tc>
        <w:tc>
          <w:tcPr>
            <w:tcW w:w="340" w:type="dxa"/>
            <w:vAlign w:val="bottom"/>
            <w:tcBorders>
              <w:top w:val="single" w:sz="8" w:color="auto"/>
              <w:bottom w:val="single" w:sz="8" w:color="auto"/>
            </w:tcBorders>
            <w:shd w:val="clear" w:color="auto" w:fill="E5E5E5"/>
          </w:tcPr>
          <w:p>
            <w:pPr>
              <w:spacing w:after="0"/>
              <w:rPr>
                <w:sz w:val="22"/>
                <w:szCs w:val="22"/>
                <w:color w:val="auto"/>
              </w:rPr>
            </w:pPr>
          </w:p>
        </w:tc>
        <w:tc>
          <w:tcPr>
            <w:tcW w:w="11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226</w:t>
            </w:r>
          </w:p>
        </w:tc>
      </w:tr>
      <w:tr>
        <w:trPr>
          <w:trHeight w:val="258"/>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Cost of additions to land, buildings, equipment and software</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Proceeds from sales of businesses and assets</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Acquisitions, net of cash acquired</w:t>
            </w:r>
          </w:p>
        </w:tc>
        <w:tc>
          <w:tcPr>
            <w:tcW w:w="340" w:type="dxa"/>
            <w:vAlign w:val="bottom"/>
            <w:tcBorders>
              <w:bottom w:val="single" w:sz="8" w:color="auto"/>
            </w:tcBorders>
            <w:shd w:val="clear" w:color="auto" w:fill="E5E5E5"/>
          </w:tcPr>
          <w:p>
            <w:pPr>
              <w:spacing w:after="0"/>
              <w:rPr>
                <w:sz w:val="23"/>
                <w:szCs w:val="23"/>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E5E5E5"/>
          </w:tcPr>
          <w:p>
            <w:pPr>
              <w:spacing w:after="0"/>
              <w:rPr>
                <w:sz w:val="23"/>
                <w:szCs w:val="23"/>
                <w:color w:val="auto"/>
              </w:rPr>
            </w:pPr>
          </w:p>
        </w:tc>
        <w:tc>
          <w:tcPr>
            <w:tcW w:w="340" w:type="dxa"/>
            <w:vAlign w:val="bottom"/>
            <w:tcBorders>
              <w:bottom w:val="single" w:sz="8" w:color="auto"/>
            </w:tcBorders>
            <w:shd w:val="clear" w:color="auto" w:fill="E5E5E5"/>
          </w:tcPr>
          <w:p>
            <w:pPr>
              <w:spacing w:after="0"/>
              <w:rPr>
                <w:sz w:val="23"/>
                <w:szCs w:val="23"/>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8220" w:type="dxa"/>
            <w:vAlign w:val="bottom"/>
            <w:tcBorders>
              <w:bottom w:val="single" w:sz="8" w:color="E5E5E5"/>
            </w:tcBorders>
            <w:gridSpan w:val="2"/>
          </w:tcPr>
          <w:p>
            <w:pPr>
              <w:ind w:left="68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E5E5E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70"/>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00" w:type="dxa"/>
            <w:vAlign w:val="bottom"/>
            <w:shd w:val="clear" w:color="auto" w:fill="E5E5E5"/>
          </w:tcPr>
          <w:p>
            <w:pPr>
              <w:spacing w:after="0"/>
              <w:rPr>
                <w:sz w:val="23"/>
                <w:szCs w:val="23"/>
                <w:color w:val="auto"/>
              </w:rPr>
            </w:pP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Net proceeds (payments) on debt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276"/>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Dividends</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E5E5E5"/>
          </w:tcPr>
          <w:p>
            <w:pPr>
              <w:spacing w:after="0"/>
              <w:rPr>
                <w:sz w:val="24"/>
                <w:szCs w:val="24"/>
                <w:color w:val="auto"/>
              </w:rPr>
            </w:pPr>
          </w:p>
        </w:tc>
        <w:tc>
          <w:tcPr>
            <w:tcW w:w="340" w:type="dxa"/>
            <w:vAlign w:val="bottom"/>
            <w:shd w:val="clear" w:color="auto" w:fill="E5E5E5"/>
          </w:tcPr>
          <w:p>
            <w:pPr>
              <w:spacing w:after="0"/>
              <w:rPr>
                <w:sz w:val="24"/>
                <w:szCs w:val="24"/>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(62)</w:t>
            </w:r>
          </w:p>
        </w:tc>
      </w:tr>
      <w:tr>
        <w:trPr>
          <w:trHeight w:val="264"/>
        </w:trPr>
        <w:tc>
          <w:tcPr>
            <w:tcW w:w="8220" w:type="dxa"/>
            <w:vAlign w:val="bottom"/>
            <w:gridSpan w:val="2"/>
          </w:tcPr>
          <w:p>
            <w:pPr>
              <w:ind w:left="380"/>
              <w:spacing w:after="0"/>
              <w:rPr>
                <w:sz w:val="20"/>
                <w:szCs w:val="20"/>
                <w:color w:val="auto"/>
              </w:rPr>
            </w:pPr>
            <w:r>
              <w:rPr>
                <w:rFonts w:ascii="Arial" w:cs="Arial" w:eastAsia="Arial" w:hAnsi="Arial"/>
                <w:sz w:val="14"/>
                <w:szCs w:val="14"/>
                <w:color w:val="auto"/>
              </w:rPr>
              <w:t>Payments to acquire treasury stock, including fees</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70"/>
        </w:trPr>
        <w:tc>
          <w:tcPr>
            <w:tcW w:w="82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Other financing, net</w:t>
            </w:r>
          </w:p>
        </w:tc>
        <w:tc>
          <w:tcPr>
            <w:tcW w:w="340" w:type="dxa"/>
            <w:vAlign w:val="bottom"/>
            <w:tcBorders>
              <w:bottom w:val="single" w:sz="8" w:color="auto"/>
            </w:tcBorders>
            <w:shd w:val="clear" w:color="auto" w:fill="E5E5E5"/>
          </w:tcPr>
          <w:p>
            <w:pPr>
              <w:spacing w:after="0"/>
              <w:rPr>
                <w:sz w:val="23"/>
                <w:szCs w:val="23"/>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E5E5E5"/>
          </w:tcPr>
          <w:p>
            <w:pPr>
              <w:spacing w:after="0"/>
              <w:rPr>
                <w:sz w:val="23"/>
                <w:szCs w:val="23"/>
                <w:color w:val="auto"/>
              </w:rPr>
            </w:pPr>
          </w:p>
        </w:tc>
        <w:tc>
          <w:tcPr>
            <w:tcW w:w="340" w:type="dxa"/>
            <w:vAlign w:val="bottom"/>
            <w:tcBorders>
              <w:bottom w:val="single" w:sz="8" w:color="auto"/>
            </w:tcBorders>
            <w:shd w:val="clear" w:color="auto" w:fill="E5E5E5"/>
          </w:tcPr>
          <w:p>
            <w:pPr>
              <w:spacing w:after="0"/>
              <w:rPr>
                <w:sz w:val="23"/>
                <w:szCs w:val="23"/>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8220" w:type="dxa"/>
            <w:vAlign w:val="bottom"/>
            <w:tcBorders>
              <w:bottom w:val="single" w:sz="8" w:color="E5E5E5"/>
            </w:tcBorders>
            <w:gridSpan w:val="2"/>
          </w:tcPr>
          <w:p>
            <w:pPr>
              <w:ind w:left="68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E5E5E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r>
      <w:tr>
        <w:trPr>
          <w:trHeight w:val="250"/>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shd w:val="clear" w:color="auto" w:fill="E5E5E5"/>
          </w:tcPr>
          <w:p>
            <w:pPr>
              <w:spacing w:after="0"/>
              <w:rPr>
                <w:sz w:val="21"/>
                <w:szCs w:val="21"/>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spacing w:after="0"/>
              <w:rPr>
                <w:sz w:val="21"/>
                <w:szCs w:val="21"/>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Decrease in cash, cash equivalents and restricted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(362)</w:t>
            </w:r>
          </w:p>
        </w:tc>
      </w:tr>
      <w:tr>
        <w:trPr>
          <w:trHeight w:val="27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E5E5E5"/>
          </w:tcPr>
          <w:p>
            <w:pPr>
              <w:spacing w:after="0"/>
              <w:rPr>
                <w:sz w:val="24"/>
                <w:szCs w:val="24"/>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2,795</w:t>
            </w:r>
          </w:p>
        </w:tc>
        <w:tc>
          <w:tcPr>
            <w:tcW w:w="120" w:type="dxa"/>
            <w:vAlign w:val="bottom"/>
            <w:shd w:val="clear" w:color="auto" w:fill="E5E5E5"/>
          </w:tcPr>
          <w:p>
            <w:pPr>
              <w:spacing w:after="0"/>
              <w:rPr>
                <w:sz w:val="24"/>
                <w:szCs w:val="24"/>
                <w:color w:val="auto"/>
              </w:rPr>
            </w:pPr>
          </w:p>
        </w:tc>
        <w:tc>
          <w:tcPr>
            <w:tcW w:w="340" w:type="dxa"/>
            <w:vAlign w:val="bottom"/>
            <w:tcBorders>
              <w:bottom w:val="single" w:sz="8" w:color="auto"/>
            </w:tcBorders>
            <w:shd w:val="clear" w:color="auto" w:fill="E5E5E5"/>
          </w:tcPr>
          <w:p>
            <w:pPr>
              <w:spacing w:after="0"/>
              <w:rPr>
                <w:sz w:val="24"/>
                <w:szCs w:val="24"/>
                <w:color w:val="auto"/>
              </w:rPr>
            </w:pPr>
          </w:p>
        </w:tc>
        <w:tc>
          <w:tcPr>
            <w:tcW w:w="11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1,148</w:t>
            </w:r>
          </w:p>
        </w:tc>
      </w:tr>
      <w:tr>
        <w:trPr>
          <w:trHeight w:val="236"/>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Cash, Cash Equivalents and Restricted Cash at End of Period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ind w:left="180" w:hanging="172"/>
        <w:spacing w:after="0" w:line="216" w:lineRule="auto"/>
        <w:tabs>
          <w:tab w:leader="none" w:pos="18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i w:val="1"/>
          <w:iCs w:val="1"/>
          <w:color w:val="auto"/>
        </w:rPr>
        <w:t>Balance at March 31, 2019 includes $1 million associated with discontinued operations.</w:t>
      </w:r>
    </w:p>
    <w:p>
      <w:pPr>
        <w:sectPr>
          <w:pgSz w:w="11900" w:h="16838" w:orient="portrait"/>
          <w:cols w:equalWidth="0" w:num="1">
            <w:col w:w="11240"/>
          </w:cols>
          <w:pgMar w:left="320" w:top="387"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5"/>
          <w:szCs w:val="25"/>
          <w:b w:val="1"/>
          <w:bCs w:val="1"/>
          <w:color w:val="DA2031"/>
        </w:rPr>
        <w:t>Impact of COVID-19 on Our Business Operations and Withdrawal of Guidance</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response to the global COVID-19 pandemic crisis, we have prioritized the health and safety of our employees, customers and partners and continue to work to support their needs. While we continue to implement actions to mitigate the effect of this crisis on our business and operations, the uncertainty around the duration and economic impact of this crisis, makes it difficult for the company to predict the full impact on our business operations and financial performance. As a result, we have determined that it is necessary to withdraw our previously issued full year 2020 financial guidance.</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modeled the potential impacts on our business of several recovery scenarios. Our base model assumes the greatest impact to our revenues from business closures to be during the second quarter, with an inflection point late in that period, and a gradual recovery during the third quarter. For the fourth quarter, we expect to get closer to our planned levels for that period. The most significant near-term impact from the crisis is on our equipment and unbundled supplies sales which are transactional in nature. Sales are expected to decline significantly as businesses hold off or delay purchases during the closure period. However, we expect this portion of the business to rebound in the second half as businesses reopen. The impact on revenues from lower equipment and supply sales is somewhat mitigated by bundled services, which are more contractual in nature. Our bundled services contracts, on average, include a minimum fixed charge and a significant variable component linked to print volumes. The variable charges are impacted by our customers' employees not being in the office and using our equipment due to current lock-down restrictions, however, we expect the contractual relationship with our customers will enable us to ramp up quickly for them when businesses resume operations. We expect that as closures are lifted, we will see more normalized trends emerge over the course of 2020.</w:t>
      </w:r>
    </w:p>
    <w:p>
      <w:pPr>
        <w:spacing w:after="0" w:line="23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have a strong balance sheet and sufficient liquidity including the access to our undrawn $1.8 billion revolver as well as to receivables securitization and capital markets. We have also focused our efforts on incremental actions to prioritize and preserve cash as we manage through this crisis. These actions include the reduction of discretionary spend, such as compensation incentives, near term targeted marketing spend and the use of contract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DA2031"/>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48"/>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8"/>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color w:val="auto"/>
              </w:rPr>
              <w:t>% of Total Revenue</w:t>
            </w:r>
          </w:p>
        </w:tc>
      </w:tr>
      <w:tr>
        <w:trPr>
          <w:trHeight w:val="180"/>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8"/>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15"/>
                <w:szCs w:val="15"/>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5"/>
                <w:szCs w:val="15"/>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CC % Change</w:t>
            </w:r>
          </w:p>
        </w:tc>
        <w:tc>
          <w:tcPr>
            <w:tcW w:w="120" w:type="dxa"/>
            <w:vAlign w:val="bottom"/>
            <w:tcBorders>
              <w:bottom w:val="single" w:sz="8" w:color="E5E5E5"/>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r>
      <w:tr>
        <w:trPr>
          <w:trHeight w:val="256"/>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Equipment sales</w:t>
            </w:r>
          </w:p>
        </w:tc>
        <w:tc>
          <w:tcPr>
            <w:tcW w:w="2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448</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E5E5E5"/>
          </w:tcPr>
          <w:p>
            <w:pPr>
              <w:spacing w:after="0"/>
              <w:rPr>
                <w:sz w:val="22"/>
                <w:szCs w:val="22"/>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E5E5E5"/>
          </w:tcPr>
          <w:p>
            <w:pPr>
              <w:spacing w:after="0"/>
              <w:rPr>
                <w:sz w:val="22"/>
                <w:szCs w:val="22"/>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5E5E5"/>
          </w:tcPr>
          <w:p>
            <w:pPr>
              <w:spacing w:after="0"/>
              <w:rPr>
                <w:sz w:val="22"/>
                <w:szCs w:val="22"/>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21%</w:t>
            </w:r>
          </w:p>
        </w:tc>
      </w:tr>
      <w:tr>
        <w:trPr>
          <w:trHeight w:val="264"/>
        </w:trPr>
        <w:tc>
          <w:tcPr>
            <w:tcW w:w="39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Post sale revenue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1,535</w:t>
            </w:r>
          </w:p>
        </w:tc>
        <w:tc>
          <w:tcPr>
            <w:tcW w:w="1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1,732</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E5E5E5"/>
            </w:tcBorders>
          </w:tcPr>
          <w:p>
            <w:pPr>
              <w:spacing w:after="0"/>
              <w:rPr>
                <w:sz w:val="22"/>
                <w:szCs w:val="22"/>
                <w:color w:val="auto"/>
              </w:rPr>
            </w:pPr>
          </w:p>
        </w:tc>
        <w:tc>
          <w:tcPr>
            <w:tcW w:w="112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E5E5E5"/>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E5E5E5"/>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79%</w:t>
            </w:r>
          </w:p>
        </w:tc>
      </w:tr>
      <w:tr>
        <w:trPr>
          <w:trHeight w:val="242"/>
        </w:trPr>
        <w:tc>
          <w:tcPr>
            <w:tcW w:w="39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1,860</w:t>
            </w:r>
          </w:p>
        </w:tc>
        <w:tc>
          <w:tcPr>
            <w:tcW w:w="12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2,180</w:t>
            </w:r>
          </w:p>
        </w:tc>
        <w:tc>
          <w:tcPr>
            <w:tcW w:w="124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E5E5E5"/>
            </w:tcBorders>
            <w:shd w:val="clear" w:color="auto" w:fill="E5E5E5"/>
          </w:tcPr>
          <w:p>
            <w:pPr>
              <w:spacing w:after="0"/>
              <w:rPr>
                <w:sz w:val="21"/>
                <w:szCs w:val="21"/>
                <w:color w:val="auto"/>
              </w:rPr>
            </w:pPr>
          </w:p>
        </w:tc>
        <w:tc>
          <w:tcPr>
            <w:tcW w:w="11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E5E5E5"/>
            </w:tcBorders>
            <w:shd w:val="clear" w:color="auto" w:fill="E5E5E5"/>
          </w:tcPr>
          <w:p>
            <w:pPr>
              <w:spacing w:after="0"/>
              <w:rPr>
                <w:sz w:val="21"/>
                <w:szCs w:val="21"/>
                <w:color w:val="auto"/>
              </w:rPr>
            </w:pPr>
          </w:p>
        </w:tc>
        <w:tc>
          <w:tcPr>
            <w:tcW w:w="11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shd w:val="clear" w:color="auto" w:fill="E5E5E5"/>
          </w:tcPr>
          <w:p>
            <w:pPr>
              <w:spacing w:after="0"/>
              <w:rPr>
                <w:sz w:val="21"/>
                <w:szCs w:val="21"/>
                <w:color w:val="auto"/>
              </w:rPr>
            </w:pPr>
          </w:p>
        </w:tc>
        <w:tc>
          <w:tcPr>
            <w:tcW w:w="11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3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76"/>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Reconciliation to Condensed Consolidated Statements</w:t>
            </w:r>
          </w:p>
        </w:tc>
        <w:tc>
          <w:tcPr>
            <w:tcW w:w="28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r>
      <w:tr>
        <w:trPr>
          <w:trHeight w:val="202"/>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of (Loss) Income:</w:t>
            </w:r>
          </w:p>
        </w:tc>
        <w:tc>
          <w:tcPr>
            <w:tcW w:w="28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r>
      <w:tr>
        <w:trPr>
          <w:trHeight w:val="264"/>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Sales</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724</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Less: Supplies, paper and other sales</w:t>
            </w:r>
          </w:p>
        </w:tc>
        <w:tc>
          <w:tcPr>
            <w:tcW w:w="280" w:type="dxa"/>
            <w:vAlign w:val="bottom"/>
            <w:tcBorders>
              <w:bottom w:val="single" w:sz="8" w:color="auto"/>
            </w:tcBorders>
            <w:shd w:val="clear" w:color="auto" w:fill="E5E5E5"/>
          </w:tcPr>
          <w:p>
            <w:pPr>
              <w:spacing w:after="0"/>
              <w:rPr>
                <w:sz w:val="24"/>
                <w:szCs w:val="24"/>
                <w:color w:val="auto"/>
              </w:rPr>
            </w:pPr>
          </w:p>
        </w:tc>
        <w:tc>
          <w:tcPr>
            <w:tcW w:w="8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(276)</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E5E5E5"/>
          </w:tcPr>
          <w:p>
            <w:pPr>
              <w:spacing w:after="0"/>
              <w:rPr>
                <w:sz w:val="24"/>
                <w:szCs w:val="24"/>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r>
      <w:tr>
        <w:trPr>
          <w:trHeight w:val="277"/>
        </w:trPr>
        <w:tc>
          <w:tcPr>
            <w:tcW w:w="39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Equipment Sales</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Borders>
              <w:bottom w:val="single" w:sz="8" w:color="E5E5E5"/>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448</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E5E5E5"/>
            </w:tcBorders>
          </w:tcPr>
          <w:p>
            <w:pPr>
              <w:spacing w:after="0"/>
              <w:rPr>
                <w:sz w:val="24"/>
                <w:szCs w:val="24"/>
                <w:color w:val="auto"/>
              </w:rPr>
            </w:pPr>
          </w:p>
        </w:tc>
        <w:tc>
          <w:tcPr>
            <w:tcW w:w="112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E5E5E5"/>
            </w:tcBorders>
          </w:tcPr>
          <w:p>
            <w:pPr>
              <w:spacing w:after="0"/>
              <w:rPr>
                <w:sz w:val="24"/>
                <w:szCs w:val="24"/>
                <w:color w:val="auto"/>
              </w:rPr>
            </w:pPr>
          </w:p>
        </w:tc>
        <w:tc>
          <w:tcPr>
            <w:tcW w:w="1120" w:type="dxa"/>
            <w:vAlign w:val="bottom"/>
            <w:tcBorders>
              <w:bottom w:val="single" w:sz="8" w:color="E5E5E5"/>
            </w:tcBorders>
          </w:tcPr>
          <w:p>
            <w:pPr>
              <w:spacing w:after="0"/>
              <w:rPr>
                <w:sz w:val="24"/>
                <w:szCs w:val="24"/>
                <w:color w:val="auto"/>
              </w:rPr>
            </w:pPr>
          </w:p>
        </w:tc>
        <w:tc>
          <w:tcPr>
            <w:tcW w:w="100" w:type="dxa"/>
            <w:vAlign w:val="bottom"/>
            <w:tcBorders>
              <w:bottom w:val="single" w:sz="8" w:color="E5E5E5"/>
            </w:tcBorders>
          </w:tcPr>
          <w:p>
            <w:pPr>
              <w:spacing w:after="0"/>
              <w:rPr>
                <w:sz w:val="24"/>
                <w:szCs w:val="24"/>
                <w:color w:val="auto"/>
              </w:rPr>
            </w:pPr>
          </w:p>
        </w:tc>
        <w:tc>
          <w:tcPr>
            <w:tcW w:w="1120" w:type="dxa"/>
            <w:vAlign w:val="bottom"/>
            <w:tcBorders>
              <w:bottom w:val="single" w:sz="8" w:color="E5E5E5"/>
            </w:tcBorders>
          </w:tcPr>
          <w:p>
            <w:pPr>
              <w:spacing w:after="0"/>
              <w:rPr>
                <w:sz w:val="24"/>
                <w:szCs w:val="24"/>
                <w:color w:val="auto"/>
              </w:rPr>
            </w:pPr>
          </w:p>
        </w:tc>
      </w:tr>
      <w:tr>
        <w:trPr>
          <w:trHeight w:val="251"/>
        </w:trPr>
        <w:tc>
          <w:tcPr>
            <w:tcW w:w="382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7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r>
      <w:tr>
        <w:trPr>
          <w:trHeight w:val="264"/>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Services, maintenance and rentals</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1,236</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1,393</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Add: Supplies, paper and other sales</w:t>
            </w:r>
          </w:p>
        </w:tc>
        <w:tc>
          <w:tcPr>
            <w:tcW w:w="280" w:type="dxa"/>
            <w:vAlign w:val="bottom"/>
            <w:shd w:val="clear" w:color="auto" w:fill="E5E5E5"/>
          </w:tcPr>
          <w:p>
            <w:pPr>
              <w:spacing w:after="0"/>
              <w:rPr>
                <w:sz w:val="24"/>
                <w:szCs w:val="24"/>
                <w:color w:val="auto"/>
              </w:rPr>
            </w:pP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276</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E5E5E5"/>
          </w:tcPr>
          <w:p>
            <w:pPr>
              <w:spacing w:after="0"/>
              <w:rPr>
                <w:sz w:val="24"/>
                <w:szCs w:val="24"/>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r>
      <w:tr>
        <w:trPr>
          <w:trHeight w:val="264"/>
        </w:trPr>
        <w:tc>
          <w:tcPr>
            <w:tcW w:w="39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Add: Financing</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E5E5E5"/>
            </w:tcBorders>
          </w:tcPr>
          <w:p>
            <w:pPr>
              <w:spacing w:after="0"/>
              <w:rPr>
                <w:sz w:val="22"/>
                <w:szCs w:val="22"/>
                <w:color w:val="auto"/>
              </w:rPr>
            </w:pPr>
          </w:p>
        </w:tc>
        <w:tc>
          <w:tcPr>
            <w:tcW w:w="112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E5E5E5"/>
            </w:tcBorders>
          </w:tcPr>
          <w:p>
            <w:pPr>
              <w:spacing w:after="0"/>
              <w:rPr>
                <w:sz w:val="22"/>
                <w:szCs w:val="22"/>
                <w:color w:val="auto"/>
              </w:rPr>
            </w:pPr>
          </w:p>
        </w:tc>
        <w:tc>
          <w:tcPr>
            <w:tcW w:w="1120" w:type="dxa"/>
            <w:vAlign w:val="bottom"/>
            <w:tcBorders>
              <w:bottom w:val="single" w:sz="8" w:color="E5E5E5"/>
            </w:tcBorders>
          </w:tcPr>
          <w:p>
            <w:pPr>
              <w:spacing w:after="0"/>
              <w:rPr>
                <w:sz w:val="22"/>
                <w:szCs w:val="22"/>
                <w:color w:val="auto"/>
              </w:rPr>
            </w:pPr>
          </w:p>
        </w:tc>
        <w:tc>
          <w:tcPr>
            <w:tcW w:w="100" w:type="dxa"/>
            <w:vAlign w:val="bottom"/>
            <w:tcBorders>
              <w:bottom w:val="single" w:sz="8" w:color="E5E5E5"/>
            </w:tcBorders>
          </w:tcPr>
          <w:p>
            <w:pPr>
              <w:spacing w:after="0"/>
              <w:rPr>
                <w:sz w:val="22"/>
                <w:szCs w:val="22"/>
                <w:color w:val="auto"/>
              </w:rPr>
            </w:pPr>
          </w:p>
        </w:tc>
        <w:tc>
          <w:tcPr>
            <w:tcW w:w="1120" w:type="dxa"/>
            <w:vAlign w:val="bottom"/>
            <w:tcBorders>
              <w:bottom w:val="single" w:sz="8" w:color="E5E5E5"/>
            </w:tcBorders>
          </w:tcPr>
          <w:p>
            <w:pPr>
              <w:spacing w:after="0"/>
              <w:rPr>
                <w:sz w:val="22"/>
                <w:szCs w:val="22"/>
                <w:color w:val="auto"/>
              </w:rPr>
            </w:pPr>
          </w:p>
        </w:tc>
      </w:tr>
      <w:tr>
        <w:trPr>
          <w:trHeight w:val="242"/>
        </w:trPr>
        <w:tc>
          <w:tcPr>
            <w:tcW w:w="39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Post Sale Revenue</w:t>
            </w:r>
          </w:p>
        </w:tc>
        <w:tc>
          <w:tcPr>
            <w:tcW w:w="28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1,535</w:t>
            </w:r>
          </w:p>
        </w:tc>
        <w:tc>
          <w:tcPr>
            <w:tcW w:w="12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1,732</w:t>
            </w:r>
          </w:p>
        </w:tc>
        <w:tc>
          <w:tcPr>
            <w:tcW w:w="124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E5E5E5"/>
            </w:tcBorders>
            <w:shd w:val="clear" w:color="auto" w:fill="E5E5E5"/>
          </w:tcPr>
          <w:p>
            <w:pPr>
              <w:spacing w:after="0"/>
              <w:rPr>
                <w:sz w:val="21"/>
                <w:szCs w:val="21"/>
                <w:color w:val="auto"/>
              </w:rPr>
            </w:pPr>
          </w:p>
        </w:tc>
        <w:tc>
          <w:tcPr>
            <w:tcW w:w="11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E5E5E5"/>
            </w:tcBorders>
            <w:shd w:val="clear" w:color="auto" w:fill="E5E5E5"/>
          </w:tcPr>
          <w:p>
            <w:pPr>
              <w:spacing w:after="0"/>
              <w:rPr>
                <w:sz w:val="21"/>
                <w:szCs w:val="21"/>
                <w:color w:val="auto"/>
              </w:rPr>
            </w:pPr>
          </w:p>
        </w:tc>
        <w:tc>
          <w:tcPr>
            <w:tcW w:w="112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shd w:val="clear" w:color="auto" w:fill="E5E5E5"/>
          </w:tcPr>
          <w:p>
            <w:pPr>
              <w:spacing w:after="0"/>
              <w:rPr>
                <w:sz w:val="21"/>
                <w:szCs w:val="21"/>
                <w:color w:val="auto"/>
              </w:rPr>
            </w:pPr>
          </w:p>
        </w:tc>
        <w:tc>
          <w:tcPr>
            <w:tcW w:w="1120" w:type="dxa"/>
            <w:vAlign w:val="bottom"/>
            <w:tcBorders>
              <w:bottom w:val="single" w:sz="8" w:color="E5E5E5"/>
            </w:tcBorders>
            <w:shd w:val="clear" w:color="auto" w:fill="E5E5E5"/>
          </w:tcPr>
          <w:p>
            <w:pPr>
              <w:spacing w:after="0"/>
              <w:rPr>
                <w:sz w:val="21"/>
                <w:szCs w:val="2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0"/>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Americas</w:t>
            </w:r>
          </w:p>
        </w:tc>
        <w:tc>
          <w:tcPr>
            <w:tcW w:w="2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1,239</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1,410</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5E5E5"/>
          </w:tcPr>
          <w:p>
            <w:pPr>
              <w:spacing w:after="0"/>
              <w:rPr>
                <w:sz w:val="23"/>
                <w:szCs w:val="23"/>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E5E5E5"/>
          </w:tcPr>
          <w:p>
            <w:pPr>
              <w:spacing w:after="0"/>
              <w:rPr>
                <w:sz w:val="23"/>
                <w:szCs w:val="23"/>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5E5E5"/>
          </w:tcPr>
          <w:p>
            <w:pPr>
              <w:spacing w:after="0"/>
              <w:rPr>
                <w:sz w:val="23"/>
                <w:szCs w:val="23"/>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65%</w:t>
            </w:r>
          </w:p>
        </w:tc>
      </w:tr>
      <w:tr>
        <w:trPr>
          <w:trHeight w:val="264"/>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EMEA</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712</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33%</w:t>
            </w:r>
          </w:p>
        </w:tc>
      </w:tr>
      <w:tr>
        <w:trPr>
          <w:trHeight w:val="276"/>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E5E5E5"/>
          </w:tcPr>
          <w:p>
            <w:pPr>
              <w:spacing w:after="0"/>
              <w:rPr>
                <w:sz w:val="24"/>
                <w:szCs w:val="24"/>
                <w:color w:val="auto"/>
              </w:rPr>
            </w:pPr>
          </w:p>
        </w:tc>
        <w:tc>
          <w:tcPr>
            <w:tcW w:w="8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7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58</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E5E5E5"/>
          </w:tcPr>
          <w:p>
            <w:pPr>
              <w:spacing w:after="0"/>
              <w:rPr>
                <w:sz w:val="24"/>
                <w:szCs w:val="24"/>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E5E5E5"/>
          </w:tcPr>
          <w:p>
            <w:pPr>
              <w:spacing w:after="0"/>
              <w:rPr>
                <w:sz w:val="24"/>
                <w:szCs w:val="24"/>
                <w:color w:val="auto"/>
              </w:rPr>
            </w:pPr>
          </w:p>
        </w:tc>
        <w:tc>
          <w:tcPr>
            <w:tcW w:w="11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24"/>
                <w:szCs w:val="24"/>
                <w:color w:val="auto"/>
              </w:rPr>
            </w:pPr>
          </w:p>
        </w:tc>
        <w:tc>
          <w:tcPr>
            <w:tcW w:w="11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2%</w:t>
            </w:r>
          </w:p>
        </w:tc>
      </w:tr>
      <w:tr>
        <w:trPr>
          <w:trHeight w:val="277"/>
        </w:trPr>
        <w:tc>
          <w:tcPr>
            <w:tcW w:w="39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 xml:space="preserve">Total Revenue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1,860</w:t>
            </w:r>
          </w:p>
        </w:tc>
        <w:tc>
          <w:tcPr>
            <w:tcW w:w="120" w:type="dxa"/>
            <w:vAlign w:val="bottom"/>
            <w:tcBorders>
              <w:bottom w:val="single" w:sz="8" w:color="E5E5E5"/>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2,180</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E5E5E5"/>
            </w:tcBorders>
          </w:tcPr>
          <w:p>
            <w:pPr>
              <w:spacing w:after="0"/>
              <w:rPr>
                <w:sz w:val="24"/>
                <w:szCs w:val="24"/>
                <w:color w:val="auto"/>
              </w:rPr>
            </w:pPr>
          </w:p>
        </w:tc>
        <w:tc>
          <w:tcPr>
            <w:tcW w:w="112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E5E5E5"/>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38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r>
      <w:tr>
        <w:trPr>
          <w:trHeight w:val="264"/>
        </w:trPr>
        <w:tc>
          <w:tcPr>
            <w:tcW w:w="3940" w:type="dxa"/>
            <w:vAlign w:val="bottom"/>
            <w:gridSpan w:val="2"/>
          </w:tcPr>
          <w:p>
            <w:pPr>
              <w:ind w:left="40"/>
              <w:spacing w:after="0"/>
              <w:rPr>
                <w:sz w:val="20"/>
                <w:szCs w:val="20"/>
                <w:color w:val="auto"/>
              </w:rPr>
            </w:pPr>
            <w:r>
              <w:rPr>
                <w:rFonts w:ascii="Arial" w:cs="Arial" w:eastAsia="Arial" w:hAnsi="Arial"/>
                <w:sz w:val="14"/>
                <w:szCs w:val="14"/>
                <w:b w:val="1"/>
                <w:bCs w:val="1"/>
                <w:color w:val="auto"/>
              </w:rPr>
              <w:t>Memo:</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Xerox Services</w:t>
            </w:r>
          </w:p>
        </w:tc>
        <w:tc>
          <w:tcPr>
            <w:tcW w:w="2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776</w:t>
            </w: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853</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E5E5E5"/>
          </w:tcPr>
          <w:p>
            <w:pPr>
              <w:spacing w:after="0"/>
              <w:rPr>
                <w:sz w:val="24"/>
                <w:szCs w:val="24"/>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(8.1)%</w:t>
            </w:r>
          </w:p>
        </w:tc>
        <w:tc>
          <w:tcPr>
            <w:tcW w:w="120" w:type="dxa"/>
            <w:vAlign w:val="bottom"/>
            <w:shd w:val="clear" w:color="auto" w:fill="E5E5E5"/>
          </w:tcPr>
          <w:p>
            <w:pPr>
              <w:spacing w:after="0"/>
              <w:rPr>
                <w:sz w:val="24"/>
                <w:szCs w:val="24"/>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24"/>
                <w:szCs w:val="24"/>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39%</w:t>
            </w:r>
          </w:p>
        </w:tc>
      </w:tr>
      <w:tr>
        <w:trPr>
          <w:trHeight w:val="130"/>
        </w:trPr>
        <w:tc>
          <w:tcPr>
            <w:tcW w:w="382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ind w:left="340" w:hanging="332"/>
        <w:spacing w:after="0" w:line="217" w:lineRule="auto"/>
        <w:tabs>
          <w:tab w:leader="none" w:pos="34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Appendix II for our Geographic Sales Channels and Products and Offerings Definitions.</w:t>
      </w:r>
    </w:p>
    <w:p>
      <w:pPr>
        <w:spacing w:after="0" w:line="30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First quarter 2020 total revenue decreased 14.7% as compared to first quarter 2019 , including a 0.8-percentage point unfavorable impact from currency and an approximate 0.8-percentage point favorable impact from recent partner dealer acquisitions. The global COVID-19 pandemic crisis significantly impacted our first quarter 2020 revenues due to business closures during the month of March that impacted our customers' purchasing decisions, and caused delayed installations and lower printing volumes on our devices. While the global pandemic affected our European and North American operations only in March, the impact to our financial performance is disproportionate, as a significant portion of our revenues and profits are typically earned during the last month of the quarter as a result of purchase patterns and relatively complex installations of printing solutions at our customers' sites. Geographically, our European operations were more heavily impacted in the current quarter due to the earlier onset of the pandemic and subsequent business closures in the region that affected the entire month of March, while in North America, business shutdowns impacted our operations in the second part of the month only, consistent with the timing of the health crisis. In addition, our North American operations include a larger mix of government and other large customers (including healthcare accounts) some of which are considered essential service providers or support the front lines of the fight against COVID-19 and were therefore less affected by business closures; our European operations are also more heavily mixed to indirect channel partners which drastically lowered their purchases in March to manage their cash and inventories in response to the crisis. First quarter 2020 total revenue reflected the following:</w:t>
      </w:r>
    </w:p>
    <w:p>
      <w:pPr>
        <w:spacing w:after="0" w:line="133" w:lineRule="exact"/>
        <w:rPr>
          <w:sz w:val="20"/>
          <w:szCs w:val="20"/>
          <w:color w:val="auto"/>
        </w:rPr>
      </w:pPr>
    </w:p>
    <w:p>
      <w:pPr>
        <w:ind w:left="340" w:right="8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Post sale revenue </w:t>
      </w:r>
      <w:r>
        <w:rPr>
          <w:rFonts w:ascii="Arial" w:cs="Arial" w:eastAsia="Arial" w:hAnsi="Arial"/>
          <w:sz w:val="18"/>
          <w:szCs w:val="18"/>
          <w:color w:val="auto"/>
        </w:rPr>
        <w:t>primarily reflects contracted services, equipment maintenance, supplies and financing. These revenues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not only with the population of devices in the field, which is affected by installs and removals, but also by the page volumes generated from the usage of such devices, and the revenue per printed page. Post sale revenue also includes transactional IT hardware sales and implementation services from our XBS organization. Post sale revenue decreased 11.4% as compared to first quarter 2019 , including a 0.9-percentage point unfavorable impact from currency. The global COVID-19 pandemic crisis significantly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color w:val="auto"/>
        </w:rPr>
        <w:t>impacted our post sale revenue during the first quarter 2020. The decline in post sale revenue reflected the following:</w:t>
      </w:r>
    </w:p>
    <w:p>
      <w:pPr>
        <w:spacing w:after="0" w:line="9" w:lineRule="exact"/>
        <w:rPr>
          <w:sz w:val="20"/>
          <w:szCs w:val="20"/>
          <w:color w:val="auto"/>
        </w:rPr>
      </w:pPr>
    </w:p>
    <w:p>
      <w:pPr>
        <w:ind w:left="660" w:right="120" w:hanging="4"/>
        <w:spacing w:after="0" w:line="250" w:lineRule="auto"/>
        <w:tabs>
          <w:tab w:leader="none" w:pos="849"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Services, maintenance and rentals revenue </w:t>
      </w:r>
      <w:r>
        <w:rPr>
          <w:rFonts w:ascii="Arial" w:cs="Arial" w:eastAsia="Arial" w:hAnsi="Arial"/>
          <w:sz w:val="18"/>
          <w:szCs w:val="18"/>
          <w:color w:val="auto"/>
        </w:rPr>
        <w:t>includes rental and maintenance revenue (including bundled supplies)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sale component of the document services revenue from our Xerox Services offerings. These revenues decreased 11.3% ¦ as compared to first quarter 2019, including a 0.8-percentage point unfavorable impact from currency. The decline at constant</w:t>
      </w:r>
    </w:p>
    <w:p>
      <w:pPr>
        <w:spacing w:after="0" w:line="1" w:lineRule="exact"/>
        <w:rPr>
          <w:rFonts w:ascii="Arial" w:cs="Arial" w:eastAsia="Arial" w:hAnsi="Arial"/>
          <w:sz w:val="18"/>
          <w:szCs w:val="18"/>
          <w:color w:val="auto"/>
        </w:rPr>
      </w:pPr>
    </w:p>
    <w:p>
      <w:pPr>
        <w:ind w:left="840" w:right="100"/>
        <w:spacing w:after="0" w:line="242" w:lineRule="auto"/>
        <w:rPr>
          <w:rFonts w:ascii="Arial" w:cs="Arial" w:eastAsia="Arial" w:hAnsi="Arial"/>
          <w:sz w:val="18"/>
          <w:szCs w:val="18"/>
          <w:color w:val="auto"/>
        </w:rPr>
      </w:pPr>
      <w:r>
        <w:rPr>
          <w:rFonts w:ascii="Arial" w:cs="Arial" w:eastAsia="Arial" w:hAnsi="Arial"/>
          <w:sz w:val="18"/>
          <w:szCs w:val="18"/>
          <w:color w:val="auto"/>
        </w:rPr>
        <w:t xml:space="preserve">currency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reflected a lower population of devices (which are partially associated with continued lower Enterprise signings and lower installs in prior and current periods), an ongoing competitive price environment, and lower page volumes (including a higher mix of lower average-page-volume products) which are worse than recent decline trends due to the impact of business closures during the month of March associated with the COVID-19 crisis. While these revenues are contractual in nature, on average, our bundled services contracts include a minimum fixed charge and a significant variable component based on print volumes.</w:t>
      </w:r>
    </w:p>
    <w:p>
      <w:pPr>
        <w:spacing w:after="0" w:line="1" w:lineRule="exact"/>
        <w:rPr>
          <w:rFonts w:ascii="Arial" w:cs="Arial" w:eastAsia="Arial" w:hAnsi="Arial"/>
          <w:sz w:val="18"/>
          <w:szCs w:val="18"/>
          <w:color w:val="auto"/>
        </w:rPr>
      </w:pPr>
    </w:p>
    <w:p>
      <w:pPr>
        <w:ind w:left="660" w:right="160" w:hanging="4"/>
        <w:spacing w:after="0" w:line="265" w:lineRule="auto"/>
        <w:tabs>
          <w:tab w:leader="none" w:pos="849"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Supplies, paper and other sales </w:t>
      </w:r>
      <w:r>
        <w:rPr>
          <w:rFonts w:ascii="Arial" w:cs="Arial" w:eastAsia="Arial" w:hAnsi="Arial"/>
          <w:sz w:val="17"/>
          <w:szCs w:val="17"/>
          <w:color w:val="auto"/>
        </w:rPr>
        <w:t>includes unbundled supplies and other sales. These revenues decreased 13.0% as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first quarter 2019, including a 1.3-percentage point unfavorable impact from currency and reflected lower supplies revenues</w:t>
      </w:r>
    </w:p>
    <w:p>
      <w:pPr>
        <w:ind w:left="840" w:right="580" w:hanging="189"/>
        <w:spacing w:after="0" w:line="265" w:lineRule="auto"/>
        <w:rPr>
          <w:rFonts w:ascii="Arial" w:cs="Arial" w:eastAsia="Arial" w:hAnsi="Arial"/>
          <w:sz w:val="17"/>
          <w:szCs w:val="17"/>
          <w:color w:val="auto"/>
        </w:rPr>
      </w:pPr>
      <w:r>
        <w:rPr>
          <w:rFonts w:ascii="Arial" w:cs="Arial" w:eastAsia="Arial" w:hAnsi="Arial"/>
          <w:sz w:val="17"/>
          <w:szCs w:val="17"/>
          <w:color w:val="auto"/>
        </w:rPr>
        <w:t>¦ associated with lower page volume trends. The decrease in supplies was significantly impacted by lower sales to indirect channels, which drastically lowered their purchases in March to manage their cash and inventories in response to the crisis.</w:t>
      </w:r>
    </w:p>
    <w:p>
      <w:pPr>
        <w:ind w:left="840" w:hanging="184"/>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revenue </w:t>
      </w:r>
      <w:r>
        <w:rPr>
          <w:rFonts w:ascii="Arial" w:cs="Arial" w:eastAsia="Arial" w:hAnsi="Arial"/>
          <w:sz w:val="18"/>
          <w:szCs w:val="18"/>
          <w:color w:val="auto"/>
        </w:rPr>
        <w:t>is generated from financed equipment sale transactions. The 6.3% decline in these revenues reflected a</w:t>
      </w:r>
    </w:p>
    <w:p>
      <w:pPr>
        <w:spacing w:after="0" w:line="9" w:lineRule="exact"/>
        <w:rPr>
          <w:sz w:val="20"/>
          <w:szCs w:val="20"/>
          <w:color w:val="auto"/>
        </w:rPr>
      </w:pPr>
    </w:p>
    <w:p>
      <w:pPr>
        <w:ind w:left="660" w:right="120"/>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continued decline in the finance receivables balance due to lower equipment sales in prior periods and included a 0.7-percentage</w:t>
      </w:r>
      <w:r>
        <w:rPr>
          <w:rFonts w:ascii="Arial" w:cs="Arial" w:eastAsia="Arial" w:hAnsi="Arial"/>
          <w:sz w:val="18"/>
          <w:szCs w:val="18"/>
          <w:b w:val="1"/>
          <w:bCs w:val="1"/>
          <w:color w:val="auto"/>
        </w:rPr>
        <w:t xml:space="preserve"> ¦ </w:t>
      </w:r>
      <w:r>
        <w:rPr>
          <w:rFonts w:ascii="Arial" w:cs="Arial" w:eastAsia="Arial" w:hAnsi="Arial"/>
          <w:sz w:val="18"/>
          <w:szCs w:val="18"/>
          <w:color w:val="auto"/>
        </w:rPr>
        <w:t>point unfavorable impact from currency.</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right"/>
              <w:ind w:right="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March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c>
          <w:tcPr>
            <w:tcW w:w="120" w:type="dxa"/>
            <w:vAlign w:val="bottom"/>
            <w:tcBorders>
              <w:bottom w:val="single" w:sz="8" w:color="E5E5E5"/>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6"/>
        </w:trPr>
        <w:tc>
          <w:tcPr>
            <w:tcW w:w="4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Entry</w:t>
            </w:r>
          </w:p>
        </w:tc>
        <w:tc>
          <w:tcPr>
            <w:tcW w:w="68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E5E5E5"/>
          </w:tcPr>
          <w:p>
            <w:pPr>
              <w:spacing w:after="0"/>
              <w:rPr>
                <w:sz w:val="22"/>
                <w:szCs w:val="22"/>
                <w:color w:val="auto"/>
              </w:rPr>
            </w:pPr>
          </w:p>
        </w:tc>
        <w:tc>
          <w:tcPr>
            <w:tcW w:w="68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53</w:t>
            </w:r>
          </w:p>
        </w:tc>
        <w:tc>
          <w:tcPr>
            <w:tcW w:w="11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E5E5E5"/>
          </w:tcPr>
          <w:p>
            <w:pPr>
              <w:spacing w:after="0"/>
              <w:rPr>
                <w:sz w:val="22"/>
                <w:szCs w:val="22"/>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E5E5E5"/>
          </w:tcPr>
          <w:p>
            <w:pPr>
              <w:spacing w:after="0"/>
              <w:rPr>
                <w:sz w:val="22"/>
                <w:szCs w:val="22"/>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5E5E5"/>
          </w:tcPr>
          <w:p>
            <w:pPr>
              <w:spacing w:after="0"/>
              <w:rPr>
                <w:sz w:val="22"/>
                <w:szCs w:val="22"/>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12%</w:t>
            </w:r>
          </w:p>
        </w:tc>
        <w:tc>
          <w:tcPr>
            <w:tcW w:w="0" w:type="dxa"/>
            <w:vAlign w:val="bottom"/>
          </w:tcPr>
          <w:p>
            <w:pPr>
              <w:spacing w:after="0"/>
              <w:rPr>
                <w:sz w:val="1"/>
                <w:szCs w:val="1"/>
                <w:color w:val="auto"/>
              </w:rPr>
            </w:pPr>
          </w:p>
        </w:tc>
      </w:tr>
      <w:tr>
        <w:trPr>
          <w:trHeight w:val="264"/>
        </w:trPr>
        <w:tc>
          <w:tcPr>
            <w:tcW w:w="4620" w:type="dxa"/>
            <w:vAlign w:val="bottom"/>
            <w:gridSpan w:val="2"/>
          </w:tcPr>
          <w:p>
            <w:pPr>
              <w:ind w:left="40"/>
              <w:spacing w:after="0"/>
              <w:rPr>
                <w:sz w:val="20"/>
                <w:szCs w:val="20"/>
                <w:color w:val="auto"/>
              </w:rPr>
            </w:pPr>
            <w:r>
              <w:rPr>
                <w:rFonts w:ascii="Arial" w:cs="Arial" w:eastAsia="Arial" w:hAnsi="Arial"/>
                <w:sz w:val="14"/>
                <w:szCs w:val="14"/>
                <w:color w:val="auto"/>
              </w:rPr>
              <w:t>Mid-range</w:t>
            </w:r>
          </w:p>
        </w:tc>
        <w:tc>
          <w:tcPr>
            <w:tcW w:w="68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218</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302</w:t>
            </w:r>
          </w:p>
        </w:tc>
        <w:tc>
          <w:tcPr>
            <w:tcW w:w="1100" w:type="dxa"/>
            <w:vAlign w:val="bottom"/>
            <w:gridSpan w:val="2"/>
          </w:tcPr>
          <w:p>
            <w:pPr>
              <w:jc w:val="center"/>
              <w:ind w:left="2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67%</w:t>
            </w:r>
          </w:p>
        </w:tc>
        <w:tc>
          <w:tcPr>
            <w:tcW w:w="0" w:type="dxa"/>
            <w:vAlign w:val="bottom"/>
          </w:tcPr>
          <w:p>
            <w:pPr>
              <w:spacing w:after="0"/>
              <w:rPr>
                <w:sz w:val="1"/>
                <w:szCs w:val="1"/>
                <w:color w:val="auto"/>
              </w:rPr>
            </w:pPr>
          </w:p>
        </w:tc>
      </w:tr>
      <w:tr>
        <w:trPr>
          <w:trHeight w:val="276"/>
        </w:trPr>
        <w:tc>
          <w:tcPr>
            <w:tcW w:w="4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High-end</w:t>
            </w:r>
          </w:p>
        </w:tc>
        <w:tc>
          <w:tcPr>
            <w:tcW w:w="680" w:type="dxa"/>
            <w:vAlign w:val="bottom"/>
            <w:shd w:val="clear" w:color="auto" w:fill="E5E5E5"/>
          </w:tcPr>
          <w:p>
            <w:pPr>
              <w:spacing w:after="0"/>
              <w:rPr>
                <w:sz w:val="24"/>
                <w:szCs w:val="24"/>
                <w:color w:val="auto"/>
              </w:rPr>
            </w:pPr>
          </w:p>
        </w:tc>
        <w:tc>
          <w:tcPr>
            <w:tcW w:w="3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E5E5E5"/>
          </w:tcPr>
          <w:p>
            <w:pPr>
              <w:spacing w:after="0"/>
              <w:rPr>
                <w:sz w:val="24"/>
                <w:szCs w:val="24"/>
                <w:color w:val="auto"/>
              </w:rPr>
            </w:pPr>
          </w:p>
        </w:tc>
        <w:tc>
          <w:tcPr>
            <w:tcW w:w="680" w:type="dxa"/>
            <w:vAlign w:val="bottom"/>
            <w:shd w:val="clear" w:color="auto" w:fill="E5E5E5"/>
          </w:tcPr>
          <w:p>
            <w:pPr>
              <w:spacing w:after="0"/>
              <w:rPr>
                <w:sz w:val="24"/>
                <w:szCs w:val="24"/>
                <w:color w:val="auto"/>
              </w:rPr>
            </w:pPr>
          </w:p>
        </w:tc>
        <w:tc>
          <w:tcPr>
            <w:tcW w:w="3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89</w:t>
            </w:r>
          </w:p>
        </w:tc>
        <w:tc>
          <w:tcPr>
            <w:tcW w:w="11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E5E5E5"/>
          </w:tcPr>
          <w:p>
            <w:pPr>
              <w:spacing w:after="0"/>
              <w:rPr>
                <w:sz w:val="24"/>
                <w:szCs w:val="24"/>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E5E5E5"/>
          </w:tcPr>
          <w:p>
            <w:pPr>
              <w:spacing w:after="0"/>
              <w:rPr>
                <w:sz w:val="24"/>
                <w:szCs w:val="24"/>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5E5E5"/>
          </w:tcPr>
          <w:p>
            <w:pPr>
              <w:spacing w:after="0"/>
              <w:rPr>
                <w:sz w:val="24"/>
                <w:szCs w:val="24"/>
                <w:color w:val="auto"/>
              </w:rPr>
            </w:pPr>
          </w:p>
        </w:tc>
        <w:tc>
          <w:tcPr>
            <w:tcW w:w="100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E5E5E5"/>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10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E5E5E5"/>
            </w:tcBorders>
          </w:tcPr>
          <w:p>
            <w:pPr>
              <w:spacing w:after="0"/>
              <w:rPr>
                <w:sz w:val="22"/>
                <w:szCs w:val="22"/>
                <w:color w:val="auto"/>
              </w:rPr>
            </w:pPr>
          </w:p>
        </w:tc>
        <w:tc>
          <w:tcPr>
            <w:tcW w:w="100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E5E5E5"/>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5E5E5"/>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Equipment Sales</w:t>
            </w:r>
          </w:p>
        </w:tc>
        <w:tc>
          <w:tcPr>
            <w:tcW w:w="680" w:type="dxa"/>
            <w:vAlign w:val="bottom"/>
            <w:tcBorders>
              <w:bottom w:val="single" w:sz="8" w:color="auto"/>
            </w:tcBorders>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w w:val="94"/>
              </w:rPr>
              <w:t>325</w:t>
            </w:r>
          </w:p>
        </w:tc>
        <w:tc>
          <w:tcPr>
            <w:tcW w:w="120" w:type="dxa"/>
            <w:vAlign w:val="bottom"/>
            <w:tcBorders>
              <w:bottom w:val="single" w:sz="8" w:color="E5E5E5"/>
            </w:tcBorders>
            <w:shd w:val="clear" w:color="auto" w:fill="E5E5E5"/>
          </w:tcPr>
          <w:p>
            <w:pPr>
              <w:spacing w:after="0"/>
              <w:rPr>
                <w:sz w:val="21"/>
                <w:szCs w:val="21"/>
                <w:color w:val="auto"/>
              </w:rPr>
            </w:pPr>
          </w:p>
        </w:tc>
        <w:tc>
          <w:tcPr>
            <w:tcW w:w="680" w:type="dxa"/>
            <w:vAlign w:val="bottom"/>
            <w:tcBorders>
              <w:bottom w:val="single" w:sz="8" w:color="auto"/>
            </w:tcBorders>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w w:val="94"/>
              </w:rPr>
              <w:t>448</w:t>
            </w:r>
          </w:p>
        </w:tc>
        <w:tc>
          <w:tcPr>
            <w:tcW w:w="110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E5E5E5"/>
            </w:tcBorders>
            <w:shd w:val="clear" w:color="auto" w:fill="E5E5E5"/>
          </w:tcPr>
          <w:p>
            <w:pPr>
              <w:spacing w:after="0"/>
              <w:rPr>
                <w:sz w:val="21"/>
                <w:szCs w:val="21"/>
                <w:color w:val="auto"/>
              </w:rPr>
            </w:pPr>
          </w:p>
        </w:tc>
        <w:tc>
          <w:tcPr>
            <w:tcW w:w="10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E5E5E5"/>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203" w:lineRule="exact"/>
        <w:rPr>
          <w:sz w:val="20"/>
          <w:szCs w:val="20"/>
          <w:color w:val="auto"/>
        </w:rPr>
      </w:pPr>
    </w:p>
    <w:p>
      <w:pPr>
        <w:ind w:left="340" w:right="180" w:hanging="332"/>
        <w:spacing w:after="0" w:line="261" w:lineRule="auto"/>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Equipment sales revenue </w:t>
      </w:r>
      <w:r>
        <w:rPr>
          <w:rFonts w:ascii="Arial" w:cs="Arial" w:eastAsia="Arial" w:hAnsi="Arial"/>
          <w:sz w:val="17"/>
          <w:szCs w:val="17"/>
          <w:color w:val="auto"/>
        </w:rPr>
        <w:t>decreased 27.5% as compared to first quarter 2019 , including a 0.5-percentage point unfavorable impact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currency as well as the impact of price declines of approximately 5%. The global COVID-19 pandemic crisis significantly impacted our equipment sales revenue during the first quarter 2020 as a result of business closures during the month of March that impacted our customers' purchasing decisions and caused delayed installations. While the global pandemic affected our European and North American operations only in the last month of the quarter, the impact to our financial performance is disproportionate, as a significant portion of our revenues and profits are typically earned during that period. The decline at constant currency </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reflected the following:</w:t>
      </w:r>
    </w:p>
    <w:p>
      <w:pPr>
        <w:spacing w:after="0" w:line="5" w:lineRule="exact"/>
        <w:rPr>
          <w:rFonts w:ascii="Arial" w:cs="Arial" w:eastAsia="Arial" w:hAnsi="Arial"/>
          <w:sz w:val="17"/>
          <w:szCs w:val="17"/>
          <w:b w:val="1"/>
          <w:bCs w:val="1"/>
          <w:color w:val="auto"/>
        </w:rPr>
      </w:pPr>
    </w:p>
    <w:p>
      <w:pPr>
        <w:jc w:val="both"/>
        <w:ind w:left="660" w:right="380" w:hanging="4"/>
        <w:spacing w:after="0" w:line="250" w:lineRule="auto"/>
        <w:tabs>
          <w:tab w:leader="none" w:pos="849"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Entry - </w:t>
      </w:r>
      <w:r>
        <w:rPr>
          <w:rFonts w:ascii="Arial" w:cs="Arial" w:eastAsia="Arial" w:hAnsi="Arial"/>
          <w:sz w:val="18"/>
          <w:szCs w:val="18"/>
          <w:color w:val="auto"/>
        </w:rPr>
        <w:t>The decrease was primarily due to lower sales of devices through our indirect channels in EMEA and the U.S. partially</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by the COVID-19 crisis and partially offset by the benefit of large order deals from Eurasia that occurred earlier in the ¦ quarter.</w:t>
      </w:r>
    </w:p>
    <w:p>
      <w:pPr>
        <w:spacing w:after="0" w:line="1" w:lineRule="exact"/>
        <w:rPr>
          <w:rFonts w:ascii="Arial" w:cs="Arial" w:eastAsia="Arial" w:hAnsi="Arial"/>
          <w:sz w:val="18"/>
          <w:szCs w:val="18"/>
          <w:color w:val="auto"/>
        </w:rPr>
      </w:pPr>
    </w:p>
    <w:p>
      <w:pPr>
        <w:ind w:left="660" w:right="320" w:hanging="4"/>
        <w:spacing w:after="0" w:line="250" w:lineRule="auto"/>
        <w:tabs>
          <w:tab w:leader="none" w:pos="849"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Mid-range - </w:t>
      </w:r>
      <w:r>
        <w:rPr>
          <w:rFonts w:ascii="Arial" w:cs="Arial" w:eastAsia="Arial" w:hAnsi="Arial"/>
          <w:sz w:val="18"/>
          <w:szCs w:val="18"/>
          <w:color w:val="auto"/>
        </w:rPr>
        <w:t>The decrease was driven by lower sales of devices partially as a result of the COVID-19 crisis, which more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affected our European operations due to the earlier timing of business closures in that region, and a heavier mix of ¦ businesses through indirect channel partners, who drastically lowered their purchases in March to manage their cash and</w:t>
      </w:r>
    </w:p>
    <w:p>
      <w:pPr>
        <w:spacing w:after="0" w:line="1" w:lineRule="exact"/>
        <w:rPr>
          <w:rFonts w:ascii="Arial" w:cs="Arial" w:eastAsia="Arial" w:hAnsi="Arial"/>
          <w:sz w:val="18"/>
          <w:szCs w:val="18"/>
          <w:color w:val="auto"/>
        </w:rPr>
      </w:pPr>
    </w:p>
    <w:p>
      <w:pPr>
        <w:ind w:left="840" w:right="540"/>
        <w:spacing w:after="0" w:line="250" w:lineRule="auto"/>
        <w:rPr>
          <w:rFonts w:ascii="Arial" w:cs="Arial" w:eastAsia="Arial" w:hAnsi="Arial"/>
          <w:sz w:val="18"/>
          <w:szCs w:val="18"/>
          <w:color w:val="auto"/>
        </w:rPr>
      </w:pPr>
      <w:r>
        <w:rPr>
          <w:rFonts w:ascii="Arial" w:cs="Arial" w:eastAsia="Arial" w:hAnsi="Arial"/>
          <w:sz w:val="18"/>
          <w:szCs w:val="18"/>
          <w:color w:val="auto"/>
        </w:rPr>
        <w:t>inventories in response to the crisis. In North America, the majority of the decrease came from our XBS and indirect channel organizations, which primarily serve SMB customers.</w:t>
      </w:r>
    </w:p>
    <w:p>
      <w:pPr>
        <w:ind w:left="660" w:right="220" w:hanging="4"/>
        <w:spacing w:after="0" w:line="250" w:lineRule="auto"/>
        <w:tabs>
          <w:tab w:leader="none" w:pos="849"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High-end - </w:t>
      </w:r>
      <w:r>
        <w:rPr>
          <w:rFonts w:ascii="Arial" w:cs="Arial" w:eastAsia="Arial" w:hAnsi="Arial"/>
          <w:sz w:val="18"/>
          <w:szCs w:val="18"/>
          <w:color w:val="auto"/>
        </w:rPr>
        <w:t>The decrease reflected lower sales of production systems primarily from our EMEA operations impacted by</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pressures in the market, partially offset by demand for our recently launched Baltoro Inkjet press and higher sales of ¦ our iGEN and Continuous Feed Color systems. The COVID-19 pandemic affected our sales of high-end devices primarily in the</w:t>
      </w:r>
    </w:p>
    <w:p>
      <w:pPr>
        <w:spacing w:after="0" w:line="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7"/>
          <w:szCs w:val="17"/>
          <w:color w:val="auto"/>
        </w:rPr>
        <w:t>lower end of the range, due to the impact on office closures and indirect distribution dealer activity, however, our revenues from our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7" w:name="page18"/>
    <w:bookmarkEnd w:id="17"/>
    <w:p>
      <w:pPr>
        <w:ind w:left="980"/>
        <w:spacing w:after="0" w:line="256" w:lineRule="auto"/>
        <w:rPr>
          <w:sz w:val="20"/>
          <w:szCs w:val="20"/>
          <w:color w:val="auto"/>
        </w:rPr>
      </w:pPr>
      <w:r>
        <w:rPr>
          <w:rFonts w:ascii="Arial" w:cs="Arial" w:eastAsia="Arial" w:hAnsi="Arial"/>
          <w:sz w:val="18"/>
          <w:szCs w:val="18"/>
          <w:color w:val="auto"/>
        </w:rPr>
        <w:t>U.S. Enterprise organization grew, as customers in this segment include certain government, education, healthcare and other essential businesses that are less impacted by the pandemic, and in some instances, had higher demand for products to support their response to the health crisis.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Installs</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Installs reflect new placement of devices only (i.e., measure does not take into account removal of devices which may occur as a result of contract renewals or cancellations). Revenue associated with equipment installations may be reflected up-front in Equipment sales or over time either through rental income or as part of our Xerox Services revenues (which are both reported within our post sale revenues), depending on the terms and conditions of our agreements with customers. Installs include activity from Xerox Services and Xerox-branded products shipped to our XBS sales unit. Detail by product group (see Appendix II) is shown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w:t>
      </w:r>
    </w:p>
    <w:p>
      <w:pPr>
        <w:spacing w:after="0" w:line="27" w:lineRule="exact"/>
        <w:rPr>
          <w:sz w:val="20"/>
          <w:szCs w:val="20"/>
          <w:color w:val="auto"/>
        </w:rPr>
      </w:pPr>
    </w:p>
    <w:p>
      <w:pPr>
        <w:ind w:left="340" w:right="2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 decrease in color multifunction devices reflecting lower installs of ConnectKey devices through our indirect channels in the U.S. and in EMEA.</w:t>
      </w:r>
    </w:p>
    <w:p>
      <w:pPr>
        <w:ind w:left="340" w:right="2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 increase in black-and-white multifunction devices reflecting large order deals from Eurasia partially offset by lower activity from our U.S. indirect channels.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Mid-Range</w:t>
      </w:r>
      <w:r>
        <w:rPr>
          <w:rFonts w:ascii="Arial" w:cs="Arial" w:eastAsia="Arial" w:hAnsi="Arial"/>
          <w:sz w:val="18"/>
          <w:szCs w:val="18"/>
          <w:i w:val="1"/>
          <w:iCs w:val="1"/>
          <w:color w:val="auto"/>
        </w:rPr>
        <w:t xml:space="preserve"> </w:t>
      </w:r>
      <w:r>
        <w:rPr>
          <w:rFonts w:ascii="Arial" w:cs="Arial" w:eastAsia="Arial" w:hAnsi="Arial"/>
          <w:sz w:val="21"/>
          <w:szCs w:val="21"/>
          <w:i w:val="1"/>
          <w:iCs w:val="1"/>
          <w:color w:val="auto"/>
          <w:vertAlign w:val="superscript"/>
        </w:rPr>
        <w:t>2</w:t>
      </w:r>
    </w:p>
    <w:p>
      <w:pPr>
        <w:ind w:left="340" w:right="6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 decrease in mid-range color installs primarily reflecting lower installs of multifunction color devices partially offset by strong demand for our recently launched PrimeLink light-production devices.</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 decrease in mid-range black-and-white reflecting in part global market trends.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High-End</w:t>
      </w:r>
      <w:r>
        <w:rPr>
          <w:rFonts w:ascii="Arial" w:cs="Arial" w:eastAsia="Arial" w:hAnsi="Arial"/>
          <w:sz w:val="18"/>
          <w:szCs w:val="18"/>
          <w:i w:val="1"/>
          <w:iCs w:val="1"/>
          <w:color w:val="auto"/>
        </w:rPr>
        <w:t xml:space="preserve"> </w:t>
      </w:r>
      <w:r>
        <w:rPr>
          <w:rFonts w:ascii="Arial" w:cs="Arial" w:eastAsia="Arial" w:hAnsi="Arial"/>
          <w:sz w:val="21"/>
          <w:szCs w:val="21"/>
          <w:i w:val="1"/>
          <w:iCs w:val="1"/>
          <w:color w:val="auto"/>
          <w:vertAlign w:val="superscript"/>
        </w:rPr>
        <w:t>2</w:t>
      </w:r>
    </w:p>
    <w:p>
      <w:pPr>
        <w:jc w:val="both"/>
        <w:ind w:left="340" w:right="16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52% decrease in high-end color installs reflecting primarily lower installs of our lower-end Versant production systems, along with lower installs of our Iridesse systems, partially offset by higher installs of our iGen and strong demand for our recently-launched Baltoro inkjet press.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 decrease in high-end black-and-white systems reflecting in part global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1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ind w:left="340" w:right="140" w:hanging="332"/>
        <w:spacing w:after="0" w:line="217" w:lineRule="auto"/>
        <w:tabs>
          <w:tab w:leader="none" w:pos="34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Mid-range and High-end color installations exclude Fuji Xerox digital front-end sales; including Fuji Xerox digital front-end sales, Mid-range color devices decreased 26%, and High-end color systems decreased 53%.</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DA2031"/>
        </w:rPr>
        <w:t>Costs, Expenses and Other Income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Summary of Key Financial Ratios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8"/>
        </w:trPr>
        <w:tc>
          <w:tcPr>
            <w:tcW w:w="8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rPr>
              <w:t>March 31,</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r>
        <w:trPr>
          <w:trHeight w:val="263"/>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5360" w:type="dxa"/>
            <w:vAlign w:val="bottom"/>
            <w:tcBorders>
              <w:bottom w:val="single" w:sz="8" w:color="auto"/>
            </w:tcBorders>
          </w:tcPr>
          <w:p>
            <w:pPr>
              <w:spacing w:after="0"/>
              <w:rPr>
                <w:sz w:val="22"/>
                <w:szCs w:val="22"/>
                <w:color w:val="auto"/>
              </w:rPr>
            </w:pPr>
          </w:p>
        </w:tc>
        <w:tc>
          <w:tcPr>
            <w:tcW w:w="120" w:type="dxa"/>
            <w:vAlign w:val="bottom"/>
            <w:tcBorders>
              <w:bottom w:val="single" w:sz="8" w:color="E5E5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B/(W)</w:t>
            </w:r>
          </w:p>
        </w:tc>
        <w:tc>
          <w:tcPr>
            <w:tcW w:w="380" w:type="dxa"/>
            <w:vAlign w:val="bottom"/>
            <w:tcBorders>
              <w:bottom w:val="single" w:sz="8" w:color="auto"/>
            </w:tcBorders>
          </w:tcPr>
          <w:p>
            <w:pPr>
              <w:spacing w:after="0"/>
              <w:rPr>
                <w:sz w:val="22"/>
                <w:szCs w:val="22"/>
                <w:color w:val="auto"/>
              </w:rPr>
            </w:pPr>
          </w:p>
        </w:tc>
      </w:tr>
      <w:tr>
        <w:trPr>
          <w:trHeight w:val="270"/>
        </w:trPr>
        <w:tc>
          <w:tcPr>
            <w:tcW w:w="800" w:type="dxa"/>
            <w:vAlign w:val="bottom"/>
            <w:shd w:val="clear" w:color="auto" w:fill="E5E5E5"/>
          </w:tcPr>
          <w:p>
            <w:pPr>
              <w:ind w:left="40"/>
              <w:spacing w:after="0"/>
              <w:rPr>
                <w:sz w:val="20"/>
                <w:szCs w:val="20"/>
                <w:color w:val="auto"/>
              </w:rPr>
            </w:pPr>
            <w:r>
              <w:rPr>
                <w:rFonts w:ascii="Arial" w:cs="Arial" w:eastAsia="Arial" w:hAnsi="Arial"/>
                <w:sz w:val="14"/>
                <w:szCs w:val="14"/>
                <w:color w:val="auto"/>
              </w:rPr>
              <w:t>Gross Profit</w:t>
            </w:r>
          </w:p>
        </w:tc>
        <w:tc>
          <w:tcPr>
            <w:tcW w:w="536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E5E5E5"/>
          </w:tcPr>
          <w:p>
            <w:pPr>
              <w:spacing w:after="0"/>
              <w:rPr>
                <w:sz w:val="23"/>
                <w:szCs w:val="23"/>
                <w:color w:val="auto"/>
              </w:rPr>
            </w:pP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877</w:t>
            </w:r>
          </w:p>
        </w:tc>
        <w:tc>
          <w:tcPr>
            <w:tcW w:w="120" w:type="dxa"/>
            <w:vAlign w:val="bottom"/>
            <w:shd w:val="clear" w:color="auto" w:fill="E5E5E5"/>
          </w:tcPr>
          <w:p>
            <w:pPr>
              <w:spacing w:after="0"/>
              <w:rPr>
                <w:sz w:val="23"/>
                <w:szCs w:val="23"/>
                <w:color w:val="auto"/>
              </w:rPr>
            </w:pP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(165)</w:t>
            </w:r>
          </w:p>
        </w:tc>
        <w:tc>
          <w:tcPr>
            <w:tcW w:w="380" w:type="dxa"/>
            <w:vAlign w:val="bottom"/>
            <w:shd w:val="clear" w:color="auto" w:fill="E5E5E5"/>
          </w:tcPr>
          <w:p>
            <w:pPr>
              <w:spacing w:after="0"/>
              <w:rPr>
                <w:sz w:val="23"/>
                <w:szCs w:val="23"/>
                <w:color w:val="auto"/>
              </w:rPr>
            </w:pPr>
          </w:p>
        </w:tc>
      </w:tr>
      <w:tr>
        <w:trPr>
          <w:trHeight w:val="264"/>
        </w:trPr>
        <w:tc>
          <w:tcPr>
            <w:tcW w:w="800" w:type="dxa"/>
            <w:vAlign w:val="bottom"/>
          </w:tcPr>
          <w:p>
            <w:pPr>
              <w:ind w:left="40"/>
              <w:spacing w:after="0"/>
              <w:rPr>
                <w:sz w:val="20"/>
                <w:szCs w:val="20"/>
                <w:color w:val="auto"/>
              </w:rPr>
            </w:pPr>
            <w:r>
              <w:rPr>
                <w:rFonts w:ascii="Arial" w:cs="Arial" w:eastAsia="Arial" w:hAnsi="Arial"/>
                <w:sz w:val="14"/>
                <w:szCs w:val="14"/>
                <w:color w:val="auto"/>
              </w:rPr>
              <w:t>RD&amp;E</w:t>
            </w:r>
          </w:p>
        </w:tc>
        <w:tc>
          <w:tcPr>
            <w:tcW w:w="5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22"/>
                <w:szCs w:val="22"/>
                <w:color w:val="auto"/>
              </w:rPr>
            </w:pPr>
          </w:p>
        </w:tc>
      </w:tr>
      <w:tr>
        <w:trPr>
          <w:trHeight w:val="276"/>
        </w:trPr>
        <w:tc>
          <w:tcPr>
            <w:tcW w:w="800" w:type="dxa"/>
            <w:vAlign w:val="bottom"/>
            <w:shd w:val="clear" w:color="auto" w:fill="E5E5E5"/>
          </w:tcPr>
          <w:p>
            <w:pPr>
              <w:ind w:left="40"/>
              <w:spacing w:after="0"/>
              <w:rPr>
                <w:sz w:val="20"/>
                <w:szCs w:val="20"/>
                <w:color w:val="auto"/>
              </w:rPr>
            </w:pPr>
            <w:r>
              <w:rPr>
                <w:rFonts w:ascii="Arial" w:cs="Arial" w:eastAsia="Arial" w:hAnsi="Arial"/>
                <w:sz w:val="14"/>
                <w:szCs w:val="14"/>
                <w:color w:val="auto"/>
              </w:rPr>
              <w:t>SAG</w:t>
            </w:r>
          </w:p>
        </w:tc>
        <w:tc>
          <w:tcPr>
            <w:tcW w:w="536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96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9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w:t>
            </w:r>
          </w:p>
        </w:tc>
        <w:tc>
          <w:tcPr>
            <w:tcW w:w="380" w:type="dxa"/>
            <w:vAlign w:val="bottom"/>
            <w:shd w:val="clear" w:color="auto" w:fill="E5E5E5"/>
          </w:tcPr>
          <w:p>
            <w:pPr>
              <w:spacing w:after="0"/>
              <w:rPr>
                <w:sz w:val="24"/>
                <w:szCs w:val="24"/>
                <w:color w:val="auto"/>
              </w:rPr>
            </w:pPr>
          </w:p>
        </w:tc>
      </w:tr>
      <w:tr>
        <w:trPr>
          <w:trHeight w:val="283"/>
        </w:trPr>
        <w:tc>
          <w:tcPr>
            <w:tcW w:w="61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6280" w:type="dxa"/>
            <w:vAlign w:val="bottom"/>
            <w:gridSpan w:val="3"/>
            <w:shd w:val="clear" w:color="auto" w:fill="E5E5E5"/>
          </w:tcPr>
          <w:p>
            <w:pPr>
              <w:ind w:left="40"/>
              <w:spacing w:after="0"/>
              <w:rPr>
                <w:sz w:val="20"/>
                <w:szCs w:val="20"/>
                <w:color w:val="auto"/>
              </w:rPr>
            </w:pPr>
            <w:r>
              <w:rPr>
                <w:rFonts w:ascii="Arial" w:cs="Arial" w:eastAsia="Arial" w:hAnsi="Arial"/>
                <w:sz w:val="14"/>
                <w:szCs w:val="14"/>
                <w:color w:val="auto"/>
              </w:rPr>
              <w:t>Equipment Gross Margin</w:t>
            </w:r>
          </w:p>
        </w:tc>
        <w:tc>
          <w:tcPr>
            <w:tcW w:w="280" w:type="dxa"/>
            <w:vAlign w:val="bottom"/>
            <w:shd w:val="clear" w:color="auto" w:fill="E5E5E5"/>
          </w:tcPr>
          <w:p>
            <w:pPr>
              <w:spacing w:after="0"/>
              <w:rPr>
                <w:sz w:val="23"/>
                <w:szCs w:val="23"/>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26.3 %</w:t>
            </w:r>
          </w:p>
        </w:tc>
        <w:tc>
          <w:tcPr>
            <w:tcW w:w="10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E5E5E5"/>
          </w:tcPr>
          <w:p>
            <w:pPr>
              <w:spacing w:after="0"/>
              <w:rPr>
                <w:sz w:val="23"/>
                <w:szCs w:val="23"/>
                <w:color w:val="auto"/>
              </w:rPr>
            </w:pPr>
          </w:p>
        </w:tc>
        <w:tc>
          <w:tcPr>
            <w:tcW w:w="180" w:type="dxa"/>
            <w:vAlign w:val="bottom"/>
            <w:shd w:val="clear" w:color="auto" w:fill="E5E5E5"/>
          </w:tcPr>
          <w:p>
            <w:pPr>
              <w:spacing w:after="0"/>
              <w:rPr>
                <w:sz w:val="23"/>
                <w:szCs w:val="23"/>
                <w:color w:val="auto"/>
              </w:rPr>
            </w:pP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(9.4)</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pts.</w:t>
            </w:r>
          </w:p>
        </w:tc>
      </w:tr>
      <w:tr>
        <w:trPr>
          <w:trHeight w:val="264"/>
        </w:trPr>
        <w:tc>
          <w:tcPr>
            <w:tcW w:w="6280" w:type="dxa"/>
            <w:vAlign w:val="bottom"/>
            <w:gridSpan w:val="3"/>
          </w:tcPr>
          <w:p>
            <w:pPr>
              <w:ind w:left="40"/>
              <w:spacing w:after="0"/>
              <w:rPr>
                <w:sz w:val="20"/>
                <w:szCs w:val="20"/>
                <w:color w:val="auto"/>
              </w:rPr>
            </w:pPr>
            <w:r>
              <w:rPr>
                <w:rFonts w:ascii="Arial" w:cs="Arial" w:eastAsia="Arial" w:hAnsi="Arial"/>
                <w:sz w:val="14"/>
                <w:szCs w:val="14"/>
                <w:color w:val="auto"/>
              </w:rPr>
              <w:t>Post sale Gross Margin</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40.8 %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380" w:type="dxa"/>
            <w:vAlign w:val="bottom"/>
          </w:tcPr>
          <w:p>
            <w:pPr>
              <w:jc w:val="right"/>
              <w:spacing w:after="0"/>
              <w:rPr>
                <w:sz w:val="20"/>
                <w:szCs w:val="20"/>
                <w:color w:val="auto"/>
              </w:rPr>
            </w:pPr>
            <w:r>
              <w:rPr>
                <w:rFonts w:ascii="Arial" w:cs="Arial" w:eastAsia="Arial" w:hAnsi="Arial"/>
                <w:sz w:val="14"/>
                <w:szCs w:val="14"/>
                <w:color w:val="auto"/>
              </w:rPr>
              <w:t>pts.</w:t>
            </w:r>
          </w:p>
        </w:tc>
      </w:tr>
      <w:tr>
        <w:trPr>
          <w:trHeight w:val="276"/>
        </w:trPr>
        <w:tc>
          <w:tcPr>
            <w:tcW w:w="6280" w:type="dxa"/>
            <w:vAlign w:val="bottom"/>
            <w:gridSpan w:val="3"/>
            <w:shd w:val="clear" w:color="auto" w:fill="E5E5E5"/>
          </w:tcPr>
          <w:p>
            <w:pPr>
              <w:ind w:left="40"/>
              <w:spacing w:after="0"/>
              <w:rPr>
                <w:sz w:val="20"/>
                <w:szCs w:val="20"/>
                <w:color w:val="auto"/>
              </w:rPr>
            </w:pPr>
            <w:r>
              <w:rPr>
                <w:rFonts w:ascii="Arial" w:cs="Arial" w:eastAsia="Arial" w:hAnsi="Arial"/>
                <w:sz w:val="14"/>
                <w:szCs w:val="14"/>
                <w:color w:val="auto"/>
              </w:rPr>
              <w:t>Total Gross Margin</w:t>
            </w:r>
          </w:p>
        </w:tc>
        <w:tc>
          <w:tcPr>
            <w:tcW w:w="280" w:type="dxa"/>
            <w:vAlign w:val="bottom"/>
            <w:shd w:val="clear" w:color="auto" w:fill="E5E5E5"/>
          </w:tcPr>
          <w:p>
            <w:pPr>
              <w:spacing w:after="0"/>
              <w:rPr>
                <w:sz w:val="24"/>
                <w:szCs w:val="24"/>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38.3 %</w:t>
            </w:r>
          </w:p>
        </w:tc>
        <w:tc>
          <w:tcPr>
            <w:tcW w:w="10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(1.9)</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pts.</w:t>
            </w:r>
          </w:p>
        </w:tc>
      </w:tr>
      <w:tr>
        <w:trPr>
          <w:trHeight w:val="264"/>
        </w:trPr>
        <w:tc>
          <w:tcPr>
            <w:tcW w:w="6280" w:type="dxa"/>
            <w:vAlign w:val="bottom"/>
            <w:gridSpan w:val="3"/>
          </w:tcPr>
          <w:p>
            <w:pPr>
              <w:ind w:left="40"/>
              <w:spacing w:after="0"/>
              <w:rPr>
                <w:sz w:val="20"/>
                <w:szCs w:val="20"/>
                <w:color w:val="auto"/>
              </w:rPr>
            </w:pPr>
            <w:r>
              <w:rPr>
                <w:rFonts w:ascii="Arial" w:cs="Arial" w:eastAsia="Arial" w:hAnsi="Arial"/>
                <w:sz w:val="14"/>
                <w:szCs w:val="14"/>
                <w:color w:val="auto"/>
              </w:rPr>
              <w:t>RD&amp;E as a % of Revenue</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380" w:type="dxa"/>
            <w:vAlign w:val="bottom"/>
          </w:tcPr>
          <w:p>
            <w:pPr>
              <w:jc w:val="right"/>
              <w:spacing w:after="0"/>
              <w:rPr>
                <w:sz w:val="20"/>
                <w:szCs w:val="20"/>
                <w:color w:val="auto"/>
              </w:rPr>
            </w:pPr>
            <w:r>
              <w:rPr>
                <w:rFonts w:ascii="Arial" w:cs="Arial" w:eastAsia="Arial" w:hAnsi="Arial"/>
                <w:sz w:val="14"/>
                <w:szCs w:val="14"/>
                <w:color w:val="auto"/>
              </w:rPr>
              <w:t>pts.</w:t>
            </w:r>
          </w:p>
        </w:tc>
      </w:tr>
      <w:tr>
        <w:trPr>
          <w:trHeight w:val="276"/>
        </w:trPr>
        <w:tc>
          <w:tcPr>
            <w:tcW w:w="6280" w:type="dxa"/>
            <w:vAlign w:val="bottom"/>
            <w:gridSpan w:val="3"/>
            <w:shd w:val="clear" w:color="auto" w:fill="E5E5E5"/>
          </w:tcPr>
          <w:p>
            <w:pPr>
              <w:ind w:left="40"/>
              <w:spacing w:after="0"/>
              <w:rPr>
                <w:sz w:val="20"/>
                <w:szCs w:val="20"/>
                <w:color w:val="auto"/>
              </w:rPr>
            </w:pPr>
            <w:r>
              <w:rPr>
                <w:rFonts w:ascii="Arial" w:cs="Arial" w:eastAsia="Arial" w:hAnsi="Arial"/>
                <w:sz w:val="14"/>
                <w:szCs w:val="14"/>
                <w:color w:val="auto"/>
              </w:rPr>
              <w:t>SAG as a % of Revenue</w:t>
            </w:r>
          </w:p>
        </w:tc>
        <w:tc>
          <w:tcPr>
            <w:tcW w:w="280" w:type="dxa"/>
            <w:vAlign w:val="bottom"/>
            <w:shd w:val="clear" w:color="auto" w:fill="E5E5E5"/>
          </w:tcPr>
          <w:p>
            <w:pPr>
              <w:spacing w:after="0"/>
              <w:rPr>
                <w:sz w:val="24"/>
                <w:szCs w:val="24"/>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29.1 %</w:t>
            </w:r>
          </w:p>
        </w:tc>
        <w:tc>
          <w:tcPr>
            <w:tcW w:w="10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(4.1)</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pts</w:t>
            </w:r>
          </w:p>
        </w:tc>
      </w:tr>
      <w:tr>
        <w:trPr>
          <w:trHeight w:val="283"/>
        </w:trPr>
        <w:tc>
          <w:tcPr>
            <w:tcW w:w="61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6280" w:type="dxa"/>
            <w:vAlign w:val="bottom"/>
            <w:gridSpan w:val="3"/>
            <w:shd w:val="clear" w:color="auto" w:fill="E5E5E5"/>
          </w:tcPr>
          <w:p>
            <w:pPr>
              <w:ind w:left="40"/>
              <w:spacing w:after="0"/>
              <w:rPr>
                <w:sz w:val="20"/>
                <w:szCs w:val="20"/>
                <w:color w:val="auto"/>
              </w:rPr>
            </w:pPr>
            <w:r>
              <w:rPr>
                <w:rFonts w:ascii="Arial" w:cs="Arial" w:eastAsia="Arial" w:hAnsi="Arial"/>
                <w:sz w:val="14"/>
                <w:szCs w:val="14"/>
                <w:color w:val="auto"/>
              </w:rPr>
              <w:t>Pre-tax (Loss) Income</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shd w:val="clear" w:color="auto" w:fill="E5E5E5"/>
          </w:tcPr>
          <w:p>
            <w:pPr>
              <w:spacing w:after="0"/>
              <w:rPr>
                <w:sz w:val="23"/>
                <w:szCs w:val="23"/>
                <w:color w:val="auto"/>
              </w:rPr>
            </w:pP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E5E5E5"/>
          </w:tcPr>
          <w:p>
            <w:pPr>
              <w:spacing w:after="0"/>
              <w:rPr>
                <w:sz w:val="23"/>
                <w:szCs w:val="23"/>
                <w:color w:val="auto"/>
              </w:rPr>
            </w:pP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(78)</w:t>
            </w:r>
          </w:p>
        </w:tc>
        <w:tc>
          <w:tcPr>
            <w:tcW w:w="380" w:type="dxa"/>
            <w:vAlign w:val="bottom"/>
            <w:shd w:val="clear" w:color="auto" w:fill="E5E5E5"/>
          </w:tcPr>
          <w:p>
            <w:pPr>
              <w:spacing w:after="0"/>
              <w:rPr>
                <w:sz w:val="23"/>
                <w:szCs w:val="23"/>
                <w:color w:val="auto"/>
              </w:rPr>
            </w:pPr>
          </w:p>
        </w:tc>
      </w:tr>
      <w:tr>
        <w:trPr>
          <w:trHeight w:val="264"/>
        </w:trPr>
        <w:tc>
          <w:tcPr>
            <w:tcW w:w="6280" w:type="dxa"/>
            <w:vAlign w:val="bottom"/>
            <w:gridSpan w:val="3"/>
          </w:tcPr>
          <w:p>
            <w:pPr>
              <w:ind w:left="40"/>
              <w:spacing w:after="0"/>
              <w:rPr>
                <w:sz w:val="20"/>
                <w:szCs w:val="20"/>
                <w:color w:val="auto"/>
              </w:rPr>
            </w:pPr>
            <w:r>
              <w:rPr>
                <w:rFonts w:ascii="Arial" w:cs="Arial" w:eastAsia="Arial" w:hAnsi="Arial"/>
                <w:sz w:val="14"/>
                <w:szCs w:val="14"/>
                <w:color w:val="auto"/>
              </w:rPr>
              <w:t>Pre-tax (Loss) Income Margin</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380" w:type="dxa"/>
            <w:vAlign w:val="bottom"/>
          </w:tcPr>
          <w:p>
            <w:pPr>
              <w:jc w:val="right"/>
              <w:spacing w:after="0"/>
              <w:rPr>
                <w:sz w:val="20"/>
                <w:szCs w:val="20"/>
                <w:color w:val="auto"/>
              </w:rPr>
            </w:pPr>
            <w:r>
              <w:rPr>
                <w:rFonts w:ascii="Arial" w:cs="Arial" w:eastAsia="Arial" w:hAnsi="Arial"/>
                <w:sz w:val="14"/>
                <w:szCs w:val="14"/>
                <w:color w:val="auto"/>
              </w:rPr>
              <w:t>pts.</w:t>
            </w:r>
          </w:p>
        </w:tc>
      </w:tr>
      <w:tr>
        <w:trPr>
          <w:trHeight w:val="289"/>
        </w:trPr>
        <w:tc>
          <w:tcPr>
            <w:tcW w:w="800" w:type="dxa"/>
            <w:vAlign w:val="bottom"/>
            <w:shd w:val="clear" w:color="auto" w:fill="E5E5E5"/>
          </w:tcPr>
          <w:p>
            <w:pPr>
              <w:spacing w:after="0"/>
              <w:rPr>
                <w:sz w:val="24"/>
                <w:szCs w:val="24"/>
                <w:color w:val="auto"/>
              </w:rPr>
            </w:pPr>
          </w:p>
        </w:tc>
        <w:tc>
          <w:tcPr>
            <w:tcW w:w="536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96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9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380" w:type="dxa"/>
            <w:vAlign w:val="bottom"/>
            <w:shd w:val="clear" w:color="auto" w:fill="E5E5E5"/>
          </w:tcPr>
          <w:p>
            <w:pPr>
              <w:spacing w:after="0"/>
              <w:rPr>
                <w:sz w:val="24"/>
                <w:szCs w:val="24"/>
                <w:color w:val="auto"/>
              </w:rPr>
            </w:pPr>
          </w:p>
        </w:tc>
      </w:tr>
      <w:tr>
        <w:trPr>
          <w:trHeight w:val="310"/>
        </w:trPr>
        <w:tc>
          <w:tcPr>
            <w:tcW w:w="800" w:type="dxa"/>
            <w:vAlign w:val="bottom"/>
          </w:tcPr>
          <w:p>
            <w:pPr>
              <w:ind w:left="40"/>
              <w:spacing w:after="0"/>
              <w:rPr>
                <w:sz w:val="20"/>
                <w:szCs w:val="20"/>
                <w:color w:val="auto"/>
              </w:rPr>
            </w:pPr>
            <w:r>
              <w:rPr>
                <w:rFonts w:ascii="Arial" w:cs="Arial" w:eastAsia="Arial" w:hAnsi="Arial"/>
                <w:sz w:val="14"/>
                <w:szCs w:val="14"/>
                <w:color w:val="auto"/>
              </w:rPr>
              <w:t xml:space="preserve">Adjusted </w:t>
            </w:r>
            <w:r>
              <w:rPr>
                <w:rFonts w:ascii="Arial" w:cs="Arial" w:eastAsia="Arial" w:hAnsi="Arial"/>
                <w:sz w:val="17"/>
                <w:szCs w:val="17"/>
                <w:color w:val="auto"/>
                <w:vertAlign w:val="superscript"/>
              </w:rPr>
              <w:t>(1)</w:t>
            </w:r>
          </w:p>
        </w:tc>
        <w:tc>
          <w:tcPr>
            <w:tcW w:w="5480" w:type="dxa"/>
            <w:vAlign w:val="bottom"/>
            <w:gridSpan w:val="2"/>
          </w:tcPr>
          <w:p>
            <w:pPr>
              <w:spacing w:after="0"/>
              <w:rPr>
                <w:sz w:val="20"/>
                <w:szCs w:val="20"/>
                <w:color w:val="auto"/>
              </w:rPr>
            </w:pPr>
            <w:r>
              <w:rPr>
                <w:rFonts w:ascii="Arial" w:cs="Arial" w:eastAsia="Arial" w:hAnsi="Arial"/>
                <w:sz w:val="14"/>
                <w:szCs w:val="14"/>
                <w:color w:val="auto"/>
              </w:rPr>
              <w:t>Operating Profit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380" w:type="dxa"/>
            <w:vAlign w:val="bottom"/>
          </w:tcPr>
          <w:p>
            <w:pPr>
              <w:spacing w:after="0"/>
              <w:rPr>
                <w:sz w:val="24"/>
                <w:szCs w:val="24"/>
                <w:color w:val="auto"/>
              </w:rPr>
            </w:pPr>
          </w:p>
        </w:tc>
      </w:tr>
      <w:tr>
        <w:trPr>
          <w:trHeight w:val="227"/>
        </w:trPr>
        <w:tc>
          <w:tcPr>
            <w:tcW w:w="800" w:type="dxa"/>
            <w:vAlign w:val="bottom"/>
          </w:tcPr>
          <w:p>
            <w:pPr>
              <w:ind w:left="40"/>
              <w:spacing w:after="0"/>
              <w:rPr>
                <w:sz w:val="20"/>
                <w:szCs w:val="20"/>
                <w:color w:val="auto"/>
              </w:rPr>
            </w:pPr>
            <w:r>
              <w:rPr>
                <w:rFonts w:ascii="Arial" w:cs="Arial" w:eastAsia="Arial" w:hAnsi="Arial"/>
                <w:sz w:val="14"/>
                <w:szCs w:val="14"/>
                <w:color w:val="auto"/>
              </w:rPr>
              <w:t xml:space="preserve">Adjusted </w:t>
            </w:r>
            <w:r>
              <w:rPr>
                <w:rFonts w:ascii="Arial" w:cs="Arial" w:eastAsia="Arial" w:hAnsi="Arial"/>
                <w:sz w:val="17"/>
                <w:szCs w:val="17"/>
                <w:color w:val="auto"/>
                <w:vertAlign w:val="superscript"/>
              </w:rPr>
              <w:t>(1)</w:t>
            </w:r>
          </w:p>
        </w:tc>
        <w:tc>
          <w:tcPr>
            <w:tcW w:w="5480" w:type="dxa"/>
            <w:vAlign w:val="bottom"/>
            <w:gridSpan w:val="2"/>
          </w:tcPr>
          <w:p>
            <w:pPr>
              <w:spacing w:after="0"/>
              <w:rPr>
                <w:sz w:val="20"/>
                <w:szCs w:val="20"/>
                <w:color w:val="auto"/>
              </w:rPr>
            </w:pPr>
            <w:r>
              <w:rPr>
                <w:rFonts w:ascii="Arial" w:cs="Arial" w:eastAsia="Arial" w:hAnsi="Arial"/>
                <w:sz w:val="14"/>
                <w:szCs w:val="14"/>
                <w:color w:val="auto"/>
              </w:rPr>
              <w:t>Operating Margin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380" w:type="dxa"/>
            <w:vAlign w:val="bottom"/>
          </w:tcPr>
          <w:p>
            <w:pPr>
              <w:jc w:val="right"/>
              <w:spacing w:after="0"/>
              <w:rPr>
                <w:sz w:val="20"/>
                <w:szCs w:val="20"/>
                <w:color w:val="auto"/>
              </w:rPr>
            </w:pPr>
            <w:r>
              <w:rPr>
                <w:rFonts w:ascii="Arial" w:cs="Arial" w:eastAsia="Arial" w:hAnsi="Arial"/>
                <w:sz w:val="14"/>
                <w:szCs w:val="14"/>
                <w:color w:val="auto"/>
              </w:rPr>
              <w:t>pts.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64337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4337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w:t>
      </w:r>
    </w:p>
    <w:p>
      <w:pPr>
        <w:spacing w:after="0" w:line="43"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“Non-GAAP Financial Measures” section for an explanation of the non-GAAP financial measure.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(Loss) Income Margin</w:t>
      </w:r>
    </w:p>
    <w:p>
      <w:pPr>
        <w:spacing w:after="0" w:line="27"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 xml:space="preserve">First quarter 2020 pre-tax (loss) income margin of (0.3)% decreased 3.6-percentage points as compared to first quarter 2019 . The decrease primarily reflected the impact of lower adjusted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(see below), as well as higher Transaction and related costs, net, partially offset by lower Restructuring expenses and Other expenses, net.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w:t>
      </w:r>
      <w:r>
        <w:rPr>
          <w:rFonts w:ascii="Arial" w:cs="Arial" w:eastAsia="Arial" w:hAnsi="Arial"/>
          <w:sz w:val="18"/>
          <w:szCs w:val="18"/>
          <w:i w:val="1"/>
          <w:iCs w:val="1"/>
          <w:color w:val="auto"/>
        </w:rPr>
        <w:t xml:space="preserve"> </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Operating Margin</w:t>
      </w:r>
    </w:p>
    <w:p>
      <w:pPr>
        <w:ind w:right="80"/>
        <w:spacing w:after="0" w:line="243" w:lineRule="auto"/>
        <w:rPr>
          <w:sz w:val="20"/>
          <w:szCs w:val="20"/>
          <w:color w:val="auto"/>
        </w:rPr>
      </w:pPr>
      <w:r>
        <w:rPr>
          <w:rFonts w:ascii="Arial" w:cs="Arial" w:eastAsia="Arial" w:hAnsi="Arial"/>
          <w:sz w:val="18"/>
          <w:szCs w:val="18"/>
          <w:color w:val="auto"/>
        </w:rPr>
        <w:t xml:space="preserve">First quarter 2020 adjusted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of 4.7% decreased by 6.3-percentage points as compared to first quarter 2019 reflecting the impact of lower revenues primarily as a result of the significant effect of the COVID-19 health crisis on our business and a 3.3-percentage point unfavorable impact due to an increase in bad debt expense of $61 million to reflect the expected impact to our customer base and related outstanding trade and finance receivable portfolio as a result of the economic disruption caused by this health crisis. These negative impacts were partially offset by cost and expense reductions associated with our Project Own It transformation actions as well as additional cost reduction actions, to mitigate the impact of the crisis.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ind w:left="140" w:hanging="132"/>
        <w:spacing w:after="0" w:line="231" w:lineRule="auto"/>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 to the Operating Income and Margin reconciliation table in the “Non-GAAP Financial Measures” section.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First quarter 2020 gross margin of 38.3% decreased by 1.9-percentage points compared to first quarter 2019 , reflecting the impact of lower revenues (including from our higher margin post sale stream) primarily as a result of the significant effect of the COVID-19 health crisis due to business closures, as well as the impact of price reductions, transaction currency and tariffs, partially offset by the benefits from our Project Own It transformation actions. Gross margins are expected to continue to be negatively impacted in future periods as a result of an increase in the cost of our imported products due to higher import tariffs. We currently estimate an approximate $30 million cost impact from these higher tariffs for the full year 2020.</w:t>
      </w:r>
    </w:p>
    <w:p>
      <w:pPr>
        <w:spacing w:after="0" w:line="1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First quarter 2020 equipment gross margin of 26.3% decreased by 9.4-percentage points as compared to first quarter 2019 , reflecting the impact of lower sales primarily as a result of COVID-19 related business closures that more pronouncedly affected our higher gross margin SMB channels, causing an adverse mix. The decline also reflected the impact of pricing incentives and incremental tariff costs partially offset by the benefits from our Project Own It transformation actions.</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5" w:right="399" w:bottom="1440" w:gutter="0" w:footer="0" w:header="0"/>
        </w:sectPr>
      </w:pPr>
    </w:p>
    <w:bookmarkStart w:id="19" w:name="page20"/>
    <w:bookmarkEnd w:id="19"/>
    <w:p>
      <w:pPr>
        <w:ind w:right="240"/>
        <w:spacing w:after="0" w:line="256" w:lineRule="auto"/>
        <w:rPr>
          <w:sz w:val="20"/>
          <w:szCs w:val="20"/>
          <w:color w:val="auto"/>
        </w:rPr>
      </w:pPr>
      <w:r>
        <w:rPr>
          <w:rFonts w:ascii="Arial" w:cs="Arial" w:eastAsia="Arial" w:hAnsi="Arial"/>
          <w:sz w:val="18"/>
          <w:szCs w:val="18"/>
          <w:color w:val="auto"/>
        </w:rPr>
        <w:t>First quarter 2020 post sale gross margin of 40.8% decreased by 0.6-percentage points as compared to first quarter 2019 , reflecting the impact of lower revenues (primarily as a result of COVID-19 related business closures) and pricing pressure on contract renewals, partially offset by productivity and restructuring savings associated with our Project Own It transformation 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Development and Engineering Expenses (RD&amp;E)</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First quarter 2020 RD&amp;E as a percentage of revenue of 4.5% increased by 0.3-percentage points as compared to first quarter 2019 , due to the impact of revenues declines that outpaced the benefit of cost reductions.</w:t>
      </w:r>
    </w:p>
    <w:p>
      <w:pPr>
        <w:spacing w:after="0" w:line="90" w:lineRule="exact"/>
        <w:rPr>
          <w:sz w:val="20"/>
          <w:szCs w:val="20"/>
          <w:color w:val="auto"/>
        </w:rPr>
      </w:pPr>
    </w:p>
    <w:p>
      <w:pPr>
        <w:ind w:right="1880"/>
        <w:spacing w:after="0" w:line="344" w:lineRule="auto"/>
        <w:rPr>
          <w:sz w:val="20"/>
          <w:szCs w:val="20"/>
          <w:color w:val="auto"/>
        </w:rPr>
      </w:pPr>
      <w:r>
        <w:rPr>
          <w:rFonts w:ascii="Arial" w:cs="Arial" w:eastAsia="Arial" w:hAnsi="Arial"/>
          <w:sz w:val="18"/>
          <w:szCs w:val="18"/>
          <w:color w:val="auto"/>
        </w:rPr>
        <w:t xml:space="preserve">RD&amp;E of $ 84 million decreased $ 8 million as compared to first quarter 2019 partially reflecting timing of investments. </w:t>
      </w:r>
      <w:r>
        <w:rPr>
          <w:rFonts w:ascii="Arial" w:cs="Arial" w:eastAsia="Arial" w:hAnsi="Arial"/>
          <w:sz w:val="18"/>
          <w:szCs w:val="18"/>
          <w:i w:val="1"/>
          <w:iCs w:val="1"/>
          <w:u w:val="single" w:color="auto"/>
          <w:color w:val="auto"/>
        </w:rPr>
        <w:t>Selling, Administrative and General Expenses (SAG)</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SAG as a percentage of revenue of 29.1% increased by 4.1-percentage points as compared to first quarter 2019 , including a 3.3-percentage point unfavorable impact due to an increase in bad debt expense of $61 million reflecting the economic disruption resulting from the COVID-19 health crisis. The remainder of the increase is primarily driven by the effect of lower revenues, due to COVID-19 related business closures during the month of March that impacted our customers' purchasing decisions, and caused delayed installations and lower printing volumes on our devices. These headwinds were partially offset by the benefit from productivity and restructuring associated with our Project Own It transformation actions and from additional cost reduction actions, including lower compensation incentives and targeted marketing expenses, to mitigate the impact of the crisis.</w:t>
      </w:r>
    </w:p>
    <w:p>
      <w:pPr>
        <w:spacing w:after="0" w:line="15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global health crisis is expected to have a severe impact on economic activity and result in a significant contraction in the GDP’s of countries worldwide. As a result, our bad debt provision of $74 million increased by $61 million as compared to first quarter 2019, primarily reflecting the expected impact to our customer base and related outstanding receivable portfolio as a result of the economic disruption caused by this health crisis. Consistent with our expectations for our own business, our bad debt provision reflects a significant decrease in global GDPs in the second quarter 2020 followed by a recovery in the second half of 2020. It also reflects estimated impacts from potential requests for payment deferrals and delayed payments as businesses recover from the worldwide lockdowns. The majority of the increased provision is related to finance receivables due to their larger balance and longer-term nature. The increased provision resulted in a bad debt expense of approximately 2.5 percent of total receivables on a trailing-twelve-month basis (TTM), as compared to recent trends of less than one percent in 2019. Our estimates may be updated in future periods as we continue to monitor the development of this crisis, including expectations for lifting of business closures and mitigating government support actions.</w:t>
      </w:r>
    </w:p>
    <w:p>
      <w:pPr>
        <w:spacing w:after="0" w:line="15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SAG of $ 541 million decreased by $ 5 million as compared to first quarter 2019 , reflecting productivity and restructuring savings associated with our Project Own It transformation actions and from additional cost reduction actions, including lower compensation incentives and targeted marketing expenses, to mitigate the impact of the crisis. These savings were partially offset by the increase in bad debt expense as described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Related Costs</w:t>
      </w:r>
    </w:p>
    <w:p>
      <w:pPr>
        <w:spacing w:after="0" w:line="2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212121"/>
        </w:rPr>
        <w:t xml:space="preserve">We incurred restructuring and related costs of $ 41 million for the </w:t>
      </w:r>
      <w:r>
        <w:rPr>
          <w:rFonts w:ascii="Arial" w:cs="Arial" w:eastAsia="Arial" w:hAnsi="Arial"/>
          <w:sz w:val="18"/>
          <w:szCs w:val="18"/>
          <w:color w:val="000000"/>
        </w:rPr>
        <w:t>first</w:t>
      </w:r>
      <w:r>
        <w:rPr>
          <w:rFonts w:ascii="Arial" w:cs="Arial" w:eastAsia="Arial" w:hAnsi="Arial"/>
          <w:sz w:val="18"/>
          <w:szCs w:val="18"/>
          <w:color w:val="212121"/>
        </w:rPr>
        <w:t xml:space="preserve"> quarter </w:t>
      </w:r>
      <w:r>
        <w:rPr>
          <w:rFonts w:ascii="Arial" w:cs="Arial" w:eastAsia="Arial" w:hAnsi="Arial"/>
          <w:sz w:val="18"/>
          <w:szCs w:val="18"/>
          <w:color w:val="000000"/>
        </w:rPr>
        <w:t>2020</w:t>
      </w:r>
      <w:r>
        <w:rPr>
          <w:rFonts w:ascii="Arial" w:cs="Arial" w:eastAsia="Arial" w:hAnsi="Arial"/>
          <w:sz w:val="18"/>
          <w:szCs w:val="18"/>
          <w:color w:val="212121"/>
        </w:rPr>
        <w:t xml:space="preserve"> as compared to $112 million for first quarter 2019. These costs were primarily related to implementation of initiatives under our business transformation projects including Project Own It. The following is a breakdown of those costs: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2020</w:t>
            </w:r>
          </w:p>
        </w:tc>
        <w:tc>
          <w:tcPr>
            <w:tcW w:w="7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70"/>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 xml:space="preserve">Restructuring Severance </w:t>
            </w:r>
            <w:r>
              <w:rPr>
                <w:rFonts w:ascii="Arial" w:cs="Arial" w:eastAsia="Arial" w:hAnsi="Arial"/>
                <w:sz w:val="17"/>
                <w:szCs w:val="17"/>
                <w:color w:val="auto"/>
                <w:vertAlign w:val="superscript"/>
              </w:rPr>
              <w:t>(1)</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7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75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Asset Impairments </w:t>
            </w:r>
            <w:r>
              <w:rPr>
                <w:rFonts w:ascii="Arial" w:cs="Arial" w:eastAsia="Arial" w:hAnsi="Arial"/>
                <w:sz w:val="17"/>
                <w:szCs w:val="17"/>
                <w:color w:val="auto"/>
                <w:vertAlign w:val="superscript"/>
              </w:rPr>
              <w:t>(2)</w:t>
            </w:r>
          </w:p>
        </w:tc>
        <w:tc>
          <w:tcPr>
            <w:tcW w:w="420" w:type="dxa"/>
            <w:vAlign w:val="bottom"/>
            <w:shd w:val="clear" w:color="auto" w:fill="E5E5E5"/>
          </w:tcPr>
          <w:p>
            <w:pPr>
              <w:spacing w:after="0"/>
              <w:rPr>
                <w:sz w:val="23"/>
                <w:szCs w:val="23"/>
                <w:color w:val="auto"/>
              </w:rPr>
            </w:pPr>
          </w:p>
        </w:tc>
        <w:tc>
          <w:tcPr>
            <w:tcW w:w="14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w:t>
            </w:r>
          </w:p>
        </w:tc>
        <w:tc>
          <w:tcPr>
            <w:tcW w:w="740" w:type="dxa"/>
            <w:vAlign w:val="bottom"/>
            <w:shd w:val="clear" w:color="auto" w:fill="E5E5E5"/>
          </w:tcPr>
          <w:p>
            <w:pPr>
              <w:spacing w:after="0"/>
              <w:rPr>
                <w:sz w:val="23"/>
                <w:szCs w:val="23"/>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0"/>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 xml:space="preserve">Other contractual termination costs </w:t>
            </w:r>
            <w:r>
              <w:rPr>
                <w:rFonts w:ascii="Arial" w:cs="Arial" w:eastAsia="Arial" w:hAnsi="Arial"/>
                <w:sz w:val="17"/>
                <w:szCs w:val="17"/>
                <w:color w:val="auto"/>
                <w:vertAlign w:val="superscript"/>
              </w:rPr>
              <w:t>(3)</w:t>
            </w:r>
          </w:p>
        </w:tc>
        <w:tc>
          <w:tcPr>
            <w:tcW w:w="420" w:type="dxa"/>
            <w:vAlign w:val="bottom"/>
          </w:tcPr>
          <w:p>
            <w:pPr>
              <w:spacing w:after="0"/>
              <w:rPr>
                <w:sz w:val="23"/>
                <w:szCs w:val="23"/>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7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75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Net reversals </w:t>
            </w:r>
            <w:r>
              <w:rPr>
                <w:rFonts w:ascii="Arial" w:cs="Arial" w:eastAsia="Arial" w:hAnsi="Arial"/>
                <w:sz w:val="17"/>
                <w:szCs w:val="17"/>
                <w:color w:val="auto"/>
                <w:vertAlign w:val="superscript"/>
              </w:rPr>
              <w:t>(4)</w:t>
            </w:r>
          </w:p>
        </w:tc>
        <w:tc>
          <w:tcPr>
            <w:tcW w:w="420" w:type="dxa"/>
            <w:vAlign w:val="bottom"/>
            <w:tcBorders>
              <w:bottom w:val="single" w:sz="8" w:color="auto"/>
            </w:tcBorders>
            <w:shd w:val="clear" w:color="auto" w:fill="E5E5E5"/>
          </w:tcPr>
          <w:p>
            <w:pPr>
              <w:spacing w:after="0"/>
              <w:rPr>
                <w:sz w:val="23"/>
                <w:szCs w:val="23"/>
                <w:color w:val="auto"/>
              </w:rPr>
            </w:pPr>
          </w:p>
        </w:tc>
        <w:tc>
          <w:tcPr>
            <w:tcW w:w="14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w:t>
            </w:r>
          </w:p>
        </w:tc>
        <w:tc>
          <w:tcPr>
            <w:tcW w:w="740" w:type="dxa"/>
            <w:vAlign w:val="bottom"/>
            <w:tcBorders>
              <w:bottom w:val="single" w:sz="8" w:color="auto"/>
            </w:tcBorders>
            <w:shd w:val="clear" w:color="auto" w:fill="E5E5E5"/>
          </w:tcPr>
          <w:p>
            <w:pPr>
              <w:spacing w:after="0"/>
              <w:rPr>
                <w:sz w:val="23"/>
                <w:szCs w:val="23"/>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7"/>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Restructuring and asset impairment costs</w:t>
            </w:r>
          </w:p>
        </w:tc>
        <w:tc>
          <w:tcPr>
            <w:tcW w:w="42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7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6"/>
        </w:trPr>
        <w:tc>
          <w:tcPr>
            <w:tcW w:w="75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Retention related severance/bonuses </w:t>
            </w:r>
            <w:r>
              <w:rPr>
                <w:rFonts w:ascii="Arial" w:cs="Arial" w:eastAsia="Arial" w:hAnsi="Arial"/>
                <w:sz w:val="17"/>
                <w:szCs w:val="17"/>
                <w:color w:val="auto"/>
                <w:vertAlign w:val="superscript"/>
              </w:rPr>
              <w:t>(5)</w:t>
            </w:r>
          </w:p>
        </w:tc>
        <w:tc>
          <w:tcPr>
            <w:tcW w:w="420" w:type="dxa"/>
            <w:vAlign w:val="bottom"/>
            <w:shd w:val="clear" w:color="auto" w:fill="E5E5E5"/>
          </w:tcPr>
          <w:p>
            <w:pPr>
              <w:spacing w:after="0"/>
              <w:rPr>
                <w:sz w:val="24"/>
                <w:szCs w:val="24"/>
                <w:color w:val="auto"/>
              </w:rPr>
            </w:pPr>
          </w:p>
        </w:tc>
        <w:tc>
          <w:tcPr>
            <w:tcW w:w="14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7</w:t>
            </w:r>
          </w:p>
        </w:tc>
        <w:tc>
          <w:tcPr>
            <w:tcW w:w="740" w:type="dxa"/>
            <w:vAlign w:val="bottom"/>
            <w:shd w:val="clear" w:color="auto" w:fill="E5E5E5"/>
          </w:tcPr>
          <w:p>
            <w:pPr>
              <w:spacing w:after="0"/>
              <w:rPr>
                <w:sz w:val="24"/>
                <w:szCs w:val="24"/>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7560" w:type="dxa"/>
            <w:vAlign w:val="bottom"/>
            <w:gridSpan w:val="2"/>
          </w:tcPr>
          <w:p>
            <w:pPr>
              <w:ind w:left="40"/>
              <w:spacing w:after="0"/>
              <w:rPr>
                <w:sz w:val="20"/>
                <w:szCs w:val="20"/>
                <w:color w:val="auto"/>
              </w:rPr>
            </w:pPr>
            <w:r>
              <w:rPr>
                <w:rFonts w:ascii="Arial" w:cs="Arial" w:eastAsia="Arial" w:hAnsi="Arial"/>
                <w:sz w:val="14"/>
                <w:szCs w:val="14"/>
                <w:color w:val="auto"/>
              </w:rPr>
              <w:t xml:space="preserve">Contractual severance costs </w:t>
            </w:r>
            <w:r>
              <w:rPr>
                <w:rFonts w:ascii="Arial" w:cs="Arial" w:eastAsia="Arial" w:hAnsi="Arial"/>
                <w:sz w:val="17"/>
                <w:szCs w:val="17"/>
                <w:color w:val="auto"/>
                <w:vertAlign w:val="superscript"/>
              </w:rPr>
              <w:t>(6)</w:t>
            </w:r>
          </w:p>
        </w:tc>
        <w:tc>
          <w:tcPr>
            <w:tcW w:w="420" w:type="dxa"/>
            <w:vAlign w:val="bottom"/>
          </w:tcPr>
          <w:p>
            <w:pPr>
              <w:spacing w:after="0"/>
              <w:rPr>
                <w:sz w:val="23"/>
                <w:szCs w:val="23"/>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7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75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Consulting and other costs </w:t>
            </w:r>
            <w:r>
              <w:rPr>
                <w:rFonts w:ascii="Arial" w:cs="Arial" w:eastAsia="Arial" w:hAnsi="Arial"/>
                <w:sz w:val="17"/>
                <w:szCs w:val="17"/>
                <w:color w:val="auto"/>
                <w:vertAlign w:val="superscript"/>
              </w:rPr>
              <w:t>(7)</w:t>
            </w:r>
          </w:p>
        </w:tc>
        <w:tc>
          <w:tcPr>
            <w:tcW w:w="420" w:type="dxa"/>
            <w:vAlign w:val="bottom"/>
            <w:tcBorders>
              <w:bottom w:val="single" w:sz="8" w:color="auto"/>
            </w:tcBorders>
            <w:shd w:val="clear" w:color="auto" w:fill="E5E5E5"/>
          </w:tcPr>
          <w:p>
            <w:pPr>
              <w:spacing w:after="0"/>
              <w:rPr>
                <w:sz w:val="23"/>
                <w:szCs w:val="23"/>
                <w:color w:val="auto"/>
              </w:rPr>
            </w:pPr>
          </w:p>
        </w:tc>
        <w:tc>
          <w:tcPr>
            <w:tcW w:w="14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w:t>
            </w:r>
          </w:p>
        </w:tc>
        <w:tc>
          <w:tcPr>
            <w:tcW w:w="740" w:type="dxa"/>
            <w:vAlign w:val="bottom"/>
            <w:tcBorders>
              <w:bottom w:val="single" w:sz="8" w:color="auto"/>
            </w:tcBorders>
            <w:shd w:val="clear" w:color="auto" w:fill="E5E5E5"/>
          </w:tcPr>
          <w:p>
            <w:pPr>
              <w:spacing w:after="0"/>
              <w:rPr>
                <w:sz w:val="23"/>
                <w:szCs w:val="23"/>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3"/>
        </w:trPr>
        <w:tc>
          <w:tcPr>
            <w:tcW w:w="75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7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4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Reflects headcount reductions of approximately 300 and 150 employees worldwide in first quarter of 2020 and 2019,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ind w:left="340" w:right="100" w:hanging="332"/>
        <w:spacing w:after="0" w:line="226" w:lineRule="auto"/>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Primarily related to the exit and abandonment of leased and owned facilities. The charge includes the accelerated write-off of $1 million and $26 million for leased right-of-use assets and $1 million and $10 million for owned assets upon exit from the facilities net of any potential sublease income and other recoveries in first quarter of 2020 and 2019, respectively.</w:t>
      </w:r>
    </w:p>
    <w:p>
      <w:pPr>
        <w:spacing w:after="0" w:line="1" w:lineRule="exact"/>
        <w:rPr>
          <w:rFonts w:ascii="Arial" w:cs="Arial" w:eastAsia="Arial" w:hAnsi="Arial"/>
          <w:sz w:val="18"/>
          <w:szCs w:val="18"/>
          <w:i w:val="1"/>
          <w:iCs w:val="1"/>
          <w:color w:val="auto"/>
          <w:vertAlign w:val="superscript"/>
        </w:rPr>
      </w:pPr>
    </w:p>
    <w:p>
      <w:pPr>
        <w:ind w:left="340" w:hanging="332"/>
        <w:spacing w:after="0" w:line="187" w:lineRule="auto"/>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Primarily include additional costs incurred upon the exit from our facilities including decommissioning costs and associated contractual termination costs.</w:t>
      </w:r>
    </w:p>
    <w:p>
      <w:pPr>
        <w:ind w:left="340" w:hanging="332"/>
        <w:spacing w:after="0" w:line="187" w:lineRule="auto"/>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Reflects net reversals for changes in estimated reserves from prior period initiatives.</w:t>
      </w:r>
    </w:p>
    <w:p>
      <w:pPr>
        <w:ind w:left="340" w:hanging="332"/>
        <w:spacing w:after="0" w:line="187" w:lineRule="auto"/>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retention related severance and bonuses for employees expected to continue working beyond their minimum notification period before termination.</w:t>
      </w:r>
    </w:p>
    <w:p>
      <w:pPr>
        <w:ind w:left="340" w:right="20" w:hanging="332"/>
        <w:spacing w:after="0" w:line="211" w:lineRule="auto"/>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First quarter 2019 primarily reflects severance and other related costs we were contractually required to pay in connection with employees transferred as part of the shared service arrangement entered into with HCL Technologies in first quarter 2019.</w:t>
      </w:r>
    </w:p>
    <w:p>
      <w:pPr>
        <w:ind w:left="340" w:hanging="332"/>
        <w:spacing w:after="0" w:line="199" w:lineRule="auto"/>
        <w:tabs>
          <w:tab w:leader="none" w:pos="340"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professional support services associated with our business transformation initiatives.</w:t>
      </w:r>
    </w:p>
    <w:p>
      <w:pPr>
        <w:spacing w:after="0" w:line="20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First quarter 2020 actions impacted several functional areas, with approximately 40% focused on gross margin improvements, approximately 50% focused on SAG reductions, and the remainder focused on RD&amp;E optimization.</w:t>
      </w:r>
    </w:p>
    <w:p>
      <w:pPr>
        <w:spacing w:after="0" w:line="90" w:lineRule="exact"/>
        <w:rPr>
          <w:sz w:val="20"/>
          <w:szCs w:val="20"/>
          <w:color w:val="auto"/>
        </w:rPr>
      </w:pPr>
    </w:p>
    <w:p>
      <w:pPr>
        <w:ind w:right="1200"/>
        <w:spacing w:after="0" w:line="261" w:lineRule="auto"/>
        <w:rPr>
          <w:sz w:val="20"/>
          <w:szCs w:val="20"/>
          <w:color w:val="auto"/>
        </w:rPr>
      </w:pPr>
      <w:r>
        <w:rPr>
          <w:rFonts w:ascii="Arial" w:cs="Arial" w:eastAsia="Arial" w:hAnsi="Arial"/>
          <w:sz w:val="18"/>
          <w:szCs w:val="18"/>
          <w:color w:val="auto"/>
        </w:rPr>
        <w:t>First quarter 2019 actions impacted several functional areas, with approximately 25% focused on gross margin improvements, approximately 70% focused on SAG reductions, and the remainder focused on RD&amp;E optimization.</w:t>
      </w:r>
    </w:p>
    <w:p>
      <w:pPr>
        <w:spacing w:after="0" w:line="9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restructuring and related costs reserve balance as of March 31, 2020 for all programs was $113 million, which is expected to be paid over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and Related Costs, Net</w:t>
      </w:r>
    </w:p>
    <w:p>
      <w:pPr>
        <w:spacing w:after="0" w:line="2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incurred $ 17 million of Transaction and related costs, net during first quarter 2020 primarily related to legal and other professional costs associated with our recently terminated proposal to acquire HP Inc. (see the “Termination of Proposed Transaction with HP Inc.” section for further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2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First quarter 2020 Amortization of intangible assets of $ 11 million decreased by $4 million compared to first quarter 2019 as a result of the write-off of trade names in prior periods associated with our realignment and consolidation of certain XBS sales units as part of Project Own It transformation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Worldwide Employment</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Worldwide employment was approximately 26,300 as of March 31, 2020 and decreased by approximately 700 from December 31, 2019. The reduction resulted from net attrition (attrition net of gross hires), of which a large portion is not expected to be backfilled, as well as the impact of organizational changes.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Other Expenses, Net</w:t>
      </w:r>
    </w:p>
    <w:p>
      <w:pPr>
        <w:spacing w:after="0" w:line="194" w:lineRule="exact"/>
        <w:rPr>
          <w:sz w:val="20"/>
          <w:szCs w:val="20"/>
          <w:color w:val="auto"/>
        </w:rPr>
      </w:pPr>
    </w:p>
    <w:p>
      <w:pPr>
        <w:ind w:left="880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March 31,</w:t>
            </w:r>
          </w:p>
        </w:tc>
        <w:tc>
          <w:tcPr>
            <w:tcW w:w="1200" w:type="dxa"/>
            <w:vAlign w:val="bottom"/>
            <w:tcBorders>
              <w:bottom w:val="single" w:sz="8" w:color="auto"/>
            </w:tcBorders>
          </w:tcPr>
          <w:p>
            <w:pPr>
              <w:spacing w:after="0"/>
              <w:rPr>
                <w:sz w:val="15"/>
                <w:szCs w:val="15"/>
                <w:color w:val="auto"/>
              </w:rPr>
            </w:pPr>
          </w:p>
        </w:tc>
      </w:tr>
      <w:tr>
        <w:trPr>
          <w:trHeight w:val="263"/>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2019</w:t>
            </w:r>
          </w:p>
        </w:tc>
      </w:tr>
      <w:tr>
        <w:trPr>
          <w:trHeight w:val="256"/>
        </w:trPr>
        <w:tc>
          <w:tcPr>
            <w:tcW w:w="7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Non-financing interest expense</w:t>
            </w: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E5E5E5"/>
          </w:tcPr>
          <w:p>
            <w:pPr>
              <w:spacing w:after="0"/>
              <w:rPr>
                <w:sz w:val="22"/>
                <w:szCs w:val="22"/>
                <w:color w:val="auto"/>
              </w:rPr>
            </w:pPr>
          </w:p>
        </w:tc>
        <w:tc>
          <w:tcPr>
            <w:tcW w:w="46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28</w:t>
            </w:r>
          </w:p>
        </w:tc>
      </w:tr>
      <w:tr>
        <w:trPr>
          <w:trHeight w:val="264"/>
        </w:trPr>
        <w:tc>
          <w:tcPr>
            <w:tcW w:w="776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w:t>
            </w:r>
          </w:p>
        </w:tc>
      </w:tr>
      <w:tr>
        <w:trPr>
          <w:trHeight w:val="276"/>
        </w:trPr>
        <w:tc>
          <w:tcPr>
            <w:tcW w:w="7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E5E5E5"/>
          </w:tcPr>
          <w:p>
            <w:pPr>
              <w:spacing w:after="0"/>
              <w:rPr>
                <w:sz w:val="24"/>
                <w:szCs w:val="24"/>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E5E5E5"/>
          </w:tcPr>
          <w:p>
            <w:pPr>
              <w:spacing w:after="0"/>
              <w:rPr>
                <w:sz w:val="24"/>
                <w:szCs w:val="24"/>
                <w:color w:val="auto"/>
              </w:rPr>
            </w:pPr>
          </w:p>
        </w:tc>
        <w:tc>
          <w:tcPr>
            <w:tcW w:w="460" w:type="dxa"/>
            <w:vAlign w:val="bottom"/>
            <w:shd w:val="clear" w:color="auto" w:fill="E5E5E5"/>
          </w:tcPr>
          <w:p>
            <w:pPr>
              <w:spacing w:after="0"/>
              <w:rPr>
                <w:sz w:val="24"/>
                <w:szCs w:val="24"/>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7760" w:type="dxa"/>
            <w:vAlign w:val="bottom"/>
            <w:gridSpan w:val="2"/>
          </w:tcPr>
          <w:p>
            <w:pPr>
              <w:ind w:left="40"/>
              <w:spacing w:after="0"/>
              <w:rPr>
                <w:sz w:val="20"/>
                <w:szCs w:val="20"/>
                <w:color w:val="auto"/>
              </w:rPr>
            </w:pPr>
            <w:r>
              <w:rPr>
                <w:rFonts w:ascii="Arial" w:cs="Arial" w:eastAsia="Arial" w:hAnsi="Arial"/>
                <w:sz w:val="14"/>
                <w:szCs w:val="14"/>
                <w:color w:val="auto"/>
              </w:rPr>
              <w:t>Gains on sales of businesses and assets</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7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Contract termination costs - IT services</w:t>
            </w:r>
          </w:p>
        </w:tc>
        <w:tc>
          <w:tcPr>
            <w:tcW w:w="400" w:type="dxa"/>
            <w:vAlign w:val="bottom"/>
            <w:shd w:val="clear" w:color="auto" w:fill="E5E5E5"/>
          </w:tcPr>
          <w:p>
            <w:pPr>
              <w:spacing w:after="0"/>
              <w:rPr>
                <w:sz w:val="24"/>
                <w:szCs w:val="24"/>
                <w:color w:val="auto"/>
              </w:rPr>
            </w:pPr>
          </w:p>
        </w:tc>
        <w:tc>
          <w:tcPr>
            <w:tcW w:w="12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24"/>
                <w:szCs w:val="24"/>
                <w:color w:val="auto"/>
              </w:rPr>
            </w:pPr>
          </w:p>
        </w:tc>
        <w:tc>
          <w:tcPr>
            <w:tcW w:w="460" w:type="dxa"/>
            <w:vAlign w:val="bottom"/>
            <w:shd w:val="clear" w:color="auto" w:fill="E5E5E5"/>
          </w:tcPr>
          <w:p>
            <w:pPr>
              <w:spacing w:after="0"/>
              <w:rPr>
                <w:sz w:val="24"/>
                <w:szCs w:val="24"/>
                <w:color w:val="auto"/>
              </w:rPr>
            </w:pPr>
          </w:p>
        </w:tc>
        <w:tc>
          <w:tcPr>
            <w:tcW w:w="12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760" w:type="dxa"/>
            <w:vAlign w:val="bottom"/>
            <w:gridSpan w:val="2"/>
          </w:tcPr>
          <w:p>
            <w:pPr>
              <w:ind w:left="40"/>
              <w:spacing w:after="0"/>
              <w:rPr>
                <w:sz w:val="20"/>
                <w:szCs w:val="20"/>
                <w:color w:val="auto"/>
              </w:rPr>
            </w:pPr>
            <w:r>
              <w:rPr>
                <w:rFonts w:ascii="Arial" w:cs="Arial" w:eastAsia="Arial" w:hAnsi="Arial"/>
                <w:sz w:val="14"/>
                <w:szCs w:val="14"/>
                <w:color w:val="auto"/>
              </w:rPr>
              <w:t>Currency losses, net</w:t>
            </w: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w:t>
            </w:r>
          </w:p>
        </w:tc>
      </w:tr>
      <w:tr>
        <w:trPr>
          <w:trHeight w:val="276"/>
        </w:trPr>
        <w:tc>
          <w:tcPr>
            <w:tcW w:w="7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Loss on sales of accounts receivable</w:t>
            </w:r>
          </w:p>
        </w:tc>
        <w:tc>
          <w:tcPr>
            <w:tcW w:w="400" w:type="dxa"/>
            <w:vAlign w:val="bottom"/>
            <w:shd w:val="clear" w:color="auto" w:fill="E5E5E5"/>
          </w:tcPr>
          <w:p>
            <w:pPr>
              <w:spacing w:after="0"/>
              <w:rPr>
                <w:sz w:val="24"/>
                <w:szCs w:val="24"/>
                <w:color w:val="auto"/>
              </w:rPr>
            </w:pPr>
          </w:p>
        </w:tc>
        <w:tc>
          <w:tcPr>
            <w:tcW w:w="140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spacing w:after="0"/>
              <w:rPr>
                <w:sz w:val="24"/>
                <w:szCs w:val="24"/>
                <w:color w:val="auto"/>
              </w:rPr>
            </w:pPr>
          </w:p>
        </w:tc>
        <w:tc>
          <w:tcPr>
            <w:tcW w:w="12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w:t>
            </w:r>
          </w:p>
        </w:tc>
      </w:tr>
      <w:tr>
        <w:trPr>
          <w:trHeight w:val="264"/>
        </w:trPr>
        <w:tc>
          <w:tcPr>
            <w:tcW w:w="77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All other expenses, net</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E5E5E5"/>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43"/>
        </w:trPr>
        <w:tc>
          <w:tcPr>
            <w:tcW w:w="776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Other expenses, net</w:t>
            </w:r>
          </w:p>
        </w:tc>
        <w:tc>
          <w:tcPr>
            <w:tcW w:w="40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E5E5E5"/>
            </w:tcBorders>
            <w:shd w:val="clear" w:color="auto" w:fill="E5E5E5"/>
          </w:tcPr>
          <w:p>
            <w:pPr>
              <w:spacing w:after="0"/>
              <w:rPr>
                <w:sz w:val="21"/>
                <w:szCs w:val="21"/>
                <w:color w:val="auto"/>
              </w:rPr>
            </w:pPr>
          </w:p>
        </w:tc>
        <w:tc>
          <w:tcPr>
            <w:tcW w:w="460" w:type="dxa"/>
            <w:vAlign w:val="bottom"/>
            <w:tcBorders>
              <w:bottom w:val="single" w:sz="8" w:color="auto"/>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39</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Non-financing interest expense</w:t>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First quarter 2020 non-financing interest expense of $21 million was $ 7 million lower than first quarter 2019 . When combined with financing interest expense (Cost of financing), total interest expense decreased by $9 million from first quarter 2019 primarily due to a lower debt balance.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Non-service retirement-related costs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First quarter 2020 non-service retirement-related costs were $12 million lower than first quarter 2019 , primarily driven by lower losses from pension settlements in the U.S.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First quarter 2020 interest income was $4 million higher than first quarter 2019, primarily reflecting interest on a higher cash balance as a result of cash proceeds received from the sales of our indirect 25% equity interest in Fuji Xerox Co., Ltd. ("FX") and indirect 51% partnership interest in Xerox International Partners ("XIP") completed in fourth quarter 2019, partially offset by lower market interest rates.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Income Taxes</w:t>
      </w:r>
    </w:p>
    <w:p>
      <w:pPr>
        <w:spacing w:after="0" w:line="1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First quarter 2020 effective tax rate was 20.0% . On an adjusted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first quarter 2020 effective tax rate was 29.4% . This rate was higher than the U.S. federal statutory tax rate of 21% primarily due to state taxes and the geographical mix of profits as well as the increased impact from various non-deductible and discrete items on lower pre-tax income. The adjusted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11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 xml:space="preserve">First quarter 2019 effective tax rate was (13.7)% and included a benefit of $35 million related to the January 2019 finalization of regulations that govern the repatriation tax from the 2017 Tax Cuts and Jobs Act (the "Tax Act"). On an adjusted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first quarter 2019 effective tax rate was 26.3% . This rate was higher than the U.S. federal statutory tax rate of 21% primarily due to the geographical mix of profits. The adjusted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and non-service retirement-related costs as well as other discrete, unusual or infrequent items as described in our Non-GAAP Financial Measures section, which includes the impact of the Tax Act.</w:t>
      </w:r>
    </w:p>
    <w:p>
      <w:pPr>
        <w:spacing w:after="0" w:line="10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spacing w:after="0" w:line="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Effective Tax Rate reconciliation table in the "Non-GAAP Financial Measures" section.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Net (Loss) Income from Continuing Operations</w:t>
      </w:r>
    </w:p>
    <w:p>
      <w:pPr>
        <w:spacing w:after="0" w:line="20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 xml:space="preserve">First quarter 2020 net loss from continuing operations attributable to Xerox Holdings was $ 2 million , or $(0.03) per diluted share. On an adjusted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Holdings was $ 50 million , or $0.21 per diluted share and included the impact of a $61 million pre-tax increase in bad debt expense (approximately $43 million after-tax) as compared to first quarter 2019, primarily reflecting the expected impact to our customer base and related outstanding receivable portfolio as a result of the economic disruption caused by the COVID-19 health crisis. First quarter 2020 adjustments to net loss from continuing operations included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10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 xml:space="preserve">First quarter 2019 net income from continuing operations attributable to Xerox Holdings was $84 million , or $0.34 per diluted share. On an adjusted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Holdings was $158 million , or $0.66 per diluted share and included adjustments for Restructuring and related costs, Amortization of intangible assets and non-service retirement-related costs, as well as other discrete, unusual or infrequent items as described in our Non-GAAP Financial Measures section.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8" w:lineRule="exact"/>
        <w:rPr>
          <w:sz w:val="20"/>
          <w:szCs w:val="20"/>
          <w:color w:val="auto"/>
        </w:rPr>
      </w:pPr>
    </w:p>
    <w:p>
      <w:pPr>
        <w:ind w:left="340" w:right="20" w:hanging="332"/>
        <w:spacing w:after="0" w:line="259" w:lineRule="auto"/>
        <w:tabs>
          <w:tab w:leader="none" w:pos="3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"Non-GAAP Financial Measures" section for the calculation of adjusted EPS. The calculations of basic and diluted earnings per share are included in Appendix I.</w:t>
      </w:r>
    </w:p>
    <w:p>
      <w:pPr>
        <w:spacing w:after="0" w:line="318"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Discontinued Operations</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November 2019, Xerox Holdings completed a series of transactions to restructure its relationship with FUJIFILM Holdings Corporation (“FH”), including the sale of its indirect 25% equity interest in Fuji Xerox Co., Ltd. ("FX") for approximately $2.2 billion as well as the sale of its indirect 51% partnership interest in Xerox International Partners ("XIP") for approximately $23 million (collectively the “Sales”). As a result of the Sales and the related strategic shift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2" w:name="page23"/>
    <w:bookmarkEnd w:id="22"/>
    <w:p>
      <w:pPr>
        <w:ind w:right="160"/>
        <w:spacing w:after="0" w:line="256" w:lineRule="auto"/>
        <w:rPr>
          <w:sz w:val="20"/>
          <w:szCs w:val="20"/>
          <w:color w:val="auto"/>
        </w:rPr>
      </w:pPr>
      <w:r>
        <w:rPr>
          <w:rFonts w:ascii="Arial" w:cs="Arial" w:eastAsia="Arial" w:hAnsi="Arial"/>
          <w:sz w:val="18"/>
          <w:szCs w:val="18"/>
          <w:color w:val="auto"/>
        </w:rPr>
        <w:t>in our business, the historical financial results of our equity method investment in FX and our XIP business (which was consolidated) for the periods prior to the Sales are reflected as a discontinued operation and as such, their impact is excluded from continuing operations for all periods presented.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our Discontinued operations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60" w:type="dxa"/>
            <w:vAlign w:val="bottom"/>
            <w:gridSpan w:val="3"/>
          </w:tcPr>
          <w:p>
            <w:pPr>
              <w:ind w:left="820"/>
              <w:spacing w:after="0"/>
              <w:rPr>
                <w:sz w:val="20"/>
                <w:szCs w:val="20"/>
                <w:color w:val="auto"/>
              </w:rPr>
            </w:pPr>
            <w:r>
              <w:rPr>
                <w:rFonts w:ascii="Arial" w:cs="Arial" w:eastAsia="Arial" w:hAnsi="Arial"/>
                <w:sz w:val="14"/>
                <w:szCs w:val="14"/>
                <w:color w:val="auto"/>
              </w:rPr>
              <w:t>Three Months Ended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color w:val="auto"/>
              </w:rPr>
              <w:t>March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E5E5E5"/>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42"/>
        </w:trPr>
        <w:tc>
          <w:tcPr>
            <w:tcW w:w="73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Revenue</w:t>
            </w:r>
          </w:p>
        </w:tc>
        <w:tc>
          <w:tcPr>
            <w:tcW w:w="46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E5E5E5"/>
          </w:tcPr>
          <w:p>
            <w:pPr>
              <w:ind w:left="1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720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Income from operations </w:t>
            </w:r>
            <w:r>
              <w:rPr>
                <w:rFonts w:ascii="Arial" w:cs="Arial" w:eastAsia="Arial" w:hAnsi="Arial"/>
                <w:sz w:val="17"/>
                <w:szCs w:val="17"/>
                <w:color w:val="auto"/>
                <w:vertAlign w:val="superscript"/>
              </w:rPr>
              <w:t>(1)</w:t>
            </w:r>
          </w:p>
        </w:tc>
        <w:tc>
          <w:tcPr>
            <w:tcW w:w="46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E5E5E5"/>
          </w:tcPr>
          <w:p>
            <w:pPr>
              <w:ind w:left="1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23"/>
                <w:szCs w:val="23"/>
                <w:color w:val="auto"/>
              </w:rPr>
            </w:pPr>
          </w:p>
        </w:tc>
        <w:tc>
          <w:tcPr>
            <w:tcW w:w="700" w:type="dxa"/>
            <w:vAlign w:val="bottom"/>
            <w:tcBorders>
              <w:bottom w:val="single" w:sz="8" w:color="auto"/>
            </w:tcBorders>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44"/>
        </w:trPr>
        <w:tc>
          <w:tcPr>
            <w:tcW w:w="732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460" w:type="dxa"/>
            <w:vAlign w:val="bottom"/>
          </w:tcPr>
          <w:p>
            <w:pPr>
              <w:spacing w:after="0"/>
              <w:rPr>
                <w:sz w:val="21"/>
                <w:szCs w:val="21"/>
                <w:color w:val="auto"/>
              </w:rPr>
            </w:pPr>
          </w:p>
        </w:tc>
        <w:tc>
          <w:tcPr>
            <w:tcW w:w="156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6"/>
        </w:trPr>
        <w:tc>
          <w:tcPr>
            <w:tcW w:w="73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Income tax expense</w:t>
            </w:r>
          </w:p>
        </w:tc>
        <w:tc>
          <w:tcPr>
            <w:tcW w:w="460" w:type="dxa"/>
            <w:vAlign w:val="bottom"/>
            <w:tcBorders>
              <w:bottom w:val="single" w:sz="8" w:color="auto"/>
            </w:tcBorders>
            <w:shd w:val="clear" w:color="auto" w:fill="E5E5E5"/>
          </w:tcPr>
          <w:p>
            <w:pPr>
              <w:spacing w:after="0"/>
              <w:rPr>
                <w:sz w:val="24"/>
                <w:szCs w:val="24"/>
                <w:color w:val="auto"/>
              </w:rPr>
            </w:pPr>
          </w:p>
        </w:tc>
        <w:tc>
          <w:tcPr>
            <w:tcW w:w="1460" w:type="dxa"/>
            <w:vAlign w:val="bottom"/>
            <w:tcBorders>
              <w:bottom w:val="single" w:sz="8" w:color="auto"/>
            </w:tcBorders>
            <w:shd w:val="clear" w:color="auto" w:fill="E5E5E5"/>
          </w:tcPr>
          <w:p>
            <w:pPr>
              <w:ind w:left="1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spacing w:after="0"/>
              <w:rPr>
                <w:sz w:val="24"/>
                <w:szCs w:val="24"/>
                <w:color w:val="auto"/>
              </w:rPr>
            </w:pPr>
          </w:p>
        </w:tc>
        <w:tc>
          <w:tcPr>
            <w:tcW w:w="12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4"/>
        </w:trPr>
        <w:tc>
          <w:tcPr>
            <w:tcW w:w="732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from discontinued operations, net of tax</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73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Income from discontinued operations attributable to noncontrolling interests, net of tax</w:t>
            </w:r>
          </w:p>
        </w:tc>
        <w:tc>
          <w:tcPr>
            <w:tcW w:w="460" w:type="dxa"/>
            <w:vAlign w:val="bottom"/>
            <w:tcBorders>
              <w:bottom w:val="single" w:sz="8" w:color="auto"/>
            </w:tcBorders>
            <w:shd w:val="clear" w:color="auto" w:fill="E5E5E5"/>
          </w:tcPr>
          <w:p>
            <w:pPr>
              <w:spacing w:after="0"/>
              <w:rPr>
                <w:sz w:val="24"/>
                <w:szCs w:val="24"/>
                <w:color w:val="auto"/>
              </w:rPr>
            </w:pPr>
          </w:p>
        </w:tc>
        <w:tc>
          <w:tcPr>
            <w:tcW w:w="1460" w:type="dxa"/>
            <w:vAlign w:val="bottom"/>
            <w:tcBorders>
              <w:bottom w:val="single" w:sz="8" w:color="auto"/>
            </w:tcBorders>
            <w:shd w:val="clear" w:color="auto" w:fill="E5E5E5"/>
          </w:tcPr>
          <w:p>
            <w:pPr>
              <w:ind w:left="1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spacing w:after="0"/>
              <w:rPr>
                <w:sz w:val="24"/>
                <w:szCs w:val="24"/>
                <w:color w:val="auto"/>
              </w:rPr>
            </w:pPr>
          </w:p>
        </w:tc>
        <w:tc>
          <w:tcPr>
            <w:tcW w:w="12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37"/>
        </w:trPr>
        <w:tc>
          <w:tcPr>
            <w:tcW w:w="732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from discontinued operations, attributable to Xerox Holdings, net of tax</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6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equity income from FX of $43 million for the Three Months Ended March 31, 2019.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spacing w:after="0"/>
        <w:rPr>
          <w:sz w:val="20"/>
          <w:szCs w:val="20"/>
          <w:color w:val="auto"/>
        </w:rPr>
      </w:pPr>
      <w:r>
        <w:rPr>
          <w:rFonts w:ascii="Arial" w:cs="Arial" w:eastAsia="Arial" w:hAnsi="Arial"/>
          <w:sz w:val="25"/>
          <w:szCs w:val="25"/>
          <w:b w:val="1"/>
          <w:bCs w:val="1"/>
          <w:color w:val="DA2031"/>
        </w:rPr>
        <w:t>Capital Resources and Liquidity</w:t>
      </w:r>
    </w:p>
    <w:p>
      <w:pPr>
        <w:spacing w:after="0" w:line="25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first quarter financial results were significantly impacted by COVID-19 related business closures during the month of March that impacted our customers' purchasing decisions and caused delayed installations and lower printing volumes on our devices. However, we believe we have sufficient liquidity to manage the business through the economic disruption caused by this health crisis:</w:t>
      </w:r>
    </w:p>
    <w:p>
      <w:pPr>
        <w:spacing w:after="0" w:line="94" w:lineRule="exact"/>
        <w:rPr>
          <w:sz w:val="20"/>
          <w:szCs w:val="20"/>
          <w:color w:val="auto"/>
        </w:rPr>
      </w:pPr>
    </w:p>
    <w:p>
      <w:pPr>
        <w:ind w:left="340" w:right="100" w:hanging="332"/>
        <w:spacing w:after="0" w:line="26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majority of our business is contractually based and our bundled services contracts, on average, include not only a variable component linked to print volumes, but also a fixed minimum, which provides us with a continuing stream of operating cash flow.</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March 31, 2020, total cash, cash equivalents and restricted cash were $2,665 million and was readily accessible for use.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access to an undrawn $1.8 billion Credit Facility that matures in August 2022.</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expect to be able to utilize a combination of cash on hand, capital markets and securitization to manage debt maturities during 2020.</w:t>
      </w:r>
    </w:p>
    <w:p>
      <w:pPr>
        <w:spacing w:after="0" w:line="117" w:lineRule="exact"/>
        <w:rPr>
          <w:rFonts w:ascii="Arial" w:cs="Arial" w:eastAsia="Arial" w:hAnsi="Arial"/>
          <w:sz w:val="18"/>
          <w:szCs w:val="18"/>
          <w:color w:val="auto"/>
        </w:rPr>
      </w:pPr>
    </w:p>
    <w:p>
      <w:pPr>
        <w:ind w:left="340" w:right="460" w:hanging="332"/>
        <w:spacing w:after="0" w:line="25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focused our efforts on incremental actions to prioritize and preserve cash as we manage through this crisis. These actions include the reduction of discretionary spend, such as compensation incentives, near term targeted marketing spend and the use of contract employees.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cash equivalents and restricted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4"/>
          </w:tcPr>
          <w:p>
            <w:pPr>
              <w:jc w:val="right"/>
              <w:ind w:right="268"/>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color w:val="auto"/>
              </w:rPr>
              <w:t>March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E5E5E5"/>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E5E5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6"/>
        </w:trPr>
        <w:tc>
          <w:tcPr>
            <w:tcW w:w="66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960" w:type="dxa"/>
            <w:vAlign w:val="bottom"/>
            <w:shd w:val="clear" w:color="auto" w:fill="E5E5E5"/>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E5E5E5"/>
          </w:tcPr>
          <w:p>
            <w:pPr>
              <w:spacing w:after="0"/>
              <w:rPr>
                <w:sz w:val="22"/>
                <w:szCs w:val="22"/>
                <w:color w:val="auto"/>
              </w:rPr>
            </w:pPr>
          </w:p>
        </w:tc>
        <w:tc>
          <w:tcPr>
            <w:tcW w:w="940" w:type="dxa"/>
            <w:vAlign w:val="bottom"/>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4"/>
        </w:trPr>
        <w:tc>
          <w:tcPr>
            <w:tcW w:w="664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96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6640" w:type="dxa"/>
            <w:vAlign w:val="bottom"/>
            <w:tcBorders>
              <w:top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top w:val="single" w:sz="8" w:color="auto"/>
              <w:bottom w:val="single" w:sz="8" w:color="auto"/>
            </w:tcBorders>
            <w:shd w:val="clear" w:color="auto" w:fill="E5E5E5"/>
          </w:tcPr>
          <w:p>
            <w:pPr>
              <w:spacing w:after="0"/>
              <w:rPr>
                <w:sz w:val="21"/>
                <w:szCs w:val="21"/>
                <w:color w:val="auto"/>
              </w:rPr>
            </w:pPr>
          </w:p>
        </w:tc>
        <w:tc>
          <w:tcPr>
            <w:tcW w:w="540" w:type="dxa"/>
            <w:vAlign w:val="bottom"/>
            <w:tcBorders>
              <w:top w:val="single" w:sz="8" w:color="auto"/>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E5E5E5"/>
            </w:tcBorders>
            <w:shd w:val="clear" w:color="auto" w:fill="E5E5E5"/>
          </w:tcPr>
          <w:p>
            <w:pPr>
              <w:spacing w:after="0"/>
              <w:rPr>
                <w:sz w:val="21"/>
                <w:szCs w:val="21"/>
                <w:color w:val="auto"/>
              </w:rPr>
            </w:pPr>
          </w:p>
        </w:tc>
        <w:tc>
          <w:tcPr>
            <w:tcW w:w="940" w:type="dxa"/>
            <w:vAlign w:val="bottom"/>
            <w:tcBorders>
              <w:top w:val="single" w:sz="8" w:color="auto"/>
              <w:bottom w:val="single" w:sz="8" w:color="auto"/>
            </w:tcBorders>
            <w:shd w:val="clear" w:color="auto" w:fill="E5E5E5"/>
          </w:tcPr>
          <w:p>
            <w:pPr>
              <w:spacing w:after="0"/>
              <w:rPr>
                <w:sz w:val="21"/>
                <w:szCs w:val="21"/>
                <w:color w:val="auto"/>
              </w:rPr>
            </w:pPr>
          </w:p>
        </w:tc>
        <w:tc>
          <w:tcPr>
            <w:tcW w:w="5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Borders>
              <w:top w:val="single" w:sz="8" w:color="E5E5E5"/>
            </w:tcBorders>
            <w:shd w:val="clear" w:color="auto" w:fill="E5E5E5"/>
          </w:tcPr>
          <w:p>
            <w:pPr>
              <w:spacing w:after="0"/>
              <w:rPr>
                <w:sz w:val="21"/>
                <w:szCs w:val="21"/>
                <w:color w:val="auto"/>
              </w:rPr>
            </w:pPr>
          </w:p>
        </w:tc>
        <w:tc>
          <w:tcPr>
            <w:tcW w:w="220" w:type="dxa"/>
            <w:vAlign w:val="bottom"/>
            <w:tcBorders>
              <w:top w:val="single" w:sz="8" w:color="auto"/>
              <w:bottom w:val="single" w:sz="8" w:color="auto"/>
            </w:tcBorders>
            <w:shd w:val="clear" w:color="auto" w:fill="E5E5E5"/>
          </w:tcPr>
          <w:p>
            <w:pPr>
              <w:spacing w:after="0"/>
              <w:rPr>
                <w:sz w:val="21"/>
                <w:szCs w:val="21"/>
                <w:color w:val="auto"/>
              </w:rPr>
            </w:pPr>
          </w:p>
        </w:tc>
        <w:tc>
          <w:tcPr>
            <w:tcW w:w="12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83"/>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shd w:val="clear" w:color="auto" w:fill="E5E5E5"/>
          </w:tcPr>
          <w:p>
            <w:pPr>
              <w:spacing w:after="0"/>
              <w:rPr>
                <w:sz w:val="23"/>
                <w:szCs w:val="23"/>
                <w:color w:val="auto"/>
              </w:rPr>
            </w:pPr>
          </w:p>
        </w:tc>
        <w:tc>
          <w:tcPr>
            <w:tcW w:w="5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E5E5E5"/>
          </w:tcPr>
          <w:p>
            <w:pPr>
              <w:spacing w:after="0"/>
              <w:rPr>
                <w:sz w:val="23"/>
                <w:szCs w:val="23"/>
                <w:color w:val="auto"/>
              </w:rPr>
            </w:pPr>
          </w:p>
        </w:tc>
        <w:tc>
          <w:tcPr>
            <w:tcW w:w="940" w:type="dxa"/>
            <w:vAlign w:val="bottom"/>
            <w:shd w:val="clear" w:color="auto" w:fill="E5E5E5"/>
          </w:tcPr>
          <w:p>
            <w:pPr>
              <w:spacing w:after="0"/>
              <w:rPr>
                <w:sz w:val="23"/>
                <w:szCs w:val="23"/>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cash used in financing activities</w:t>
            </w:r>
          </w:p>
        </w:tc>
        <w:tc>
          <w:tcPr>
            <w:tcW w:w="960" w:type="dxa"/>
            <w:vAlign w:val="bottom"/>
            <w:shd w:val="clear" w:color="auto" w:fill="E5E5E5"/>
          </w:tcPr>
          <w:p>
            <w:pPr>
              <w:spacing w:after="0"/>
              <w:rPr>
                <w:sz w:val="23"/>
                <w:szCs w:val="23"/>
                <w:color w:val="auto"/>
              </w:rPr>
            </w:pPr>
          </w:p>
        </w:tc>
        <w:tc>
          <w:tcPr>
            <w:tcW w:w="5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5E5E5"/>
          </w:tcPr>
          <w:p>
            <w:pPr>
              <w:spacing w:after="0"/>
              <w:rPr>
                <w:sz w:val="23"/>
                <w:szCs w:val="23"/>
                <w:color w:val="auto"/>
              </w:rPr>
            </w:pPr>
          </w:p>
        </w:tc>
        <w:tc>
          <w:tcPr>
            <w:tcW w:w="940" w:type="dxa"/>
            <w:vAlign w:val="bottom"/>
            <w:shd w:val="clear" w:color="auto" w:fill="E5E5E5"/>
          </w:tcPr>
          <w:p>
            <w:pPr>
              <w:spacing w:after="0"/>
              <w:rPr>
                <w:sz w:val="23"/>
                <w:szCs w:val="23"/>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83"/>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60" w:type="dxa"/>
            <w:vAlign w:val="bottom"/>
            <w:tcBorders>
              <w:bottom w:val="single" w:sz="8" w:color="auto"/>
            </w:tcBorders>
            <w:shd w:val="clear" w:color="auto" w:fill="E5E5E5"/>
          </w:tcPr>
          <w:p>
            <w:pPr>
              <w:spacing w:after="0"/>
              <w:rPr>
                <w:sz w:val="22"/>
                <w:szCs w:val="22"/>
                <w:color w:val="auto"/>
              </w:rPr>
            </w:pPr>
          </w:p>
        </w:tc>
        <w:tc>
          <w:tcPr>
            <w:tcW w:w="5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5E5E5"/>
          </w:tcPr>
          <w:p>
            <w:pPr>
              <w:spacing w:after="0"/>
              <w:rPr>
                <w:sz w:val="22"/>
                <w:szCs w:val="22"/>
                <w:color w:val="auto"/>
              </w:rPr>
            </w:pPr>
          </w:p>
        </w:tc>
        <w:tc>
          <w:tcPr>
            <w:tcW w:w="940" w:type="dxa"/>
            <w:vAlign w:val="bottom"/>
            <w:tcBorders>
              <w:bottom w:val="single" w:sz="8" w:color="auto"/>
            </w:tcBorders>
            <w:shd w:val="clear" w:color="auto" w:fill="E5E5E5"/>
          </w:tcPr>
          <w:p>
            <w:pPr>
              <w:spacing w:after="0"/>
              <w:rPr>
                <w:sz w:val="22"/>
                <w:szCs w:val="22"/>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22"/>
                <w:szCs w:val="22"/>
                <w:color w:val="auto"/>
              </w:rPr>
            </w:pPr>
          </w:p>
        </w:tc>
        <w:tc>
          <w:tcPr>
            <w:tcW w:w="220" w:type="dxa"/>
            <w:vAlign w:val="bottom"/>
            <w:tcBorders>
              <w:bottom w:val="single" w:sz="8" w:color="auto"/>
            </w:tcBorders>
            <w:shd w:val="clear" w:color="auto" w:fill="E5E5E5"/>
          </w:tcPr>
          <w:p>
            <w:pPr>
              <w:spacing w:after="0"/>
              <w:rPr>
                <w:sz w:val="22"/>
                <w:szCs w:val="22"/>
                <w:color w:val="auto"/>
              </w:rPr>
            </w:pP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0"/>
        </w:trPr>
        <w:tc>
          <w:tcPr>
            <w:tcW w:w="6640" w:type="dxa"/>
            <w:vAlign w:val="bottom"/>
            <w:gridSpan w:val="2"/>
          </w:tcPr>
          <w:p>
            <w:pPr>
              <w:ind w:left="40"/>
              <w:spacing w:after="0"/>
              <w:rPr>
                <w:sz w:val="20"/>
                <w:szCs w:val="20"/>
                <w:color w:val="auto"/>
              </w:rPr>
            </w:pPr>
            <w:r>
              <w:rPr>
                <w:rFonts w:ascii="Arial" w:cs="Arial" w:eastAsia="Arial" w:hAnsi="Arial"/>
                <w:sz w:val="14"/>
                <w:szCs w:val="14"/>
                <w:color w:val="auto"/>
              </w:rPr>
              <w:t>Decrease in cash, cash equivalents and restricted cash</w:t>
            </w:r>
          </w:p>
        </w:tc>
        <w:tc>
          <w:tcPr>
            <w:tcW w:w="960" w:type="dxa"/>
            <w:vAlign w:val="bottom"/>
          </w:tcPr>
          <w:p>
            <w:pPr>
              <w:spacing w:after="0"/>
              <w:rPr>
                <w:sz w:val="21"/>
                <w:szCs w:val="21"/>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6"/>
        </w:trPr>
        <w:tc>
          <w:tcPr>
            <w:tcW w:w="66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60" w:type="dxa"/>
            <w:vAlign w:val="bottom"/>
            <w:tcBorders>
              <w:bottom w:val="single" w:sz="8" w:color="auto"/>
            </w:tcBorders>
            <w:shd w:val="clear" w:color="auto" w:fill="E5E5E5"/>
          </w:tcPr>
          <w:p>
            <w:pPr>
              <w:spacing w:after="0"/>
              <w:rPr>
                <w:sz w:val="24"/>
                <w:szCs w:val="24"/>
                <w:color w:val="auto"/>
              </w:rPr>
            </w:pPr>
          </w:p>
        </w:tc>
        <w:tc>
          <w:tcPr>
            <w:tcW w:w="5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E5E5E5"/>
          </w:tcPr>
          <w:p>
            <w:pPr>
              <w:spacing w:after="0"/>
              <w:rPr>
                <w:sz w:val="24"/>
                <w:szCs w:val="24"/>
                <w:color w:val="auto"/>
              </w:rPr>
            </w:pPr>
          </w:p>
        </w:tc>
        <w:tc>
          <w:tcPr>
            <w:tcW w:w="940" w:type="dxa"/>
            <w:vAlign w:val="bottom"/>
            <w:tcBorders>
              <w:bottom w:val="single" w:sz="8" w:color="auto"/>
            </w:tcBorders>
            <w:shd w:val="clear" w:color="auto" w:fill="E5E5E5"/>
          </w:tcPr>
          <w:p>
            <w:pPr>
              <w:spacing w:after="0"/>
              <w:rPr>
                <w:sz w:val="24"/>
                <w:szCs w:val="24"/>
                <w:color w:val="auto"/>
              </w:rPr>
            </w:pPr>
          </w:p>
        </w:tc>
        <w:tc>
          <w:tcPr>
            <w:tcW w:w="5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1,148</w:t>
            </w:r>
          </w:p>
        </w:tc>
        <w:tc>
          <w:tcPr>
            <w:tcW w:w="120" w:type="dxa"/>
            <w:vAlign w:val="bottom"/>
            <w:shd w:val="clear" w:color="auto" w:fill="E5E5E5"/>
          </w:tcPr>
          <w:p>
            <w:pPr>
              <w:spacing w:after="0"/>
              <w:rPr>
                <w:sz w:val="24"/>
                <w:szCs w:val="24"/>
                <w:color w:val="auto"/>
              </w:rPr>
            </w:pPr>
          </w:p>
        </w:tc>
        <w:tc>
          <w:tcPr>
            <w:tcW w:w="220" w:type="dxa"/>
            <w:vAlign w:val="bottom"/>
            <w:tcBorders>
              <w:bottom w:val="single" w:sz="8" w:color="auto"/>
            </w:tcBorders>
            <w:shd w:val="clear" w:color="auto" w:fill="E5E5E5"/>
          </w:tcPr>
          <w:p>
            <w:pPr>
              <w:spacing w:after="0"/>
              <w:rPr>
                <w:sz w:val="24"/>
                <w:szCs w:val="24"/>
                <w:color w:val="auto"/>
              </w:rPr>
            </w:pPr>
          </w:p>
        </w:tc>
        <w:tc>
          <w:tcPr>
            <w:tcW w:w="12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236"/>
        </w:trPr>
        <w:tc>
          <w:tcPr>
            <w:tcW w:w="66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Cash, Cash Equivalents and Restricted Cash at End of Period </w:t>
            </w:r>
            <w:r>
              <w:rPr>
                <w:rFonts w:ascii="Arial" w:cs="Arial" w:eastAsia="Arial" w:hAnsi="Arial"/>
                <w:sz w:val="17"/>
                <w:szCs w:val="17"/>
                <w:b w:val="1"/>
                <w:bCs w:val="1"/>
                <w:color w:val="auto"/>
                <w:vertAlign w:val="superscript"/>
              </w:rPr>
              <w:t>(1)</w:t>
            </w:r>
          </w:p>
        </w:tc>
        <w:tc>
          <w:tcPr>
            <w:tcW w:w="9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2,665</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1"/>
                <w:szCs w:val="11"/>
                <w:color w:val="auto"/>
              </w:rPr>
              <w:t>__________________________</w:t>
            </w: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6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640" w:type="dxa"/>
            <w:vAlign w:val="bottom"/>
            <w:gridSpan w:val="2"/>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i w:val="1"/>
                <w:iCs w:val="1"/>
                <w:color w:val="auto"/>
              </w:rPr>
              <w:t xml:space="preserve"> Balance at March 31, 2019 includes $1 million associated with discontinued operations.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27"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Net cash provided by operating activities of continuing operations was $173 million in first quarter 2020. The $49 million decrease in operating cash from first quarter 2019 was primarily due to the following:</w:t>
      </w:r>
    </w:p>
    <w:p>
      <w:pPr>
        <w:spacing w:after="0" w:line="1" w:lineRule="exact"/>
        <w:rPr>
          <w:sz w:val="20"/>
          <w:szCs w:val="20"/>
          <w:color w:val="auto"/>
        </w:rPr>
      </w:pPr>
    </w:p>
    <w:p>
      <w:pPr>
        <w:ind w:left="340" w:right="66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$185 million decrease in pre-tax income before depreciation and amortization, restructuring and related costs and defined benefit pension costs.</w:t>
      </w: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$78 million decrease from higher levels of inventory primarily due to lower sales volume.</w:t>
      </w:r>
    </w:p>
    <w:p>
      <w:pPr>
        <w:spacing w:after="0" w:line="9" w:lineRule="exact"/>
        <w:rPr>
          <w:rFonts w:ascii="Arial" w:cs="Arial" w:eastAsia="Arial" w:hAnsi="Arial"/>
          <w:sz w:val="18"/>
          <w:szCs w:val="18"/>
          <w:color w:val="auto"/>
        </w:rPr>
      </w:pPr>
    </w:p>
    <w:p>
      <w:pPr>
        <w:ind w:left="340" w:right="7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$35 million decrease from accrued compensation primarily related to lower compensation costs and the year-over-year timing of payments.</w:t>
      </w:r>
    </w:p>
    <w:p>
      <w:pPr>
        <w:ind w:left="340" w:right="5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$18 million decrease in transaction and related costs due to payments of $4 million in first quarter 2020 compared to net insurance proceeds of $14 million in prior year.</w:t>
      </w: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$128 million increase from accounts receivable primarily due to lower revenue.</w:t>
      </w:r>
    </w:p>
    <w:p>
      <w:pPr>
        <w:spacing w:after="0" w:line="9"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$86 million increase from accounts payable primarily due to the year-over-year timing of supplier and vendor payments partially offset by lower spending.</w:t>
      </w:r>
    </w:p>
    <w:p>
      <w:pPr>
        <w:ind w:left="340" w:right="20" w:hanging="332"/>
        <w:spacing w:after="0" w:line="26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$18 million increase primarily related to the current year settlements of EUR/GBP derivative contracts reflecting the significant movement in rates during March as well as $4 million related to the settlement of interest rate swaps.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4" w:name="page25"/>
    <w:bookmarkEnd w:id="24"/>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$12 million increase from finance receivables primarily related to a higher level of run-off due to lower originations.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used in investing activities was $214 million in first quarter 2020. The $196 million change from first quarter 2019 was primarily due to four acquisitions completed in the current year. These acquisitions of local resellers and multi-brand dealers expand our distribution capabilities to small-to-medium sized businesses in the U.K. and Canada.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Net cash used in financing activities was $60 million in first quarter 2020. The $509 million decrease in the use of cash from first quarter 2019 was primarily due to the following:</w:t>
      </w:r>
    </w:p>
    <w:p>
      <w:pPr>
        <w:spacing w:after="0" w:line="1" w:lineRule="exact"/>
        <w:rPr>
          <w:sz w:val="20"/>
          <w:szCs w:val="20"/>
          <w:color w:val="auto"/>
        </w:rPr>
      </w:pPr>
    </w:p>
    <w:p>
      <w:pPr>
        <w:ind w:left="340" w:right="46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$404 million decrease from net debt activity primarily due to payments of $406 million on Senior Notes in prior year compared to no Senior Notes payments in the current period.</w:t>
      </w: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$103 million decrease due to share repurchases in prior year compared to no share repurchases in the current period.</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Cash, Cash Equivalents and Restricted Cash</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Restricted cash primarily relates to escrow cash deposits made in Brazil associated with ongoing litigation. Various litigation matters in Brazil require us to make cash deposits to escrow as a condition of continuing the litigation. Restricted cash amounts are classified in our Condensed Consolidated Balance Sheets based on when the cash will be contractually or judicially released.</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March 31, 2020</w:t>
            </w:r>
          </w:p>
        </w:tc>
        <w:tc>
          <w:tcPr>
            <w:tcW w:w="10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2019</w:t>
            </w:r>
          </w:p>
        </w:tc>
      </w:tr>
      <w:tr>
        <w:trPr>
          <w:trHeight w:val="256"/>
        </w:trPr>
        <w:tc>
          <w:tcPr>
            <w:tcW w:w="750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2,622</w:t>
            </w:r>
          </w:p>
        </w:tc>
        <w:tc>
          <w:tcPr>
            <w:tcW w:w="100" w:type="dxa"/>
            <w:vAlign w:val="bottom"/>
            <w:shd w:val="clear" w:color="auto" w:fill="E5E5E5"/>
          </w:tcPr>
          <w:p>
            <w:pPr>
              <w:spacing w:after="0"/>
              <w:rPr>
                <w:sz w:val="22"/>
                <w:szCs w:val="22"/>
                <w:color w:val="auto"/>
              </w:rPr>
            </w:pP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2,740</w:t>
            </w:r>
          </w:p>
        </w:tc>
      </w:tr>
      <w:tr>
        <w:trPr>
          <w:trHeight w:val="264"/>
        </w:trPr>
        <w:tc>
          <w:tcPr>
            <w:tcW w:w="75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 cash</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750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Litigation deposits in Brazil</w:t>
            </w:r>
          </w:p>
        </w:tc>
        <w:tc>
          <w:tcPr>
            <w:tcW w:w="24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16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55</w:t>
            </w:r>
          </w:p>
        </w:tc>
      </w:tr>
      <w:tr>
        <w:trPr>
          <w:trHeight w:val="264"/>
        </w:trPr>
        <w:tc>
          <w:tcPr>
            <w:tcW w:w="7500" w:type="dxa"/>
            <w:vAlign w:val="bottom"/>
            <w:tcBorders>
              <w:bottom w:val="single" w:sz="8" w:color="E5E5E5"/>
            </w:tcBorders>
            <w:gridSpan w:val="2"/>
          </w:tcPr>
          <w:p>
            <w:pPr>
              <w:ind w:left="180"/>
              <w:spacing w:after="0"/>
              <w:rPr>
                <w:sz w:val="20"/>
                <w:szCs w:val="20"/>
                <w:color w:val="auto"/>
              </w:rPr>
            </w:pPr>
            <w:r>
              <w:rPr>
                <w:rFonts w:ascii="Arial" w:cs="Arial" w:eastAsia="Arial" w:hAnsi="Arial"/>
                <w:sz w:val="14"/>
                <w:szCs w:val="14"/>
                <w:color w:val="auto"/>
              </w:rPr>
              <w:t>Other restricted cash</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5E5E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750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Total Restricted cash</w:t>
            </w:r>
          </w:p>
        </w:tc>
        <w:tc>
          <w:tcPr>
            <w:tcW w:w="240" w:type="dxa"/>
            <w:vAlign w:val="bottom"/>
            <w:tcBorders>
              <w:bottom w:val="single" w:sz="8" w:color="auto"/>
            </w:tcBorders>
            <w:shd w:val="clear" w:color="auto" w:fill="E5E5E5"/>
          </w:tcPr>
          <w:p>
            <w:pPr>
              <w:spacing w:after="0"/>
              <w:rPr>
                <w:sz w:val="22"/>
                <w:szCs w:val="22"/>
                <w:color w:val="auto"/>
              </w:rPr>
            </w:pPr>
          </w:p>
        </w:tc>
        <w:tc>
          <w:tcPr>
            <w:tcW w:w="15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5E5E5"/>
          </w:tcPr>
          <w:p>
            <w:pPr>
              <w:spacing w:after="0"/>
              <w:rPr>
                <w:sz w:val="22"/>
                <w:szCs w:val="22"/>
                <w:color w:val="auto"/>
              </w:rPr>
            </w:pPr>
          </w:p>
        </w:tc>
        <w:tc>
          <w:tcPr>
            <w:tcW w:w="180" w:type="dxa"/>
            <w:vAlign w:val="bottom"/>
            <w:tcBorders>
              <w:bottom w:val="single" w:sz="8" w:color="auto"/>
            </w:tcBorders>
            <w:shd w:val="clear" w:color="auto" w:fill="E5E5E5"/>
          </w:tcPr>
          <w:p>
            <w:pPr>
              <w:spacing w:after="0"/>
              <w:rPr>
                <w:sz w:val="22"/>
                <w:szCs w:val="22"/>
                <w:color w:val="auto"/>
              </w:rPr>
            </w:pPr>
          </w:p>
        </w:tc>
        <w:tc>
          <w:tcPr>
            <w:tcW w:w="16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55</w:t>
            </w:r>
          </w:p>
        </w:tc>
      </w:tr>
      <w:tr>
        <w:trPr>
          <w:trHeight w:val="236"/>
        </w:trPr>
        <w:tc>
          <w:tcPr>
            <w:tcW w:w="750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2,795</w:t>
            </w:r>
          </w:p>
        </w:tc>
      </w:tr>
      <w:tr>
        <w:trPr>
          <w:trHeight w:val="20"/>
        </w:trPr>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was reported in the Condensed Consolidated Balance Sheets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March 31, 2020</w:t>
            </w:r>
          </w:p>
        </w:tc>
        <w:tc>
          <w:tcPr>
            <w:tcW w:w="10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2019</w:t>
            </w:r>
          </w:p>
        </w:tc>
      </w:tr>
      <w:tr>
        <w:trPr>
          <w:trHeight w:val="256"/>
        </w:trPr>
        <w:tc>
          <w:tcPr>
            <w:tcW w:w="75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5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E5E5E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r>
      <w:tr>
        <w:trPr>
          <w:trHeight w:val="243"/>
        </w:trPr>
        <w:tc>
          <w:tcPr>
            <w:tcW w:w="750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Restricted cash</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55</w:t>
            </w:r>
          </w:p>
        </w:tc>
      </w:tr>
      <w:tr>
        <w:trPr>
          <w:trHeight w:val="20"/>
        </w:trPr>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Operating Leases</w:t>
      </w:r>
    </w:p>
    <w:p>
      <w:pPr>
        <w:spacing w:after="0" w:line="2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have operating leases for real estate and vehicles in our domestic and international operations as well as for certain equipment in our domestic operations. Additionally, we have identified embedded operating leases within certain supply chain contracts for warehouses, primarily within our domestic operations. Our leases have remaining terms of up to ten years and a variety of renewal and/or termination options.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 ROU assets, net and operating lease liabilities were reported in the Condensed Consolidated Balance Sheets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March 31, 2020</w:t>
            </w:r>
          </w:p>
        </w:tc>
        <w:tc>
          <w:tcPr>
            <w:tcW w:w="10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2019</w:t>
            </w:r>
          </w:p>
        </w:tc>
      </w:tr>
      <w:tr>
        <w:trPr>
          <w:trHeight w:val="242"/>
        </w:trPr>
        <w:tc>
          <w:tcPr>
            <w:tcW w:w="750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319</w:t>
            </w:r>
          </w:p>
        </w:tc>
      </w:tr>
      <w:tr>
        <w:trPr>
          <w:trHeight w:val="20"/>
        </w:trPr>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0"/>
        </w:trPr>
        <w:tc>
          <w:tcPr>
            <w:tcW w:w="7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0"/>
        </w:trPr>
        <w:tc>
          <w:tcPr>
            <w:tcW w:w="75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E5E5E5"/>
          </w:tcPr>
          <w:p>
            <w:pPr>
              <w:spacing w:after="0"/>
              <w:rPr>
                <w:sz w:val="23"/>
                <w:szCs w:val="23"/>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87</w:t>
            </w:r>
          </w:p>
        </w:tc>
      </w:tr>
      <w:tr>
        <w:trPr>
          <w:trHeight w:val="264"/>
        </w:trPr>
        <w:tc>
          <w:tcPr>
            <w:tcW w:w="75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E5E5E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w:t>
            </w:r>
          </w:p>
        </w:tc>
      </w:tr>
      <w:tr>
        <w:trPr>
          <w:trHeight w:val="243"/>
        </w:trPr>
        <w:tc>
          <w:tcPr>
            <w:tcW w:w="750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Operating lease liabilities</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347</w:t>
            </w:r>
          </w:p>
        </w:tc>
      </w:tr>
      <w:tr>
        <w:trPr>
          <w:trHeight w:val="20"/>
        </w:trPr>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DA2031"/>
        </w:rPr>
        <w:t>Debt and Customer Financing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March 31, 2020</w:t>
            </w: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2019</w:t>
            </w:r>
          </w:p>
        </w:tc>
        <w:tc>
          <w:tcPr>
            <w:tcW w:w="0" w:type="dxa"/>
            <w:vAlign w:val="bottom"/>
          </w:tcPr>
          <w:p>
            <w:pPr>
              <w:spacing w:after="0"/>
              <w:rPr>
                <w:sz w:val="1"/>
                <w:szCs w:val="1"/>
                <w:color w:val="auto"/>
              </w:rPr>
            </w:pPr>
          </w:p>
        </w:tc>
      </w:tr>
      <w:tr>
        <w:trPr>
          <w:trHeight w:val="256"/>
        </w:trPr>
        <w:tc>
          <w:tcPr>
            <w:tcW w:w="73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Principal debt balance </w:t>
            </w:r>
            <w:r>
              <w:rPr>
                <w:rFonts w:ascii="Arial" w:cs="Arial" w:eastAsia="Arial" w:hAnsi="Arial"/>
                <w:sz w:val="17"/>
                <w:szCs w:val="17"/>
                <w:color w:val="auto"/>
                <w:vertAlign w:val="superscript"/>
              </w:rPr>
              <w:t>(1)</w:t>
            </w:r>
          </w:p>
        </w:tc>
        <w:tc>
          <w:tcPr>
            <w:tcW w:w="2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4,313</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4,313</w:t>
            </w:r>
          </w:p>
        </w:tc>
        <w:tc>
          <w:tcPr>
            <w:tcW w:w="0" w:type="dxa"/>
            <w:vAlign w:val="bottom"/>
          </w:tcPr>
          <w:p>
            <w:pPr>
              <w:spacing w:after="0"/>
              <w:rPr>
                <w:sz w:val="1"/>
                <w:szCs w:val="1"/>
                <w:color w:val="auto"/>
              </w:rPr>
            </w:pPr>
          </w:p>
        </w:tc>
      </w:tr>
      <w:tr>
        <w:trPr>
          <w:trHeight w:val="264"/>
        </w:trPr>
        <w:tc>
          <w:tcPr>
            <w:tcW w:w="7320" w:type="dxa"/>
            <w:vAlign w:val="bottom"/>
            <w:gridSpan w:val="2"/>
          </w:tcPr>
          <w:p>
            <w:pPr>
              <w:ind w:left="40"/>
              <w:spacing w:after="0"/>
              <w:rPr>
                <w:sz w:val="20"/>
                <w:szCs w:val="20"/>
                <w:color w:val="auto"/>
              </w:rPr>
            </w:pPr>
            <w:r>
              <w:rPr>
                <w:rFonts w:ascii="Arial" w:cs="Arial" w:eastAsia="Arial" w:hAnsi="Arial"/>
                <w:sz w:val="14"/>
                <w:szCs w:val="14"/>
                <w:color w:val="auto"/>
              </w:rPr>
              <w:t>Net unamortized discount</w:t>
            </w:r>
          </w:p>
        </w:tc>
        <w:tc>
          <w:tcPr>
            <w:tcW w:w="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73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Debt issuance costs</w:t>
            </w:r>
          </w:p>
        </w:tc>
        <w:tc>
          <w:tcPr>
            <w:tcW w:w="280" w:type="dxa"/>
            <w:vAlign w:val="bottom"/>
            <w:shd w:val="clear" w:color="auto" w:fill="E5E5E5"/>
          </w:tcPr>
          <w:p>
            <w:pPr>
              <w:spacing w:after="0"/>
              <w:rPr>
                <w:sz w:val="24"/>
                <w:szCs w:val="24"/>
                <w:color w:val="auto"/>
              </w:rPr>
            </w:pPr>
          </w:p>
        </w:tc>
        <w:tc>
          <w:tcPr>
            <w:tcW w:w="1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1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0"/>
        </w:trPr>
        <w:tc>
          <w:tcPr>
            <w:tcW w:w="7320" w:type="dxa"/>
            <w:vAlign w:val="bottom"/>
            <w:gridSpan w:val="2"/>
          </w:tcPr>
          <w:p>
            <w:pPr>
              <w:ind w:left="40"/>
              <w:spacing w:after="0"/>
              <w:rPr>
                <w:sz w:val="20"/>
                <w:szCs w:val="20"/>
                <w:color w:val="auto"/>
              </w:rPr>
            </w:pPr>
            <w:r>
              <w:rPr>
                <w:rFonts w:ascii="Arial" w:cs="Arial" w:eastAsia="Arial" w:hAnsi="Arial"/>
                <w:sz w:val="14"/>
                <w:szCs w:val="14"/>
                <w:color w:val="auto"/>
              </w:rPr>
              <w:t xml:space="preserve">Fair value adjustments </w:t>
            </w:r>
            <w:r>
              <w:rPr>
                <w:rFonts w:ascii="Arial" w:cs="Arial" w:eastAsia="Arial" w:hAnsi="Arial"/>
                <w:sz w:val="17"/>
                <w:szCs w:val="17"/>
                <w:color w:val="auto"/>
                <w:vertAlign w:val="superscript"/>
              </w:rPr>
              <w:t>(2)</w:t>
            </w: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gridSpan w:val="2"/>
            <w:shd w:val="clear" w:color="auto" w:fill="E5E5E5"/>
          </w:tcPr>
          <w:p>
            <w:pPr>
              <w:ind w:left="360"/>
              <w:spacing w:after="0"/>
              <w:rPr>
                <w:sz w:val="20"/>
                <w:szCs w:val="20"/>
                <w:color w:val="auto"/>
              </w:rPr>
            </w:pPr>
            <w:r>
              <w:rPr>
                <w:rFonts w:ascii="Arial" w:cs="Arial" w:eastAsia="Arial" w:hAnsi="Arial"/>
                <w:sz w:val="14"/>
                <w:szCs w:val="14"/>
                <w:color w:val="auto"/>
              </w:rPr>
              <w:t>- terminated swaps</w:t>
            </w:r>
          </w:p>
        </w:tc>
        <w:tc>
          <w:tcPr>
            <w:tcW w:w="280" w:type="dxa"/>
            <w:vAlign w:val="bottom"/>
            <w:shd w:val="clear" w:color="auto" w:fill="E5E5E5"/>
          </w:tcPr>
          <w:p>
            <w:pPr>
              <w:spacing w:after="0"/>
              <w:rPr>
                <w:sz w:val="23"/>
                <w:szCs w:val="23"/>
                <w:color w:val="auto"/>
              </w:rPr>
            </w:pP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16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7320" w:type="dxa"/>
            <w:vAlign w:val="bottom"/>
            <w:gridSpan w:val="2"/>
          </w:tcPr>
          <w:p>
            <w:pPr>
              <w:ind w:left="360"/>
              <w:spacing w:after="0"/>
              <w:rPr>
                <w:sz w:val="20"/>
                <w:szCs w:val="20"/>
                <w:color w:val="auto"/>
              </w:rPr>
            </w:pPr>
            <w:r>
              <w:rPr>
                <w:rFonts w:ascii="Arial" w:cs="Arial" w:eastAsia="Arial" w:hAnsi="Arial"/>
                <w:sz w:val="14"/>
                <w:szCs w:val="14"/>
                <w:color w:val="auto"/>
              </w:rPr>
              <w:t>- current swaps</w:t>
            </w:r>
          </w:p>
        </w:tc>
        <w:tc>
          <w:tcPr>
            <w:tcW w:w="280" w:type="dxa"/>
            <w:vAlign w:val="bottom"/>
          </w:tcPr>
          <w:p>
            <w:pPr>
              <w:spacing w:after="0"/>
              <w:rPr>
                <w:sz w:val="22"/>
                <w:szCs w:val="22"/>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7320" w:type="dxa"/>
            <w:vAlign w:val="bottom"/>
            <w:tcBorders>
              <w:top w:val="single" w:sz="8" w:color="E5E5E5"/>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Debt</w:t>
            </w:r>
          </w:p>
        </w:tc>
        <w:tc>
          <w:tcPr>
            <w:tcW w:w="28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4,288</w:t>
            </w:r>
          </w:p>
        </w:tc>
        <w:tc>
          <w:tcPr>
            <w:tcW w:w="100" w:type="dxa"/>
            <w:vAlign w:val="bottom"/>
            <w:tcBorders>
              <w:top w:val="single" w:sz="8" w:color="E5E5E5"/>
              <w:bottom w:val="single" w:sz="8" w:color="E5E5E5"/>
            </w:tcBorders>
            <w:shd w:val="clear" w:color="auto" w:fill="E5E5E5"/>
          </w:tcPr>
          <w:p>
            <w:pPr>
              <w:spacing w:after="0"/>
              <w:rPr>
                <w:sz w:val="21"/>
                <w:szCs w:val="21"/>
                <w:color w:val="auto"/>
              </w:rPr>
            </w:pPr>
          </w:p>
        </w:tc>
        <w:tc>
          <w:tcPr>
            <w:tcW w:w="22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4,282</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There were no Notes Payable as of March 31, 2020 and December 31, 2019, respectively.</w:t>
      </w:r>
    </w:p>
    <w:p>
      <w:pPr>
        <w:ind w:left="340" w:right="420" w:hanging="332"/>
        <w:spacing w:after="0" w:line="225" w:lineRule="auto"/>
        <w:tabs>
          <w:tab w:leader="none" w:pos="34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Finance Assets and Related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March 31, 2020</w:t>
            </w: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2019</w:t>
            </w:r>
          </w:p>
        </w:tc>
        <w:tc>
          <w:tcPr>
            <w:tcW w:w="0" w:type="dxa"/>
            <w:vAlign w:val="bottom"/>
          </w:tcPr>
          <w:p>
            <w:pPr>
              <w:spacing w:after="0"/>
              <w:rPr>
                <w:sz w:val="1"/>
                <w:szCs w:val="1"/>
                <w:color w:val="auto"/>
              </w:rPr>
            </w:pPr>
          </w:p>
        </w:tc>
      </w:tr>
      <w:tr>
        <w:trPr>
          <w:trHeight w:val="256"/>
        </w:trPr>
        <w:tc>
          <w:tcPr>
            <w:tcW w:w="73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Total finance receivables, net </w:t>
            </w:r>
            <w:r>
              <w:rPr>
                <w:rFonts w:ascii="Arial" w:cs="Arial" w:eastAsia="Arial" w:hAnsi="Arial"/>
                <w:sz w:val="17"/>
                <w:szCs w:val="17"/>
                <w:color w:val="auto"/>
                <w:vertAlign w:val="superscript"/>
              </w:rPr>
              <w:t>(1)</w:t>
            </w:r>
          </w:p>
        </w:tc>
        <w:tc>
          <w:tcPr>
            <w:tcW w:w="2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3,141</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3,351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E5E5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43"/>
        </w:trPr>
        <w:tc>
          <w:tcPr>
            <w:tcW w:w="732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 xml:space="preserve">Total Finance Assets, net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3,476</w:t>
            </w:r>
          </w:p>
        </w:tc>
        <w:tc>
          <w:tcPr>
            <w:tcW w:w="10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1"/>
                <w:szCs w:val="11"/>
                <w:i w:val="1"/>
                <w:iCs w:val="1"/>
                <w:color w:val="auto"/>
              </w:rPr>
              <w:t>____________________________</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520" w:hanging="332"/>
        <w:spacing w:after="0" w:line="220"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ind w:left="340" w:hanging="332"/>
        <w:spacing w:after="0" w:line="199"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change from December 31, 2019 includes a decrease of $48 million due to currency.</w:t>
      </w:r>
    </w:p>
    <w:p>
      <w:pPr>
        <w:spacing w:after="0" w:line="3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March 31, 2020</w:t>
            </w:r>
          </w:p>
        </w:tc>
        <w:tc>
          <w:tcPr>
            <w:tcW w:w="10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2019</w:t>
            </w:r>
          </w:p>
        </w:tc>
        <w:tc>
          <w:tcPr>
            <w:tcW w:w="0" w:type="dxa"/>
            <w:vAlign w:val="bottom"/>
          </w:tcPr>
          <w:p>
            <w:pPr>
              <w:spacing w:after="0"/>
              <w:rPr>
                <w:sz w:val="1"/>
                <w:szCs w:val="1"/>
                <w:color w:val="auto"/>
              </w:rPr>
            </w:pPr>
          </w:p>
        </w:tc>
      </w:tr>
      <w:tr>
        <w:trPr>
          <w:trHeight w:val="256"/>
        </w:trPr>
        <w:tc>
          <w:tcPr>
            <w:tcW w:w="73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Finance receivables debt </w:t>
            </w:r>
            <w:r>
              <w:rPr>
                <w:rFonts w:ascii="Arial" w:cs="Arial" w:eastAsia="Arial" w:hAnsi="Arial"/>
                <w:sz w:val="17"/>
                <w:szCs w:val="17"/>
                <w:color w:val="auto"/>
                <w:vertAlign w:val="superscript"/>
              </w:rPr>
              <w:t>(1)</w:t>
            </w:r>
          </w:p>
        </w:tc>
        <w:tc>
          <w:tcPr>
            <w:tcW w:w="2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2,748</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Equipment on operating leases debt</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E5E5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56"/>
        </w:trPr>
        <w:tc>
          <w:tcPr>
            <w:tcW w:w="73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Financing debt</w:t>
            </w:r>
          </w:p>
        </w:tc>
        <w:tc>
          <w:tcPr>
            <w:tcW w:w="280" w:type="dxa"/>
            <w:vAlign w:val="bottom"/>
            <w:shd w:val="clear" w:color="auto" w:fill="E5E5E5"/>
          </w:tcPr>
          <w:p>
            <w:pPr>
              <w:spacing w:after="0"/>
              <w:rPr>
                <w:sz w:val="22"/>
                <w:szCs w:val="22"/>
                <w:color w:val="auto"/>
              </w:rPr>
            </w:pP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3,041</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6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3,251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Core debt</w:t>
            </w: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1,247</w:t>
            </w:r>
          </w:p>
        </w:tc>
        <w:tc>
          <w:tcPr>
            <w:tcW w:w="100" w:type="dxa"/>
            <w:vAlign w:val="bottom"/>
            <w:tcBorders>
              <w:bottom w:val="single" w:sz="8" w:color="E5E5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42"/>
        </w:trPr>
        <w:tc>
          <w:tcPr>
            <w:tcW w:w="732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Debt</w:t>
            </w:r>
          </w:p>
        </w:tc>
        <w:tc>
          <w:tcPr>
            <w:tcW w:w="28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4,288</w:t>
            </w:r>
          </w:p>
        </w:tc>
        <w:tc>
          <w:tcPr>
            <w:tcW w:w="10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4,282</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Finance receivables debt is the basis for our calculation of "Cost of financing" expense in the Condensed Consolidated Statements of (Loss)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Accounts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arrangements may be utilized in the normal course of business as part of our cash and liquidity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sold are generally short-term trade receivables with payment due dates of less than 60 days.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Accounts receivable sales activities were as follows:</w:t>
      </w:r>
    </w:p>
    <w:p>
      <w:pPr>
        <w:spacing w:after="0" w:line="177" w:lineRule="exact"/>
        <w:rPr>
          <w:sz w:val="20"/>
          <w:szCs w:val="20"/>
          <w:color w:val="auto"/>
        </w:rPr>
      </w:pPr>
    </w:p>
    <w:p>
      <w:pPr>
        <w:ind w:left="91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14605</wp:posOffset>
            </wp:positionV>
            <wp:extent cx="17741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r>
      <w:tr>
        <w:trPr>
          <w:trHeight w:val="256"/>
        </w:trPr>
        <w:tc>
          <w:tcPr>
            <w:tcW w:w="8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Accounts receivable sales </w:t>
            </w:r>
            <w:r>
              <w:rPr>
                <w:rFonts w:ascii="Arial" w:cs="Arial" w:eastAsia="Arial" w:hAnsi="Arial"/>
                <w:sz w:val="17"/>
                <w:szCs w:val="17"/>
                <w:color w:val="auto"/>
                <w:vertAlign w:val="superscript"/>
              </w:rPr>
              <w:t>(1)</w:t>
            </w: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88</w:t>
            </w: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Loss on sales of accounts receivable</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Estimated decrease to operating cash flows </w:t>
            </w:r>
            <w:r>
              <w:rPr>
                <w:rFonts w:ascii="Arial" w:cs="Arial" w:eastAsia="Arial" w:hAnsi="Arial"/>
                <w:sz w:val="17"/>
                <w:szCs w:val="17"/>
                <w:color w:val="auto"/>
                <w:vertAlign w:val="superscript"/>
              </w:rPr>
              <w:t>(2)</w:t>
            </w:r>
          </w:p>
        </w:tc>
        <w:tc>
          <w:tcPr>
            <w:tcW w:w="320" w:type="dxa"/>
            <w:vAlign w:val="bottom"/>
            <w:shd w:val="clear" w:color="auto" w:fill="E5E5E5"/>
          </w:tcPr>
          <w:p>
            <w:pPr>
              <w:spacing w:after="0"/>
              <w:rPr>
                <w:sz w:val="24"/>
                <w:szCs w:val="2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r>
      <w:tr>
        <w:trPr>
          <w:trHeight w:val="130"/>
        </w:trPr>
        <w:tc>
          <w:tcPr>
            <w:tcW w:w="832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bl>
    <w:p>
      <w:pPr>
        <w:spacing w:after="0" w:line="37" w:lineRule="exact"/>
        <w:rPr>
          <w:sz w:val="20"/>
          <w:szCs w:val="20"/>
          <w:color w:val="auto"/>
        </w:rPr>
      </w:pPr>
    </w:p>
    <w:p>
      <w:pPr>
        <w:ind w:left="340" w:right="80" w:hanging="332"/>
        <w:spacing w:after="0" w:line="230" w:lineRule="auto"/>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ind w:left="340" w:right="260" w:hanging="332"/>
        <w:spacing w:after="0" w:line="217" w:lineRule="auto"/>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the difference between current and prior period accounts receivable sales adjusted for the effects of currency. In first quarter 2020, the $77 million decrease reflects decreased sales activity in the channel.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25"/>
          <w:szCs w:val="25"/>
          <w:b w:val="1"/>
          <w:bCs w:val="1"/>
          <w:color w:val="DA2031"/>
        </w:rPr>
        <w:t>Shared Services Arrangement with HCL Technologies</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2019, as part of Project Own It, Xerox entered into a shared services arrangement with HCL Technologies ("HCL") pursuant to which we transitioned certain global administrative and support functions, including, among others, selected information technology and finance functions (excluding accounting), from Xerox to HCL. This transition is expected to continue in 2020 and HCL is expected to make certain ongoing investments in software, tools and other technology to consolidate, optimize and automate the transferred functions with the goal of providing improved service levels and significant cost savings. The shared services arrangement with HCL includes a remaining aggregate spending commitment of approximately $1.2 billion over the next 6 years. However, we can terminate the arrangement at any time at our discretion, subject to payment of termination fees that decline over the term, or for cause.</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first quarter 2020 , we incurred net charges of approximately $45 million associated with this arrangement. The cost has been allocated to the various functional expense lines in the Condensed Consolidated Statements of (Loss) Income based on an assessment of the nature and amount of the costs incurred for the various transferred functions prior to their transfer to HCL.</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Termination of Proposed Transaction with HP Inc.</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2019, Xerox Holdings commenced a proposed business combination transaction with HP Inc. (“HP”). HP rejected our initial and subsequent proposals and refused to engage in mutual due diligence or negotiations. In January 2020, Xerox Holdings nominated a slate of directors to HP’s board to be voted on at HP’s 2020 annual meeting of stockholders and shortly thereafter, it launched a tender offer to acquire all outstanding shares of HP, as it intended to continue to pursue the proposed business combination transaction. However, the ongoing COVID-19 global health crisis and resulting macroeconomic and market turmoil created an environment that the company determined to not be conducive to Xerox Holdings continuing its pursuit of an acquisition of HP. Accordingly, on March 31, 2020 Xerox Holdings withdrew its tender offer to acquire HP and will no longer seek to nominate a slate of candidates to HP’s board of directors.</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2020, Xerox Holdings had obtained $24 billion in financing commitments from several banks to support the cash portion of the proposed business combination transaction with HP. On March 31, 2020, following the withdrawal of Xerox Holdings' tender offer to acquire HP, notice was provided to the banks of the immediate termination of the financing commitment. No termination penalties were paid as a result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7" w:right="379" w:bottom="1440" w:gutter="0" w:footer="0" w:header="0"/>
        </w:sectPr>
      </w:pPr>
    </w:p>
    <w:bookmarkStart w:id="28" w:name="page29"/>
    <w:bookmarkEnd w:id="28"/>
    <w:p>
      <w:pPr>
        <w:spacing w:after="0"/>
        <w:rPr>
          <w:sz w:val="20"/>
          <w:szCs w:val="20"/>
          <w:color w:val="auto"/>
        </w:rPr>
      </w:pPr>
      <w:r>
        <w:rPr>
          <w:rFonts w:ascii="Arial" w:cs="Arial" w:eastAsia="Arial" w:hAnsi="Arial"/>
          <w:sz w:val="25"/>
          <w:szCs w:val="25"/>
          <w:b w:val="1"/>
          <w:bCs w:val="1"/>
          <w:color w:val="DA2031"/>
        </w:rPr>
        <w:t>Forward-Looking Statements</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Corporation's and Xerox Holdings Corporation's Quarterly Reports on Form 10-Q and Current Reports on Form 8-K filed with the SEC.</w:t>
      </w:r>
    </w:p>
    <w:p>
      <w:pPr>
        <w:spacing w:after="0" w:line="97" w:lineRule="exact"/>
        <w:rPr>
          <w:sz w:val="20"/>
          <w:szCs w:val="20"/>
          <w:color w:val="auto"/>
        </w:rPr>
      </w:pPr>
    </w:p>
    <w:p>
      <w:pPr>
        <w:jc w:val="both"/>
        <w:ind w:right="180"/>
        <w:spacing w:after="0" w:line="318" w:lineRule="auto"/>
        <w:rPr>
          <w:sz w:val="20"/>
          <w:szCs w:val="20"/>
          <w:color w:val="auto"/>
        </w:rPr>
      </w:pPr>
      <w:r>
        <w:rPr>
          <w:rFonts w:ascii="Arial" w:cs="Arial" w:eastAsia="Arial" w:hAnsi="Arial"/>
          <w:sz w:val="17"/>
          <w:szCs w:val="17"/>
          <w:b w:val="1"/>
          <w:bCs w:val="1"/>
          <w:i w:val="1"/>
          <w:iCs w:val="1"/>
          <w:color w:val="212529"/>
        </w:rPr>
        <w:t>The effects of the COVID-19 pandemic have materially affected how we and our customers are operating our businesses, and the duration and extent to which this will impact our future results of operations and overall financial performance remain uncertain.</w:t>
      </w:r>
    </w:p>
    <w:p>
      <w:pPr>
        <w:spacing w:after="0" w:line="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COVID-19 pandemic has negatively impacted the global economy, disrupted customer spending and global supply chains, and created significant volatility and disruption of financial markets. The extent of the impact of the COVID -19 pandemic on our business and financial performance, including our ability to execute our near-term and long-term business strategies and initiatives within the expected time frames, will depend on future developments, including the duration and severity of the pandemic and </w:t>
      </w:r>
      <w:r>
        <w:rPr>
          <w:rFonts w:ascii="Arial" w:cs="Arial" w:eastAsia="Arial" w:hAnsi="Arial"/>
          <w:sz w:val="18"/>
          <w:szCs w:val="18"/>
          <w:color w:val="212529"/>
        </w:rPr>
        <w:t>the extent and effectiveness of containment</w:t>
      </w:r>
      <w:r>
        <w:rPr>
          <w:rFonts w:ascii="Arial" w:cs="Arial" w:eastAsia="Arial" w:hAnsi="Arial"/>
          <w:sz w:val="18"/>
          <w:szCs w:val="18"/>
          <w:color w:val="auto"/>
        </w:rPr>
        <w:t xml:space="preserve"> </w:t>
      </w:r>
      <w:r>
        <w:rPr>
          <w:rFonts w:ascii="Arial" w:cs="Arial" w:eastAsia="Arial" w:hAnsi="Arial"/>
          <w:sz w:val="18"/>
          <w:szCs w:val="18"/>
          <w:color w:val="212529"/>
        </w:rPr>
        <w:t xml:space="preserve">actions, </w:t>
      </w:r>
      <w:r>
        <w:rPr>
          <w:rFonts w:ascii="Arial" w:cs="Arial" w:eastAsia="Arial" w:hAnsi="Arial"/>
          <w:sz w:val="18"/>
          <w:szCs w:val="18"/>
          <w:color w:val="000000"/>
        </w:rPr>
        <w:t>the availability of therapeutics and the development of a vaccine, which are uncertain and cannot be predicted.</w:t>
      </w:r>
    </w:p>
    <w:p>
      <w:pPr>
        <w:spacing w:after="0" w:line="11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212529"/>
        </w:rPr>
        <w:t xml:space="preserve">Our operations are being negatively affected by a range of external factors related to the COVID-19 pandemic that are not within our control. For example, most countries, states, counties and cities have imposed and continue to impose a wide range of restrictions on our employees’, partners’ and customers’ physical movement to limit the spread of COVID-19 </w:t>
      </w:r>
      <w:r>
        <w:rPr>
          <w:rFonts w:ascii="Arial" w:cs="Arial" w:eastAsia="Arial" w:hAnsi="Arial"/>
          <w:sz w:val="18"/>
          <w:szCs w:val="18"/>
          <w:color w:val="000000"/>
        </w:rPr>
        <w:t>including travel bans and restrictions, quarantines,</w:t>
      </w:r>
      <w:r>
        <w:rPr>
          <w:rFonts w:ascii="Arial" w:cs="Arial" w:eastAsia="Arial" w:hAnsi="Arial"/>
          <w:sz w:val="18"/>
          <w:szCs w:val="18"/>
          <w:color w:val="212529"/>
        </w:rPr>
        <w:t xml:space="preserve"> </w:t>
      </w:r>
      <w:r>
        <w:rPr>
          <w:rFonts w:ascii="Arial" w:cs="Arial" w:eastAsia="Arial" w:hAnsi="Arial"/>
          <w:sz w:val="18"/>
          <w:szCs w:val="18"/>
          <w:color w:val="000000"/>
        </w:rPr>
        <w:t xml:space="preserve">shelter-in-place orders, and business limitations and shutdowns. </w:t>
      </w:r>
      <w:r>
        <w:rPr>
          <w:rFonts w:ascii="Arial" w:cs="Arial" w:eastAsia="Arial" w:hAnsi="Arial"/>
          <w:sz w:val="18"/>
          <w:szCs w:val="18"/>
          <w:color w:val="212529"/>
        </w:rPr>
        <w:t>Such restrictions limit our ability, as well as that of our channel partners, to</w:t>
      </w:r>
      <w:r>
        <w:rPr>
          <w:rFonts w:ascii="Arial" w:cs="Arial" w:eastAsia="Arial" w:hAnsi="Arial"/>
          <w:sz w:val="18"/>
          <w:szCs w:val="18"/>
          <w:color w:val="000000"/>
        </w:rPr>
        <w:t xml:space="preserve"> </w:t>
      </w:r>
      <w:r>
        <w:rPr>
          <w:rFonts w:ascii="Arial" w:cs="Arial" w:eastAsia="Arial" w:hAnsi="Arial"/>
          <w:sz w:val="18"/>
          <w:szCs w:val="18"/>
          <w:color w:val="212529"/>
        </w:rPr>
        <w:t>sell, install and service our equipment for our customers, negatively impacting our operations and financial performance. Further, many countries are requiring businesses to remain closed unless they or their employees are deemed essential. In turn, businesses are requiring their office employees to work from home for extended periods of time, which is negatively impacting both sales and use of Xerox products, supplies and services. The longer this persists, the greater effect it will have on our business.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5" w:right="379" w:bottom="1440" w:gutter="0" w:footer="0" w:header="0"/>
        </w:sectPr>
      </w:pPr>
    </w:p>
    <w:bookmarkStart w:id="29" w:name="page30"/>
    <w:bookmarkEnd w:id="29"/>
    <w:p>
      <w:pPr>
        <w:spacing w:after="0" w:line="256" w:lineRule="auto"/>
        <w:rPr>
          <w:sz w:val="20"/>
          <w:szCs w:val="20"/>
          <w:color w:val="auto"/>
        </w:rPr>
      </w:pPr>
      <w:r>
        <w:rPr>
          <w:rFonts w:ascii="Arial" w:cs="Arial" w:eastAsia="Arial" w:hAnsi="Arial"/>
          <w:sz w:val="18"/>
          <w:szCs w:val="18"/>
          <w:color w:val="auto"/>
        </w:rPr>
        <w:t>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692" w:right="559" w:bottom="1440" w:gutter="0" w:footer="0" w:header="0"/>
        </w:sectPr>
      </w:pPr>
    </w:p>
    <w:bookmarkStart w:id="30" w:name="page31"/>
    <w:bookmarkEnd w:id="30"/>
    <w:p>
      <w:pPr>
        <w:spacing w:after="0"/>
        <w:rPr>
          <w:sz w:val="20"/>
          <w:szCs w:val="20"/>
          <w:color w:val="auto"/>
        </w:rPr>
      </w:pPr>
      <w:r>
        <w:rPr>
          <w:rFonts w:ascii="Arial" w:cs="Arial" w:eastAsia="Arial" w:hAnsi="Arial"/>
          <w:sz w:val="25"/>
          <w:szCs w:val="25"/>
          <w:b w:val="1"/>
          <w:bCs w:val="1"/>
          <w:color w:val="DA2031"/>
        </w:rPr>
        <w:t>Non-GAAP Financial Measures</w:t>
      </w:r>
    </w:p>
    <w:p>
      <w:pPr>
        <w:spacing w:after="0" w:line="25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205" w:lineRule="exact"/>
        <w:rPr>
          <w:sz w:val="20"/>
          <w:szCs w:val="20"/>
          <w:color w:val="auto"/>
        </w:rPr>
      </w:pPr>
    </w:p>
    <w:p>
      <w:pPr>
        <w:jc w:val="both"/>
        <w:ind w:right="520"/>
        <w:spacing w:after="0" w:line="291" w:lineRule="auto"/>
        <w:rPr>
          <w:sz w:val="20"/>
          <w:szCs w:val="20"/>
          <w:color w:val="auto"/>
        </w:rPr>
      </w:pPr>
      <w:r>
        <w:rPr>
          <w:rFonts w:ascii="Arial" w:cs="Arial" w:eastAsia="Arial" w:hAnsi="Arial"/>
          <w:sz w:val="17"/>
          <w:szCs w:val="17"/>
          <w:color w:val="auto"/>
        </w:rPr>
        <w:t xml:space="preserve">A reconciliation of these non-GAAP financial measures to the most directly comparable financial measures calculated and presented in accordance with GAAP are set forth below as well as in the first quarter 2020 presentation slides available at </w:t>
      </w:r>
      <w:r>
        <w:rPr>
          <w:rFonts w:ascii="Arial" w:cs="Arial" w:eastAsia="Arial" w:hAnsi="Arial"/>
          <w:sz w:val="17"/>
          <w:szCs w:val="17"/>
          <w:u w:val="single" w:color="auto"/>
          <w:color w:val="auto"/>
        </w:rPr>
        <w:t>www.xerox.com/investor</w:t>
      </w:r>
      <w:r>
        <w:rPr>
          <w:rFonts w:ascii="Arial" w:cs="Arial" w:eastAsia="Arial" w:hAnsi="Arial"/>
          <w:sz w:val="17"/>
          <w:szCs w:val="17"/>
          <w:color w:val="auto"/>
        </w:rPr>
        <w:t xml:space="preserve"> .</w:t>
      </w:r>
    </w:p>
    <w:p>
      <w:pPr>
        <w:spacing w:after="0" w:line="1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Earnings Measures</w:t>
      </w:r>
    </w:p>
    <w:p>
      <w:pPr>
        <w:spacing w:after="0" w:line="2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99" w:lineRule="exact"/>
        <w:rPr>
          <w:sz w:val="20"/>
          <w:szCs w:val="20"/>
          <w:color w:val="auto"/>
        </w:rPr>
      </w:pPr>
    </w:p>
    <w:p>
      <w:pPr>
        <w:ind w:left="340" w:right="80" w:hanging="332"/>
        <w:spacing w:after="0" w:line="25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include restructuring and asset impairment charges as well as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83" w:lineRule="exact"/>
        <w:rPr>
          <w:rFonts w:ascii="Arial" w:cs="Arial" w:eastAsia="Arial" w:hAnsi="Arial"/>
          <w:sz w:val="18"/>
          <w:szCs w:val="18"/>
          <w:color w:val="auto"/>
        </w:rPr>
      </w:pPr>
    </w:p>
    <w:p>
      <w:pPr>
        <w:jc w:val="both"/>
        <w:ind w:left="340" w:right="60" w:hanging="332"/>
        <w:spacing w:after="0" w:line="26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intangible assets is driven by our acquisition activity which can vary in size,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71" w:lineRule="exact"/>
        <w:rPr>
          <w:rFonts w:ascii="Arial" w:cs="Arial" w:eastAsia="Arial" w:hAnsi="Arial"/>
          <w:sz w:val="18"/>
          <w:szCs w:val="18"/>
          <w:color w:val="auto"/>
        </w:rPr>
      </w:pPr>
    </w:p>
    <w:p>
      <w:pPr>
        <w:ind w:left="340" w:right="10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Transaction and related costs, net: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related costs, net are expenses incurred in connection with i) our announced</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to acquire HP Inc. and ii) our planned transaction with Fujifilm/Fuji Xerox, which was terminated in May 2018, inclusive of costs related to litigation resulting from the terminated transaction and other shareholder actions. The costs are primarily for third-party legal, accounting, consulting and other similar type professional services as well as potential legal settlements. These costs are considered incremental to our normal operating charges and were incurred or are expected to be incurred solely as a result of the planned transactions. Accordingly, we are excluding these expenses from our Adjusted Earnings Measures in order to evaluate our performance on a comparable basis.</w:t>
      </w:r>
    </w:p>
    <w:p>
      <w:pPr>
        <w:spacing w:after="0" w:line="80"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Non-service retirement-related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Our defined benefit pension and retiree health costs include several elements impacted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plan assets and 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is related to current employee service as well as the cost of our defined contribution plans.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1" w:name="page32"/>
    <w:bookmarkEnd w:id="31"/>
    <w:p>
      <w:pPr>
        <w:ind w:left="340" w:right="100" w:hanging="332"/>
        <w:spacing w:after="0" w:line="26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discrete, unusual or infrequent items:</w:t>
      </w:r>
      <w:r>
        <w:rPr>
          <w:rFonts w:ascii="Arial" w:cs="Arial" w:eastAsia="Arial" w:hAnsi="Arial"/>
          <w:sz w:val="18"/>
          <w:szCs w:val="18"/>
          <w:i w:val="1"/>
          <w:iCs w:val="1"/>
          <w:color w:val="auto"/>
        </w:rPr>
        <w:t xml:space="preserve"> </w:t>
      </w:r>
      <w:r>
        <w:rPr>
          <w:rFonts w:ascii="Arial" w:cs="Arial" w:eastAsia="Arial" w:hAnsi="Arial"/>
          <w:sz w:val="18"/>
          <w:szCs w:val="18"/>
          <w:color w:val="auto"/>
        </w:rPr>
        <w:t>We excluded the following items given their discrete, unusual or infrequent nature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our results for the period.</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â—¦Contract termination costs - IT services.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â—¦Impacts associated with the Tax Cuts and Jobs Act (the "Tax Act") enacted in December 2017.</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Operating Income/Margin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calculate and utilize adjusted operating income and margin measures by adjusting our reported pre-tax (loss)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Constant Currency</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9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 reconciliation of these non-GAAP financial measures and the most directly comparable measures calculated and presented in accordance with GAAP are set forth on the following tables: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98"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Net (Loss) Income and EPS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160" w:type="dxa"/>
            <w:vAlign w:val="bottom"/>
            <w:gridSpan w:val="4"/>
          </w:tcPr>
          <w:p>
            <w:pPr>
              <w:jc w:val="right"/>
              <w:ind w:right="428"/>
              <w:spacing w:after="0"/>
              <w:rPr>
                <w:sz w:val="20"/>
                <w:szCs w:val="20"/>
                <w:color w:val="auto"/>
              </w:rPr>
            </w:pPr>
            <w:r>
              <w:rPr>
                <w:rFonts w:ascii="Arial" w:cs="Arial" w:eastAsia="Arial" w:hAnsi="Arial"/>
                <w:sz w:val="14"/>
                <w:szCs w:val="14"/>
                <w:color w:val="auto"/>
              </w:rPr>
              <w:t>Three Months Ended</w:t>
            </w:r>
          </w:p>
        </w:tc>
      </w:tr>
      <w:tr>
        <w:trPr>
          <w:trHeight w:val="178"/>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color w:val="auto"/>
              </w:rPr>
              <w:t>March 31, 2020</w:t>
            </w: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color w:val="auto"/>
              </w:rPr>
              <w:t>March 31, 2019</w:t>
            </w:r>
          </w:p>
        </w:tc>
      </w:tr>
      <w:tr>
        <w:trPr>
          <w:trHeight w:val="193"/>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Income</w:t>
            </w:r>
          </w:p>
        </w:tc>
        <w:tc>
          <w:tcPr>
            <w:tcW w:w="10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EPS</w:t>
            </w:r>
          </w:p>
        </w:tc>
        <w:tc>
          <w:tcPr>
            <w:tcW w:w="120" w:type="dxa"/>
            <w:vAlign w:val="bottom"/>
            <w:tcBorders>
              <w:bottom w:val="single" w:sz="8" w:color="E5E5E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EPS</w:t>
            </w:r>
          </w:p>
        </w:tc>
      </w:tr>
      <w:tr>
        <w:trPr>
          <w:trHeight w:val="256"/>
        </w:trPr>
        <w:tc>
          <w:tcPr>
            <w:tcW w:w="65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 xml:space="preserve">Reported </w:t>
            </w:r>
            <w:r>
              <w:rPr>
                <w:rFonts w:ascii="Arial" w:cs="Arial" w:eastAsia="Arial" w:hAnsi="Arial"/>
                <w:sz w:val="17"/>
                <w:szCs w:val="17"/>
                <w:b w:val="1"/>
                <w:bCs w:val="1"/>
                <w:color w:val="auto"/>
                <w:vertAlign w:val="superscript"/>
              </w:rPr>
              <w:t>(1)</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22"/>
                <w:szCs w:val="22"/>
                <w:color w:val="auto"/>
              </w:rPr>
            </w:pPr>
          </w:p>
        </w:tc>
        <w:tc>
          <w:tcPr>
            <w:tcW w:w="2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E5E5E5"/>
          </w:tcPr>
          <w:p>
            <w:pPr>
              <w:spacing w:after="0"/>
              <w:rPr>
                <w:sz w:val="22"/>
                <w:szCs w:val="22"/>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E5E5E5"/>
          </w:tcPr>
          <w:p>
            <w:pPr>
              <w:spacing w:after="0"/>
              <w:rPr>
                <w:sz w:val="22"/>
                <w:szCs w:val="22"/>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0.34</w:t>
            </w:r>
          </w:p>
        </w:tc>
      </w:tr>
      <w:tr>
        <w:trPr>
          <w:trHeight w:val="264"/>
        </w:trPr>
        <w:tc>
          <w:tcPr>
            <w:tcW w:w="65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5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related costs</w:t>
            </w:r>
          </w:p>
        </w:tc>
        <w:tc>
          <w:tcPr>
            <w:tcW w:w="160" w:type="dxa"/>
            <w:vAlign w:val="bottom"/>
            <w:shd w:val="clear" w:color="auto" w:fill="E5E5E5"/>
          </w:tcPr>
          <w:p>
            <w:pPr>
              <w:spacing w:after="0"/>
              <w:rPr>
                <w:sz w:val="24"/>
                <w:szCs w:val="24"/>
                <w:color w:val="auto"/>
              </w:rPr>
            </w:pPr>
          </w:p>
        </w:tc>
        <w:tc>
          <w:tcPr>
            <w:tcW w:w="9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66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r>
      <w:tr>
        <w:trPr>
          <w:trHeight w:val="264"/>
        </w:trPr>
        <w:tc>
          <w:tcPr>
            <w:tcW w:w="652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5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Transaction and related costs, net</w:t>
            </w:r>
          </w:p>
        </w:tc>
        <w:tc>
          <w:tcPr>
            <w:tcW w:w="160" w:type="dxa"/>
            <w:vAlign w:val="bottom"/>
            <w:shd w:val="clear" w:color="auto" w:fill="E5E5E5"/>
          </w:tcPr>
          <w:p>
            <w:pPr>
              <w:spacing w:after="0"/>
              <w:rPr>
                <w:sz w:val="24"/>
                <w:szCs w:val="24"/>
                <w:color w:val="auto"/>
              </w:rPr>
            </w:pPr>
          </w:p>
        </w:tc>
        <w:tc>
          <w:tcPr>
            <w:tcW w:w="9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66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r>
      <w:tr>
        <w:trPr>
          <w:trHeight w:val="264"/>
        </w:trPr>
        <w:tc>
          <w:tcPr>
            <w:tcW w:w="652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5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Contract termination costs - IT services</w:t>
            </w:r>
          </w:p>
        </w:tc>
        <w:tc>
          <w:tcPr>
            <w:tcW w:w="160" w:type="dxa"/>
            <w:vAlign w:val="bottom"/>
            <w:shd w:val="clear" w:color="auto" w:fill="E5E5E5"/>
          </w:tcPr>
          <w:p>
            <w:pPr>
              <w:spacing w:after="0"/>
              <w:rPr>
                <w:sz w:val="24"/>
                <w:szCs w:val="24"/>
                <w:color w:val="auto"/>
              </w:rPr>
            </w:pPr>
          </w:p>
        </w:tc>
        <w:tc>
          <w:tcPr>
            <w:tcW w:w="9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66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4"/>
                <w:szCs w:val="14"/>
                <w:color w:val="auto"/>
              </w:rPr>
              <w:t xml:space="preserve">Income tax on adjustments </w:t>
            </w:r>
            <w:r>
              <w:rPr>
                <w:rFonts w:ascii="Arial" w:cs="Arial" w:eastAsia="Arial" w:hAnsi="Arial"/>
                <w:sz w:val="17"/>
                <w:szCs w:val="17"/>
                <w:color w:val="auto"/>
                <w:vertAlign w:val="superscript"/>
              </w:rPr>
              <w:t>(2)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5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Tax Act</w:t>
            </w:r>
          </w:p>
        </w:tc>
        <w:tc>
          <w:tcPr>
            <w:tcW w:w="160" w:type="dxa"/>
            <w:vAlign w:val="bottom"/>
            <w:shd w:val="clear" w:color="auto" w:fill="E5E5E5"/>
          </w:tcPr>
          <w:p>
            <w:pPr>
              <w:spacing w:after="0"/>
              <w:rPr>
                <w:sz w:val="23"/>
                <w:szCs w:val="23"/>
                <w:color w:val="auto"/>
              </w:rPr>
            </w:pP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23"/>
                <w:szCs w:val="23"/>
                <w:color w:val="auto"/>
              </w:rPr>
            </w:pPr>
          </w:p>
        </w:tc>
        <w:tc>
          <w:tcPr>
            <w:tcW w:w="66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40" w:type="dxa"/>
            <w:vAlign w:val="bottom"/>
            <w:shd w:val="clear" w:color="auto" w:fill="E5E5E5"/>
          </w:tcPr>
          <w:p>
            <w:pPr>
              <w:spacing w:after="0"/>
              <w:rPr>
                <w:sz w:val="23"/>
                <w:szCs w:val="23"/>
                <w:color w:val="auto"/>
              </w:rPr>
            </w:pPr>
          </w:p>
        </w:tc>
      </w:tr>
      <w:tr>
        <w:trPr>
          <w:trHeight w:val="276"/>
        </w:trPr>
        <w:tc>
          <w:tcPr>
            <w:tcW w:w="65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E5E5E5"/>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E5E5E5"/>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E5E5E5"/>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0.66</w:t>
            </w:r>
          </w:p>
        </w:tc>
      </w:tr>
      <w:tr>
        <w:trPr>
          <w:trHeight w:val="251"/>
        </w:trPr>
        <w:tc>
          <w:tcPr>
            <w:tcW w:w="65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Dividends on preferred stock used in adjusted EPS calculation </w:t>
            </w:r>
            <w:r>
              <w:rPr>
                <w:rFonts w:ascii="Arial" w:cs="Arial" w:eastAsia="Arial" w:hAnsi="Arial"/>
                <w:sz w:val="17"/>
                <w:szCs w:val="17"/>
                <w:color w:val="auto"/>
                <w:vertAlign w:val="superscript"/>
              </w:rPr>
              <w:t>(3)</w:t>
            </w:r>
          </w:p>
        </w:tc>
        <w:tc>
          <w:tcPr>
            <w:tcW w:w="160" w:type="dxa"/>
            <w:vAlign w:val="bottom"/>
            <w:shd w:val="clear" w:color="auto" w:fill="E5E5E5"/>
          </w:tcPr>
          <w:p>
            <w:pPr>
              <w:spacing w:after="0"/>
              <w:rPr>
                <w:sz w:val="21"/>
                <w:szCs w:val="21"/>
                <w:color w:val="auto"/>
              </w:rPr>
            </w:pPr>
          </w:p>
        </w:tc>
        <w:tc>
          <w:tcPr>
            <w:tcW w:w="9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2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9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shares for adjusted EPS </w:t>
            </w:r>
            <w:r>
              <w:rPr>
                <w:rFonts w:ascii="Arial" w:cs="Arial" w:eastAsia="Arial" w:hAnsi="Arial"/>
                <w:sz w:val="17"/>
                <w:szCs w:val="17"/>
                <w:color w:val="auto"/>
                <w:vertAlign w:val="superscript"/>
              </w:rPr>
              <w:t>(3)</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240</w:t>
            </w:r>
          </w:p>
        </w:tc>
      </w:tr>
      <w:tr>
        <w:trPr>
          <w:trHeight w:val="270"/>
        </w:trPr>
        <w:tc>
          <w:tcPr>
            <w:tcW w:w="65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Fully diluted shares at March 31, 2020 </w:t>
            </w:r>
            <w:r>
              <w:rPr>
                <w:rFonts w:ascii="Arial" w:cs="Arial" w:eastAsia="Arial" w:hAnsi="Arial"/>
                <w:sz w:val="17"/>
                <w:szCs w:val="17"/>
                <w:color w:val="auto"/>
                <w:vertAlign w:val="superscript"/>
              </w:rPr>
              <w:t>(4)</w:t>
            </w:r>
          </w:p>
        </w:tc>
        <w:tc>
          <w:tcPr>
            <w:tcW w:w="16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00" w:type="dxa"/>
            <w:vAlign w:val="bottom"/>
            <w:shd w:val="clear" w:color="auto" w:fill="E5E5E5"/>
          </w:tcPr>
          <w:p>
            <w:pPr>
              <w:spacing w:after="0"/>
              <w:rPr>
                <w:sz w:val="23"/>
                <w:szCs w:val="23"/>
                <w:color w:val="auto"/>
              </w:rPr>
            </w:pPr>
          </w:p>
        </w:tc>
        <w:tc>
          <w:tcPr>
            <w:tcW w:w="6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E5E5E5"/>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94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40" w:type="dxa"/>
            <w:vAlign w:val="bottom"/>
            <w:shd w:val="clear" w:color="auto" w:fill="E5E5E5"/>
          </w:tcPr>
          <w:p>
            <w:pPr>
              <w:spacing w:after="0"/>
              <w:rPr>
                <w:sz w:val="23"/>
                <w:szCs w:val="23"/>
                <w:color w:val="auto"/>
              </w:rPr>
            </w:pPr>
          </w:p>
        </w:tc>
      </w:tr>
      <w:tr>
        <w:trPr>
          <w:trHeight w:val="130"/>
        </w:trPr>
        <w:tc>
          <w:tcPr>
            <w:tcW w:w="64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(loss) income and EPS from continuing operations attributable to Xerox Holdings.</w:t>
      </w:r>
    </w:p>
    <w:p>
      <w:pPr>
        <w:ind w:left="340" w:hanging="332"/>
        <w:spacing w:after="0" w:line="187" w:lineRule="auto"/>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Effective Tax Rate reconciliation.</w:t>
      </w:r>
    </w:p>
    <w:p>
      <w:pPr>
        <w:ind w:left="140" w:hanging="132"/>
        <w:spacing w:after="0" w:line="211" w:lineRule="auto"/>
        <w:tabs>
          <w:tab w:leader="none" w:pos="140" w:val="left"/>
        </w:tabs>
        <w:numPr>
          <w:ilvl w:val="0"/>
          <w:numId w:val="3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Average shares for the calculation of adjusted diluted EPS for 2020 exclude 7 million shares associated with our Series A convertible preferred stock and therefore earnings</w:t>
      </w:r>
    </w:p>
    <w:p>
      <w:pPr>
        <w:ind w:left="340" w:right="40"/>
        <w:spacing w:after="0" w:line="238" w:lineRule="auto"/>
        <w:rPr>
          <w:sz w:val="20"/>
          <w:szCs w:val="20"/>
          <w:color w:val="auto"/>
        </w:rPr>
      </w:pPr>
      <w:r>
        <w:rPr>
          <w:rFonts w:ascii="Arial" w:cs="Arial" w:eastAsia="Arial" w:hAnsi="Arial"/>
          <w:sz w:val="14"/>
          <w:szCs w:val="14"/>
          <w:i w:val="1"/>
          <w:iCs w:val="1"/>
          <w:color w:val="auto"/>
        </w:rPr>
        <w:t>include the preferred stock dividend. In addition, adjusted diluted EPS shares for 2020 include 4 million shares for potential dilutive common shares, which are not included in the GAAP EPS calculation since it was a loss. Average shares for the calculation of adjusted diluted EPS for 2019 exclude the preferred stock dividend and include 7 million shares associated with our Series A convertible preferred stock.</w:t>
      </w:r>
    </w:p>
    <w:p>
      <w:pPr>
        <w:spacing w:after="0" w:line="2" w:lineRule="exact"/>
        <w:rPr>
          <w:sz w:val="20"/>
          <w:szCs w:val="20"/>
          <w:color w:val="auto"/>
        </w:rPr>
      </w:pPr>
    </w:p>
    <w:p>
      <w:pPr>
        <w:ind w:left="260" w:right="40" w:hanging="252"/>
        <w:spacing w:after="0" w:line="221" w:lineRule="auto"/>
        <w:tabs>
          <w:tab w:leader="none" w:pos="122" w:val="left"/>
        </w:tabs>
        <w:numPr>
          <w:ilvl w:val="0"/>
          <w:numId w:val="3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common shares outstanding at March 31, 2020 plus potential dilutive common shares as used for the calculation of adjusted diluted EPS for the first quarter 2020. The amount excludes shares associated with our Series A convertible preferred stock as they are expected to be anti-dilutive for the year.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Tax Rate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5"/>
          </w:tcPr>
          <w:p>
            <w:pPr>
              <w:jc w:val="center"/>
              <w:ind w:right="40"/>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40" w:type="dxa"/>
            <w:vAlign w:val="bottom"/>
            <w:gridSpan w:val="5"/>
          </w:tcPr>
          <w:p>
            <w:pPr>
              <w:jc w:val="center"/>
              <w:ind w:right="104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color w:val="auto"/>
              </w:rPr>
              <w:t>March 31, 2020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rPr>
              <w:t>March 31, 2019</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color w:val="auto"/>
              </w:rPr>
              <w:t>Income Tax</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Income Tax</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Pre-Tax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color w:val="auto"/>
              </w:rPr>
              <w:t>(Benefit)</w:t>
            </w: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Effective Tax</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(Benefit)</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Income</w:t>
            </w:r>
          </w:p>
        </w:tc>
        <w:tc>
          <w:tcPr>
            <w:tcW w:w="120" w:type="dxa"/>
            <w:vAlign w:val="bottom"/>
            <w:tcBorders>
              <w:bottom w:val="single" w:sz="8" w:color="E5E5E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E5E5E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Rate</w:t>
            </w:r>
          </w:p>
        </w:tc>
        <w:tc>
          <w:tcPr>
            <w:tcW w:w="120" w:type="dxa"/>
            <w:vAlign w:val="bottom"/>
            <w:tcBorders>
              <w:bottom w:val="single" w:sz="8" w:color="E5E5E5"/>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Borders>
              <w:bottom w:val="single" w:sz="8" w:color="E5E5E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E5E5E5"/>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Effective Tax Rate</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 xml:space="preserve">Reported </w:t>
            </w:r>
            <w:r>
              <w:rPr>
                <w:rFonts w:ascii="Arial" w:cs="Arial" w:eastAsia="Arial" w:hAnsi="Arial"/>
                <w:sz w:val="17"/>
                <w:szCs w:val="17"/>
                <w:b w:val="1"/>
                <w:bCs w:val="1"/>
                <w:color w:val="auto"/>
                <w:vertAlign w:val="superscript"/>
              </w:rPr>
              <w:t>(1)</w:t>
            </w: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E5E5E5"/>
          </w:tcPr>
          <w:p>
            <w:pPr>
              <w:spacing w:after="0"/>
              <w:rPr>
                <w:sz w:val="22"/>
                <w:szCs w:val="22"/>
                <w:color w:val="auto"/>
              </w:rPr>
            </w:pP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73</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5E5E5"/>
          </w:tcPr>
          <w:p>
            <w:pPr>
              <w:spacing w:after="0"/>
              <w:rPr>
                <w:sz w:val="22"/>
                <w:szCs w:val="22"/>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 xml:space="preserve">Non-GAAP Adjustments </w:t>
            </w:r>
            <w:r>
              <w:rPr>
                <w:rFonts w:ascii="Arial" w:cs="Arial" w:eastAsia="Arial" w:hAnsi="Arial"/>
                <w:sz w:val="17"/>
                <w:szCs w:val="17"/>
                <w:color w:val="auto"/>
                <w:vertAlign w:val="superscript"/>
              </w:rPr>
              <w:t>(2)</w:t>
            </w:r>
          </w:p>
        </w:tc>
        <w:tc>
          <w:tcPr>
            <w:tcW w:w="2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Tax Act</w:t>
            </w:r>
          </w:p>
        </w:tc>
        <w:tc>
          <w:tcPr>
            <w:tcW w:w="200" w:type="dxa"/>
            <w:vAlign w:val="bottom"/>
            <w:tcBorders>
              <w:bottom w:val="single" w:sz="8" w:color="auto"/>
            </w:tcBorders>
            <w:shd w:val="clear" w:color="auto" w:fill="E5E5E5"/>
          </w:tcPr>
          <w:p>
            <w:pPr>
              <w:spacing w:after="0"/>
              <w:rPr>
                <w:sz w:val="23"/>
                <w:szCs w:val="23"/>
                <w:color w:val="auto"/>
              </w:rPr>
            </w:pPr>
          </w:p>
        </w:tc>
        <w:tc>
          <w:tcPr>
            <w:tcW w:w="9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23"/>
                <w:szCs w:val="23"/>
                <w:color w:val="auto"/>
              </w:rPr>
            </w:pPr>
          </w:p>
        </w:tc>
        <w:tc>
          <w:tcPr>
            <w:tcW w:w="140" w:type="dxa"/>
            <w:vAlign w:val="bottom"/>
            <w:tcBorders>
              <w:bottom w:val="single" w:sz="8" w:color="auto"/>
            </w:tcBorders>
            <w:shd w:val="clear" w:color="auto" w:fill="E5E5E5"/>
          </w:tcPr>
          <w:p>
            <w:pPr>
              <w:spacing w:after="0"/>
              <w:rPr>
                <w:sz w:val="23"/>
                <w:szCs w:val="23"/>
                <w:color w:val="auto"/>
              </w:rPr>
            </w:pPr>
          </w:p>
        </w:tc>
        <w:tc>
          <w:tcPr>
            <w:tcW w:w="9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5E5E5"/>
          </w:tcPr>
          <w:p>
            <w:pPr>
              <w:spacing w:after="0"/>
              <w:rPr>
                <w:sz w:val="23"/>
                <w:szCs w:val="23"/>
                <w:color w:val="auto"/>
              </w:rPr>
            </w:pPr>
          </w:p>
        </w:tc>
        <w:tc>
          <w:tcPr>
            <w:tcW w:w="106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spacing w:after="0"/>
              <w:rPr>
                <w:sz w:val="23"/>
                <w:szCs w:val="23"/>
                <w:color w:val="auto"/>
              </w:rPr>
            </w:pPr>
          </w:p>
        </w:tc>
        <w:tc>
          <w:tcPr>
            <w:tcW w:w="6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23"/>
                <w:szCs w:val="23"/>
                <w:color w:val="auto"/>
              </w:rPr>
            </w:pPr>
          </w:p>
        </w:tc>
        <w:tc>
          <w:tcPr>
            <w:tcW w:w="120" w:type="dxa"/>
            <w:vAlign w:val="bottom"/>
            <w:tcBorders>
              <w:bottom w:val="single" w:sz="8" w:color="auto"/>
            </w:tcBorders>
            <w:shd w:val="clear" w:color="auto" w:fill="E5E5E5"/>
          </w:tcPr>
          <w:p>
            <w:pPr>
              <w:spacing w:after="0"/>
              <w:rPr>
                <w:sz w:val="23"/>
                <w:szCs w:val="23"/>
                <w:color w:val="auto"/>
              </w:rPr>
            </w:pPr>
          </w:p>
        </w:tc>
        <w:tc>
          <w:tcPr>
            <w:tcW w:w="10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5E5E5"/>
          </w:tcPr>
          <w:p>
            <w:pPr>
              <w:spacing w:after="0"/>
              <w:rPr>
                <w:sz w:val="23"/>
                <w:szCs w:val="23"/>
                <w:color w:val="auto"/>
              </w:rPr>
            </w:pPr>
          </w:p>
        </w:tc>
        <w:tc>
          <w:tcPr>
            <w:tcW w:w="122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7"/>
                <w:szCs w:val="17"/>
                <w:b w:val="1"/>
                <w:bCs w:val="1"/>
                <w:color w:val="auto"/>
                <w:vertAlign w:val="superscript"/>
              </w:rPr>
              <w:t>(3)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0"/>
                <w:szCs w:val="20"/>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26.3 %</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Pre-tax (loss) income and income tax benefit from continuing operations.</w:t>
      </w:r>
    </w:p>
    <w:p>
      <w:pPr>
        <w:ind w:left="140" w:hanging="132"/>
        <w:spacing w:after="0" w:line="211" w:lineRule="auto"/>
        <w:tabs>
          <w:tab w:leader="none" w:pos="140" w:val="left"/>
        </w:tabs>
        <w:numPr>
          <w:ilvl w:val="0"/>
          <w:numId w:val="3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 to Net (Loss) Income and EPS reconciliation for details.</w:t>
      </w:r>
    </w:p>
    <w:p>
      <w:pPr>
        <w:ind w:right="2400" w:firstLine="8"/>
        <w:spacing w:after="0" w:line="281" w:lineRule="auto"/>
        <w:tabs>
          <w:tab w:leader="none" w:pos="135" w:val="left"/>
        </w:tabs>
        <w:numPr>
          <w:ilvl w:val="0"/>
          <w:numId w:val="35"/>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tax impact on Adjusted Pre-Tax Income from continuing operations is calculated under the same accounting principles applied to the Reported Pre-Tax (Loss) Income under ASC 740, which employs an annual effective tax rate method to the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Operating Income / Margin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color w:val="auto"/>
              </w:rPr>
              <w:t>March 31, 2020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color w:val="auto"/>
              </w:rPr>
              <w:t>March 31, 2019</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(Loss) Profit</w:t>
            </w:r>
          </w:p>
        </w:tc>
        <w:tc>
          <w:tcPr>
            <w:tcW w:w="120" w:type="dxa"/>
            <w:vAlign w:val="bottom"/>
            <w:tcBorders>
              <w:bottom w:val="single" w:sz="8" w:color="E5E5E5"/>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E5E5E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Margin</w:t>
            </w:r>
          </w:p>
        </w:tc>
        <w:tc>
          <w:tcPr>
            <w:tcW w:w="10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E5E5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E5E5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 xml:space="preserve">Reported </w:t>
            </w:r>
            <w:r>
              <w:rPr>
                <w:rFonts w:ascii="Arial" w:cs="Arial" w:eastAsia="Arial" w:hAnsi="Arial"/>
                <w:sz w:val="17"/>
                <w:szCs w:val="17"/>
                <w:b w:val="1"/>
                <w:bCs w:val="1"/>
                <w:color w:val="auto"/>
                <w:vertAlign w:val="superscript"/>
              </w:rPr>
              <w:t>(1)</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1,860</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E5E5E5"/>
          </w:tcPr>
          <w:p>
            <w:pPr>
              <w:spacing w:after="0"/>
              <w:rPr>
                <w:sz w:val="22"/>
                <w:szCs w:val="22"/>
                <w:color w:val="auto"/>
              </w:rPr>
            </w:pPr>
          </w:p>
        </w:tc>
        <w:tc>
          <w:tcPr>
            <w:tcW w:w="2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73</w:t>
            </w:r>
          </w:p>
        </w:tc>
        <w:tc>
          <w:tcPr>
            <w:tcW w:w="300" w:type="dxa"/>
            <w:vAlign w:val="bottom"/>
            <w:gridSpan w:val="2"/>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related costs</w:t>
            </w:r>
          </w:p>
        </w:tc>
        <w:tc>
          <w:tcPr>
            <w:tcW w:w="140" w:type="dxa"/>
            <w:vAlign w:val="bottom"/>
            <w:shd w:val="clear" w:color="auto" w:fill="E5E5E5"/>
          </w:tcPr>
          <w:p>
            <w:pPr>
              <w:spacing w:after="0"/>
              <w:rPr>
                <w:sz w:val="24"/>
                <w:szCs w:val="24"/>
                <w:color w:val="auto"/>
              </w:rPr>
            </w:pP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2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6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Transaction and related costs, net</w:t>
            </w:r>
          </w:p>
        </w:tc>
        <w:tc>
          <w:tcPr>
            <w:tcW w:w="140" w:type="dxa"/>
            <w:vAlign w:val="bottom"/>
            <w:shd w:val="clear" w:color="auto" w:fill="E5E5E5"/>
          </w:tcPr>
          <w:p>
            <w:pPr>
              <w:spacing w:after="0"/>
              <w:rPr>
                <w:sz w:val="24"/>
                <w:szCs w:val="24"/>
                <w:color w:val="auto"/>
              </w:rPr>
            </w:pP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10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2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96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 expenses, net</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E5E5E5"/>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E5E5E5"/>
            </w:tcBorders>
          </w:tcPr>
          <w:p>
            <w:pPr>
              <w:spacing w:after="0"/>
              <w:rPr>
                <w:sz w:val="22"/>
                <w:szCs w:val="22"/>
                <w:color w:val="auto"/>
              </w:rPr>
            </w:pPr>
          </w:p>
        </w:tc>
        <w:tc>
          <w:tcPr>
            <w:tcW w:w="220" w:type="dxa"/>
            <w:vAlign w:val="bottom"/>
            <w:tcBorders>
              <w:bottom w:val="single" w:sz="8" w:color="E5E5E5"/>
            </w:tcBorders>
          </w:tcPr>
          <w:p>
            <w:pPr>
              <w:spacing w:after="0"/>
              <w:rPr>
                <w:sz w:val="22"/>
                <w:szCs w:val="22"/>
                <w:color w:val="auto"/>
              </w:rPr>
            </w:pPr>
          </w:p>
        </w:tc>
        <w:tc>
          <w:tcPr>
            <w:tcW w:w="1000" w:type="dxa"/>
            <w:vAlign w:val="bottom"/>
            <w:tcBorders>
              <w:bottom w:val="single" w:sz="8" w:color="E5E5E5"/>
            </w:tcBorders>
          </w:tcPr>
          <w:p>
            <w:pPr>
              <w:spacing w:after="0"/>
              <w:rPr>
                <w:sz w:val="22"/>
                <w:szCs w:val="22"/>
                <w:color w:val="auto"/>
              </w:rPr>
            </w:pPr>
          </w:p>
        </w:tc>
        <w:tc>
          <w:tcPr>
            <w:tcW w:w="10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E5E5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E5E5E5"/>
            </w:tcBorders>
          </w:tcPr>
          <w:p>
            <w:pPr>
              <w:spacing w:after="0"/>
              <w:rPr>
                <w:sz w:val="22"/>
                <w:szCs w:val="22"/>
                <w:color w:val="auto"/>
              </w:rPr>
            </w:pPr>
          </w:p>
        </w:tc>
        <w:tc>
          <w:tcPr>
            <w:tcW w:w="200" w:type="dxa"/>
            <w:vAlign w:val="bottom"/>
            <w:tcBorders>
              <w:bottom w:val="single" w:sz="8" w:color="E5E5E5"/>
            </w:tcBorders>
          </w:tcPr>
          <w:p>
            <w:pPr>
              <w:spacing w:after="0"/>
              <w:rPr>
                <w:sz w:val="22"/>
                <w:szCs w:val="22"/>
                <w:color w:val="auto"/>
              </w:rPr>
            </w:pPr>
          </w:p>
        </w:tc>
        <w:tc>
          <w:tcPr>
            <w:tcW w:w="960" w:type="dxa"/>
            <w:vAlign w:val="bottom"/>
            <w:tcBorders>
              <w:bottom w:val="single" w:sz="8" w:color="E5E5E5"/>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Adjusted</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87</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1,860</w:t>
            </w:r>
          </w:p>
        </w:tc>
        <w:tc>
          <w:tcPr>
            <w:tcW w:w="10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4.7 %</w:t>
            </w:r>
          </w:p>
        </w:tc>
        <w:tc>
          <w:tcPr>
            <w:tcW w:w="100" w:type="dxa"/>
            <w:vAlign w:val="bottom"/>
            <w:shd w:val="clear" w:color="auto" w:fill="E5E5E5"/>
          </w:tcPr>
          <w:p>
            <w:pPr>
              <w:spacing w:after="0"/>
              <w:rPr>
                <w:sz w:val="21"/>
                <w:szCs w:val="21"/>
                <w:color w:val="auto"/>
              </w:rPr>
            </w:pPr>
          </w:p>
        </w:tc>
        <w:tc>
          <w:tcPr>
            <w:tcW w:w="2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239</w:t>
            </w:r>
          </w:p>
        </w:tc>
        <w:tc>
          <w:tcPr>
            <w:tcW w:w="300" w:type="dxa"/>
            <w:vAlign w:val="bottom"/>
            <w:gridSpan w:val="2"/>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3780" w:type="dxa"/>
            <w:vAlign w:val="bottom"/>
            <w:tcBorders>
              <w:top w:val="single" w:sz="8" w:color="E5E5E5"/>
              <w:bottom w:val="single" w:sz="8" w:color="E5E5E5"/>
            </w:tcBorders>
            <w:vMerge w:val="restart"/>
          </w:tcPr>
          <w:p>
            <w:pPr>
              <w:spacing w:after="0"/>
              <w:rPr>
                <w:sz w:val="20"/>
                <w:szCs w:val="20"/>
                <w:color w:val="auto"/>
              </w:rPr>
            </w:pPr>
            <w:r>
              <w:rPr>
                <w:rFonts w:ascii="Arial" w:cs="Arial" w:eastAsia="Arial" w:hAnsi="Arial"/>
                <w:sz w:val="11"/>
                <w:szCs w:val="11"/>
                <w:color w:val="auto"/>
              </w:rPr>
              <w:t>___________________________</w:t>
            </w:r>
          </w:p>
        </w:tc>
        <w:tc>
          <w:tcPr>
            <w:tcW w:w="12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tcBorders>
          </w:tcPr>
          <w:p>
            <w:pPr>
              <w:spacing w:after="0" w:line="20" w:lineRule="exact"/>
              <w:rPr>
                <w:sz w:val="1"/>
                <w:szCs w:val="1"/>
                <w:color w:val="auto"/>
              </w:rPr>
            </w:pPr>
          </w:p>
        </w:tc>
        <w:tc>
          <w:tcPr>
            <w:tcW w:w="10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96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Pre-tax (Loss) Income and revenue from continuing operations.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 reconciliation</w:t>
      </w:r>
    </w:p>
    <w:p>
      <w:pPr>
        <w:spacing w:after="0" w:line="249" w:lineRule="exact"/>
        <w:rPr>
          <w:sz w:val="20"/>
          <w:szCs w:val="20"/>
          <w:color w:val="auto"/>
        </w:rPr>
      </w:pPr>
    </w:p>
    <w:p>
      <w:pPr>
        <w:ind w:left="91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14605</wp:posOffset>
            </wp:positionV>
            <wp:extent cx="17741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6"/>
        </w:trPr>
        <w:tc>
          <w:tcPr>
            <w:tcW w:w="84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 xml:space="preserve">Reported </w:t>
            </w:r>
            <w:r>
              <w:rPr>
                <w:rFonts w:ascii="Arial" w:cs="Arial" w:eastAsia="Arial" w:hAnsi="Arial"/>
                <w:sz w:val="17"/>
                <w:szCs w:val="17"/>
                <w:b w:val="1"/>
                <w:bCs w:val="1"/>
                <w:color w:val="auto"/>
                <w:vertAlign w:val="superscript"/>
              </w:rPr>
              <w:t>(1)</w:t>
            </w: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84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cash provided by operating activities of continuing operations.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5"/>
          <w:szCs w:val="25"/>
          <w:b w:val="1"/>
          <w:bCs w:val="1"/>
          <w:color w:val="DA2031"/>
        </w:rPr>
        <w:t>APPENDIX 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A2031"/>
        </w:rPr>
        <w:t>Xerox Holdings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A2031"/>
        </w:rPr>
        <w:t>(Loss) Earnings per Common Share</w:t>
      </w:r>
    </w:p>
    <w:p>
      <w:pPr>
        <w:spacing w:after="0" w:line="200" w:lineRule="exact"/>
        <w:rPr>
          <w:sz w:val="20"/>
          <w:szCs w:val="20"/>
          <w:color w:val="auto"/>
        </w:rPr>
      </w:pPr>
    </w:p>
    <w:p>
      <w:pPr>
        <w:spacing w:after="0" w:line="220" w:lineRule="exact"/>
        <w:rPr>
          <w:sz w:val="20"/>
          <w:szCs w:val="20"/>
          <w:color w:val="auto"/>
        </w:rPr>
      </w:pPr>
    </w:p>
    <w:p>
      <w:pPr>
        <w:ind w:left="90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20" w:type="dxa"/>
            <w:vAlign w:val="bottom"/>
            <w:gridSpan w:val="2"/>
          </w:tcPr>
          <w:p>
            <w:pPr>
              <w:ind w:left="40"/>
              <w:spacing w:after="0"/>
              <w:rPr>
                <w:sz w:val="20"/>
                <w:szCs w:val="20"/>
                <w:color w:val="auto"/>
              </w:rPr>
            </w:pPr>
            <w:r>
              <w:rPr>
                <w:rFonts w:ascii="Arial" w:cs="Arial" w:eastAsia="Arial" w:hAnsi="Arial"/>
                <w:sz w:val="13"/>
                <w:szCs w:val="13"/>
                <w:color w:val="auto"/>
              </w:rPr>
              <w:t>(in millions, except per-share data, shares in thousands)</w:t>
            </w:r>
          </w:p>
        </w:tc>
        <w:tc>
          <w:tcPr>
            <w:tcW w:w="340" w:type="dxa"/>
            <w:vAlign w:val="bottom"/>
          </w:tcPr>
          <w:p>
            <w:pPr>
              <w:spacing w:after="0"/>
              <w:rPr>
                <w:sz w:val="15"/>
                <w:szCs w:val="15"/>
                <w:color w:val="auto"/>
              </w:rPr>
            </w:pPr>
          </w:p>
        </w:tc>
        <w:tc>
          <w:tcPr>
            <w:tcW w:w="1660" w:type="dxa"/>
            <w:vAlign w:val="bottom"/>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020" w:type="dxa"/>
            <w:vAlign w:val="bottom"/>
          </w:tcPr>
          <w:p>
            <w:pPr>
              <w:spacing w:after="0"/>
              <w:rPr>
                <w:sz w:val="15"/>
                <w:szCs w:val="15"/>
                <w:color w:val="auto"/>
              </w:rPr>
            </w:pPr>
          </w:p>
        </w:tc>
      </w:tr>
      <w:tr>
        <w:trPr>
          <w:trHeight w:val="264"/>
        </w:trPr>
        <w:tc>
          <w:tcPr>
            <w:tcW w:w="8100" w:type="dxa"/>
            <w:vAlign w:val="bottom"/>
            <w:tcBorders>
              <w:top w:val="single" w:sz="8" w:color="auto"/>
              <w:bottom w:val="single" w:sz="8" w:color="E5E5E5"/>
            </w:tcBorders>
          </w:tcPr>
          <w:p>
            <w:pPr>
              <w:spacing w:after="0"/>
              <w:rPr>
                <w:sz w:val="22"/>
                <w:szCs w:val="22"/>
                <w:color w:val="auto"/>
              </w:rPr>
            </w:pPr>
          </w:p>
        </w:tc>
        <w:tc>
          <w:tcPr>
            <w:tcW w:w="120" w:type="dxa"/>
            <w:vAlign w:val="bottom"/>
            <w:tcBorders>
              <w:bottom w:val="single" w:sz="8" w:color="E5E5E5"/>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bottom w:val="single" w:sz="8" w:color="E5E5E5"/>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r>
      <w:tr>
        <w:trPr>
          <w:trHeight w:val="270"/>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Basic (Loss) Earnings per Share:</w:t>
            </w: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20" w:type="dxa"/>
            <w:vAlign w:val="bottom"/>
            <w:shd w:val="clear" w:color="auto" w:fill="E5E5E5"/>
          </w:tcPr>
          <w:p>
            <w:pPr>
              <w:spacing w:after="0"/>
              <w:rPr>
                <w:sz w:val="23"/>
                <w:szCs w:val="23"/>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Net (Loss) Income from continuing operations attributable to Xerox Holdings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84</w:t>
            </w:r>
          </w:p>
        </w:tc>
      </w:tr>
      <w:tr>
        <w:trPr>
          <w:trHeight w:val="270"/>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Borders>
              <w:bottom w:val="single" w:sz="8" w:color="auto"/>
            </w:tcBorders>
            <w:shd w:val="clear" w:color="auto" w:fill="E5E5E5"/>
          </w:tcPr>
          <w:p>
            <w:pPr>
              <w:spacing w:after="0"/>
              <w:rPr>
                <w:sz w:val="23"/>
                <w:szCs w:val="23"/>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spacing w:after="0"/>
              <w:rPr>
                <w:sz w:val="23"/>
                <w:szCs w:val="23"/>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250"/>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Adjusted net (loss) income from continuing operations available to common shareholders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70"/>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Income from discontinued operations attributable to Xerox Holdings, net of tax</w:t>
            </w:r>
          </w:p>
        </w:tc>
        <w:tc>
          <w:tcPr>
            <w:tcW w:w="340" w:type="dxa"/>
            <w:vAlign w:val="bottom"/>
            <w:shd w:val="clear" w:color="auto" w:fill="E5E5E5"/>
          </w:tcPr>
          <w:p>
            <w:pPr>
              <w:spacing w:after="0"/>
              <w:rPr>
                <w:sz w:val="23"/>
                <w:szCs w:val="23"/>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49</w:t>
            </w:r>
          </w:p>
        </w:tc>
      </w:tr>
      <w:tr>
        <w:trPr>
          <w:trHeight w:val="283"/>
        </w:trPr>
        <w:tc>
          <w:tcPr>
            <w:tcW w:w="82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Adjusted net (loss) income available to common shareholders</w:t>
            </w: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E5E5E5"/>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r>
      <w:tr>
        <w:trPr>
          <w:trHeight w:val="223"/>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E5E5E5"/>
          </w:tcPr>
          <w:p>
            <w:pPr>
              <w:spacing w:after="0"/>
              <w:rPr>
                <w:sz w:val="19"/>
                <w:szCs w:val="19"/>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212,750</w:t>
            </w:r>
          </w:p>
        </w:tc>
        <w:tc>
          <w:tcPr>
            <w:tcW w:w="12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228,567</w:t>
            </w:r>
          </w:p>
        </w:tc>
      </w:tr>
      <w:tr>
        <w:trPr>
          <w:trHeight w:val="284"/>
        </w:trPr>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Basic (Loss) Earnings per Share:</w:t>
            </w: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20" w:type="dxa"/>
            <w:vAlign w:val="bottom"/>
            <w:shd w:val="clear" w:color="auto" w:fill="E5E5E5"/>
          </w:tcPr>
          <w:p>
            <w:pPr>
              <w:spacing w:after="0"/>
              <w:rPr>
                <w:sz w:val="23"/>
                <w:szCs w:val="23"/>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0.35</w:t>
            </w:r>
          </w:p>
        </w:tc>
      </w:tr>
      <w:tr>
        <w:trPr>
          <w:trHeight w:val="27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E5E5E5"/>
          </w:tcPr>
          <w:p>
            <w:pPr>
              <w:spacing w:after="0"/>
              <w:rPr>
                <w:sz w:val="24"/>
                <w:szCs w:val="24"/>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24"/>
                <w:szCs w:val="24"/>
                <w:color w:val="auto"/>
              </w:rPr>
            </w:pP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0.22</w:t>
            </w:r>
          </w:p>
        </w:tc>
      </w:tr>
      <w:tr>
        <w:trPr>
          <w:trHeight w:val="277"/>
        </w:trPr>
        <w:tc>
          <w:tcPr>
            <w:tcW w:w="82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Basic (Loss) Earnings per Share</w:t>
            </w: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E5E5E5"/>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0.57</w:t>
            </w:r>
          </w:p>
        </w:tc>
      </w:tr>
      <w:tr>
        <w:trPr>
          <w:trHeight w:val="264"/>
        </w:trPr>
        <w:tc>
          <w:tcPr>
            <w:tcW w:w="810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420" w:type="dxa"/>
            <w:vAlign w:val="bottom"/>
            <w:shd w:val="clear" w:color="auto" w:fill="E5E5E5"/>
          </w:tcPr>
          <w:p>
            <w:pPr>
              <w:spacing w:after="0"/>
              <w:rPr>
                <w:sz w:val="22"/>
                <w:szCs w:val="22"/>
                <w:color w:val="auto"/>
              </w:rPr>
            </w:pPr>
          </w:p>
        </w:tc>
        <w:tc>
          <w:tcPr>
            <w:tcW w:w="1020" w:type="dxa"/>
            <w:vAlign w:val="bottom"/>
            <w:shd w:val="clear" w:color="auto" w:fill="E5E5E5"/>
          </w:tcPr>
          <w:p>
            <w:pPr>
              <w:spacing w:after="0"/>
              <w:rPr>
                <w:sz w:val="22"/>
                <w:szCs w:val="22"/>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Diluted (Loss) Earnings per Share:</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(Loss) Income from continuing operations attributable to Xerox Holdings</w:t>
            </w:r>
          </w:p>
        </w:tc>
        <w:tc>
          <w:tcPr>
            <w:tcW w:w="3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24"/>
                <w:szCs w:val="24"/>
                <w:color w:val="auto"/>
              </w:rPr>
            </w:pP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84</w:t>
            </w:r>
          </w:p>
        </w:tc>
      </w:tr>
      <w:tr>
        <w:trPr>
          <w:trHeight w:val="264"/>
        </w:trPr>
        <w:tc>
          <w:tcPr>
            <w:tcW w:w="82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E5E5E5"/>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5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Adjusted net (loss) income from continuing operations available to common shareholders</w:t>
            </w: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E5E5E5"/>
          </w:tcPr>
          <w:p>
            <w:pPr>
              <w:spacing w:after="0"/>
              <w:rPr>
                <w:sz w:val="22"/>
                <w:szCs w:val="22"/>
                <w:color w:val="auto"/>
              </w:rPr>
            </w:pPr>
          </w:p>
        </w:tc>
        <w:tc>
          <w:tcPr>
            <w:tcW w:w="420" w:type="dxa"/>
            <w:vAlign w:val="bottom"/>
            <w:shd w:val="clear" w:color="auto" w:fill="E5E5E5"/>
          </w:tcPr>
          <w:p>
            <w:pPr>
              <w:spacing w:after="0"/>
              <w:rPr>
                <w:sz w:val="22"/>
                <w:szCs w:val="22"/>
                <w:color w:val="auto"/>
              </w:rPr>
            </w:pP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80</w:t>
            </w: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Income from discontinued operations attributable to Xerox Holdings, net of tax</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42"/>
        </w:trPr>
        <w:tc>
          <w:tcPr>
            <w:tcW w:w="8220" w:type="dxa"/>
            <w:vAlign w:val="bottom"/>
            <w:tcBorders>
              <w:top w:val="single" w:sz="8" w:color="E5E5E5"/>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color w:val="auto"/>
              </w:rPr>
              <w:t>Adjusted net (loss) income available to common shareholders</w:t>
            </w:r>
          </w:p>
        </w:tc>
        <w:tc>
          <w:tcPr>
            <w:tcW w:w="34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E5E5E5"/>
              <w:bottom w:val="single" w:sz="8" w:color="E5E5E5"/>
            </w:tcBorders>
            <w:shd w:val="clear" w:color="auto" w:fill="E5E5E5"/>
          </w:tcPr>
          <w:p>
            <w:pPr>
              <w:spacing w:after="0"/>
              <w:rPr>
                <w:sz w:val="21"/>
                <w:szCs w:val="21"/>
                <w:color w:val="auto"/>
              </w:rPr>
            </w:pPr>
          </w:p>
        </w:tc>
        <w:tc>
          <w:tcPr>
            <w:tcW w:w="420" w:type="dxa"/>
            <w:vAlign w:val="bottom"/>
            <w:tcBorders>
              <w:top w:val="single" w:sz="8" w:color="auto"/>
              <w:bottom w:val="single" w:sz="8" w:color="auto"/>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129</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212,750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228,567</w:t>
            </w:r>
          </w:p>
        </w:tc>
      </w:tr>
      <w:tr>
        <w:trPr>
          <w:trHeight w:val="27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Common shares issuable with respect to:</w:t>
            </w:r>
          </w:p>
        </w:tc>
        <w:tc>
          <w:tcPr>
            <w:tcW w:w="340" w:type="dxa"/>
            <w:vAlign w:val="bottom"/>
            <w:shd w:val="clear" w:color="auto" w:fill="E5E5E5"/>
          </w:tcPr>
          <w:p>
            <w:pPr>
              <w:spacing w:after="0"/>
              <w:rPr>
                <w:sz w:val="24"/>
                <w:szCs w:val="24"/>
                <w:color w:val="auto"/>
              </w:rPr>
            </w:pPr>
          </w:p>
        </w:tc>
        <w:tc>
          <w:tcPr>
            <w:tcW w:w="112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420" w:type="dxa"/>
            <w:vAlign w:val="bottom"/>
            <w:shd w:val="clear" w:color="auto" w:fill="E5E5E5"/>
          </w:tcPr>
          <w:p>
            <w:pPr>
              <w:spacing w:after="0"/>
              <w:rPr>
                <w:sz w:val="24"/>
                <w:szCs w:val="24"/>
                <w:color w:val="auto"/>
              </w:rPr>
            </w:pPr>
          </w:p>
        </w:tc>
        <w:tc>
          <w:tcPr>
            <w:tcW w:w="1020" w:type="dxa"/>
            <w:vAlign w:val="bottom"/>
            <w:shd w:val="clear" w:color="auto" w:fill="E5E5E5"/>
          </w:tcPr>
          <w:p>
            <w:pPr>
              <w:spacing w:after="0"/>
              <w:rPr>
                <w:sz w:val="24"/>
                <w:szCs w:val="24"/>
                <w:color w:val="auto"/>
              </w:rPr>
            </w:pPr>
          </w:p>
        </w:tc>
      </w:tr>
      <w:tr>
        <w:trPr>
          <w:trHeight w:val="264"/>
        </w:trPr>
        <w:tc>
          <w:tcPr>
            <w:tcW w:w="8220" w:type="dxa"/>
            <w:vAlign w:val="bottom"/>
            <w:gridSpan w:val="2"/>
          </w:tcPr>
          <w:p>
            <w:pPr>
              <w:ind w:left="180"/>
              <w:spacing w:after="0"/>
              <w:rPr>
                <w:sz w:val="20"/>
                <w:szCs w:val="20"/>
                <w:color w:val="auto"/>
              </w:rPr>
            </w:pPr>
            <w:r>
              <w:rPr>
                <w:rFonts w:ascii="Arial" w:cs="Arial" w:eastAsia="Arial" w:hAnsi="Arial"/>
                <w:sz w:val="14"/>
                <w:szCs w:val="14"/>
                <w:color w:val="auto"/>
              </w:rPr>
              <w:t>Stock Options</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822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shd w:val="clear" w:color="auto" w:fill="E5E5E5"/>
          </w:tcPr>
          <w:p>
            <w:pPr>
              <w:spacing w:after="0"/>
              <w:rPr>
                <w:sz w:val="24"/>
                <w:szCs w:val="24"/>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24"/>
                <w:szCs w:val="24"/>
                <w:color w:val="auto"/>
              </w:rPr>
            </w:pP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4,406</w:t>
            </w:r>
          </w:p>
        </w:tc>
      </w:tr>
      <w:tr>
        <w:trPr>
          <w:trHeight w:val="264"/>
        </w:trPr>
        <w:tc>
          <w:tcPr>
            <w:tcW w:w="8220" w:type="dxa"/>
            <w:vAlign w:val="bottom"/>
            <w:gridSpan w:val="2"/>
          </w:tcPr>
          <w:p>
            <w:pPr>
              <w:ind w:left="180"/>
              <w:spacing w:after="0"/>
              <w:rPr>
                <w:sz w:val="20"/>
                <w:szCs w:val="20"/>
                <w:color w:val="auto"/>
              </w:rPr>
            </w:pPr>
            <w:r>
              <w:rPr>
                <w:rFonts w:ascii="Arial" w:cs="Arial" w:eastAsia="Arial" w:hAnsi="Arial"/>
                <w:sz w:val="14"/>
                <w:szCs w:val="14"/>
                <w:color w:val="auto"/>
              </w:rPr>
              <w:t>Convertible preferred stock</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8220" w:type="dxa"/>
            <w:vAlign w:val="bottom"/>
            <w:tcBorders>
              <w:top w:val="single" w:sz="8" w:color="E5E5E5"/>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color w:val="auto"/>
              </w:rPr>
              <w:t>Adjusted weighted average common shares outstanding</w:t>
            </w:r>
          </w:p>
        </w:tc>
        <w:tc>
          <w:tcPr>
            <w:tcW w:w="340" w:type="dxa"/>
            <w:vAlign w:val="bottom"/>
            <w:tcBorders>
              <w:top w:val="single" w:sz="8" w:color="auto"/>
              <w:bottom w:val="single" w:sz="8" w:color="auto"/>
            </w:tcBorders>
            <w:shd w:val="clear" w:color="auto" w:fill="E5E5E5"/>
          </w:tcPr>
          <w:p>
            <w:pPr>
              <w:spacing w:after="0"/>
              <w:rPr>
                <w:sz w:val="21"/>
                <w:szCs w:val="21"/>
                <w:color w:val="auto"/>
              </w:rPr>
            </w:pPr>
          </w:p>
        </w:tc>
        <w:tc>
          <w:tcPr>
            <w:tcW w:w="112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212,750</w:t>
            </w:r>
          </w:p>
        </w:tc>
        <w:tc>
          <w:tcPr>
            <w:tcW w:w="120" w:type="dxa"/>
            <w:vAlign w:val="bottom"/>
            <w:tcBorders>
              <w:top w:val="single" w:sz="8" w:color="E5E5E5"/>
              <w:bottom w:val="single" w:sz="8" w:color="E5E5E5"/>
            </w:tcBorders>
            <w:shd w:val="clear" w:color="auto" w:fill="E5E5E5"/>
          </w:tcPr>
          <w:p>
            <w:pPr>
              <w:spacing w:after="0"/>
              <w:rPr>
                <w:sz w:val="21"/>
                <w:szCs w:val="21"/>
                <w:color w:val="auto"/>
              </w:rPr>
            </w:pPr>
          </w:p>
        </w:tc>
        <w:tc>
          <w:tcPr>
            <w:tcW w:w="420" w:type="dxa"/>
            <w:vAlign w:val="bottom"/>
            <w:tcBorders>
              <w:top w:val="single" w:sz="8" w:color="auto"/>
              <w:bottom w:val="single" w:sz="8" w:color="auto"/>
            </w:tcBorders>
            <w:shd w:val="clear" w:color="auto" w:fill="E5E5E5"/>
          </w:tcPr>
          <w:p>
            <w:pPr>
              <w:spacing w:after="0"/>
              <w:rPr>
                <w:sz w:val="21"/>
                <w:szCs w:val="21"/>
                <w:color w:val="auto"/>
              </w:rPr>
            </w:pPr>
          </w:p>
        </w:tc>
        <w:tc>
          <w:tcPr>
            <w:tcW w:w="102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232,976</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4"/>
        </w:trPr>
        <w:tc>
          <w:tcPr>
            <w:tcW w:w="8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Diluted (Loss) Earnings per Share:</w:t>
            </w: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20" w:type="dxa"/>
            <w:vAlign w:val="bottom"/>
            <w:shd w:val="clear" w:color="auto" w:fill="E5E5E5"/>
          </w:tcPr>
          <w:p>
            <w:pPr>
              <w:spacing w:after="0"/>
              <w:rPr>
                <w:sz w:val="23"/>
                <w:szCs w:val="23"/>
                <w:color w:val="auto"/>
              </w:rPr>
            </w:pP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0.34</w:t>
            </w:r>
          </w:p>
        </w:tc>
      </w:tr>
      <w:tr>
        <w:trPr>
          <w:trHeight w:val="276"/>
        </w:trPr>
        <w:tc>
          <w:tcPr>
            <w:tcW w:w="82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E5E5E5"/>
          </w:tcPr>
          <w:p>
            <w:pPr>
              <w:spacing w:after="0"/>
              <w:rPr>
                <w:sz w:val="24"/>
                <w:szCs w:val="24"/>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24"/>
                <w:szCs w:val="24"/>
                <w:color w:val="auto"/>
              </w:rPr>
            </w:pP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0.21</w:t>
            </w:r>
          </w:p>
        </w:tc>
      </w:tr>
      <w:tr>
        <w:trPr>
          <w:trHeight w:val="277"/>
        </w:trPr>
        <w:tc>
          <w:tcPr>
            <w:tcW w:w="82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Diluted (Loss) Earnings per Share</w:t>
            </w: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E5E5E5"/>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0.55</w:t>
            </w:r>
          </w:p>
        </w:tc>
      </w:tr>
      <w:tr>
        <w:trPr>
          <w:trHeight w:val="264"/>
        </w:trPr>
        <w:tc>
          <w:tcPr>
            <w:tcW w:w="810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2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420" w:type="dxa"/>
            <w:vAlign w:val="bottom"/>
            <w:shd w:val="clear" w:color="auto" w:fill="E5E5E5"/>
          </w:tcPr>
          <w:p>
            <w:pPr>
              <w:spacing w:after="0"/>
              <w:rPr>
                <w:sz w:val="22"/>
                <w:szCs w:val="22"/>
                <w:color w:val="auto"/>
              </w:rPr>
            </w:pPr>
          </w:p>
        </w:tc>
        <w:tc>
          <w:tcPr>
            <w:tcW w:w="1020" w:type="dxa"/>
            <w:vAlign w:val="bottom"/>
            <w:shd w:val="clear" w:color="auto" w:fill="E5E5E5"/>
          </w:tcPr>
          <w:p>
            <w:pPr>
              <w:spacing w:after="0"/>
              <w:rPr>
                <w:sz w:val="22"/>
                <w:szCs w:val="22"/>
                <w:color w:val="auto"/>
              </w:rPr>
            </w:pPr>
          </w:p>
        </w:tc>
      </w:tr>
    </w:tbl>
    <w:p>
      <w:pPr>
        <w:spacing w:after="0" w:line="32" w:lineRule="exact"/>
        <w:rPr>
          <w:sz w:val="20"/>
          <w:szCs w:val="20"/>
          <w:color w:val="auto"/>
        </w:rPr>
      </w:pPr>
    </w:p>
    <w:p>
      <w:pPr>
        <w:ind w:left="40" w:right="340"/>
        <w:spacing w:after="0" w:line="258"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220" w:type="dxa"/>
            <w:vAlign w:val="bottom"/>
            <w:shd w:val="clear" w:color="auto" w:fill="E5E5E5"/>
          </w:tcPr>
          <w:p>
            <w:pPr>
              <w:ind w:left="40"/>
              <w:spacing w:after="0"/>
              <w:rPr>
                <w:sz w:val="20"/>
                <w:szCs w:val="20"/>
                <w:color w:val="auto"/>
              </w:rPr>
            </w:pPr>
            <w:r>
              <w:rPr>
                <w:rFonts w:ascii="Arial" w:cs="Arial" w:eastAsia="Arial" w:hAnsi="Arial"/>
                <w:sz w:val="14"/>
                <w:szCs w:val="14"/>
                <w:color w:val="auto"/>
              </w:rPr>
              <w:t>Stock options</w:t>
            </w:r>
          </w:p>
        </w:tc>
        <w:tc>
          <w:tcPr>
            <w:tcW w:w="520" w:type="dxa"/>
            <w:vAlign w:val="bottom"/>
            <w:shd w:val="clear" w:color="auto" w:fill="E5E5E5"/>
          </w:tcPr>
          <w:p>
            <w:pPr>
              <w:spacing w:after="0"/>
              <w:rPr>
                <w:sz w:val="22"/>
                <w:szCs w:val="22"/>
                <w:color w:val="auto"/>
              </w:rPr>
            </w:pP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849</w:t>
            </w:r>
          </w:p>
        </w:tc>
        <w:tc>
          <w:tcPr>
            <w:tcW w:w="120" w:type="dxa"/>
            <w:vAlign w:val="bottom"/>
            <w:shd w:val="clear" w:color="auto" w:fill="E5E5E5"/>
          </w:tcPr>
          <w:p>
            <w:pPr>
              <w:spacing w:after="0"/>
              <w:rPr>
                <w:sz w:val="22"/>
                <w:szCs w:val="22"/>
                <w:color w:val="auto"/>
              </w:rPr>
            </w:pPr>
          </w:p>
        </w:tc>
        <w:tc>
          <w:tcPr>
            <w:tcW w:w="500" w:type="dxa"/>
            <w:vAlign w:val="bottom"/>
            <w:shd w:val="clear" w:color="auto" w:fill="E5E5E5"/>
          </w:tcPr>
          <w:p>
            <w:pPr>
              <w:spacing w:after="0"/>
              <w:rPr>
                <w:sz w:val="22"/>
                <w:szCs w:val="22"/>
                <w:color w:val="auto"/>
              </w:rPr>
            </w:pPr>
          </w:p>
        </w:tc>
        <w:tc>
          <w:tcPr>
            <w:tcW w:w="9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947</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Restricted stock and performance shares</w:t>
            </w:r>
          </w:p>
        </w:tc>
        <w:tc>
          <w:tcPr>
            <w:tcW w:w="5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6,478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3,847</w:t>
            </w:r>
          </w:p>
        </w:tc>
      </w:tr>
      <w:tr>
        <w:trPr>
          <w:trHeight w:val="270"/>
        </w:trPr>
        <w:tc>
          <w:tcPr>
            <w:tcW w:w="8220" w:type="dxa"/>
            <w:vAlign w:val="bottom"/>
            <w:shd w:val="clear" w:color="auto" w:fill="E5E5E5"/>
          </w:tcPr>
          <w:p>
            <w:pPr>
              <w:ind w:left="40"/>
              <w:spacing w:after="0"/>
              <w:rPr>
                <w:sz w:val="20"/>
                <w:szCs w:val="20"/>
                <w:color w:val="auto"/>
              </w:rPr>
            </w:pPr>
            <w:r>
              <w:rPr>
                <w:rFonts w:ascii="Arial" w:cs="Arial" w:eastAsia="Arial" w:hAnsi="Arial"/>
                <w:sz w:val="14"/>
                <w:szCs w:val="14"/>
                <w:color w:val="auto"/>
              </w:rPr>
              <w:t>Convertible preferred stock</w:t>
            </w:r>
          </w:p>
        </w:tc>
        <w:tc>
          <w:tcPr>
            <w:tcW w:w="520" w:type="dxa"/>
            <w:vAlign w:val="bottom"/>
            <w:tcBorders>
              <w:bottom w:val="single" w:sz="8" w:color="auto"/>
            </w:tcBorders>
            <w:shd w:val="clear" w:color="auto" w:fill="E5E5E5"/>
          </w:tcPr>
          <w:p>
            <w:pPr>
              <w:spacing w:after="0"/>
              <w:rPr>
                <w:sz w:val="23"/>
                <w:szCs w:val="23"/>
                <w:color w:val="auto"/>
              </w:rPr>
            </w:pPr>
          </w:p>
        </w:tc>
        <w:tc>
          <w:tcPr>
            <w:tcW w:w="9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E5E5E5"/>
          </w:tcPr>
          <w:p>
            <w:pPr>
              <w:spacing w:after="0"/>
              <w:rPr>
                <w:sz w:val="23"/>
                <w:szCs w:val="23"/>
                <w:color w:val="auto"/>
              </w:rPr>
            </w:pPr>
          </w:p>
        </w:tc>
        <w:tc>
          <w:tcPr>
            <w:tcW w:w="500" w:type="dxa"/>
            <w:vAlign w:val="bottom"/>
            <w:tcBorders>
              <w:bottom w:val="single" w:sz="8" w:color="auto"/>
            </w:tcBorders>
            <w:shd w:val="clear" w:color="auto" w:fill="E5E5E5"/>
          </w:tcPr>
          <w:p>
            <w:pPr>
              <w:spacing w:after="0"/>
              <w:rPr>
                <w:sz w:val="23"/>
                <w:szCs w:val="23"/>
                <w:color w:val="auto"/>
              </w:rPr>
            </w:pPr>
          </w:p>
        </w:tc>
        <w:tc>
          <w:tcPr>
            <w:tcW w:w="9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6,742</w:t>
            </w:r>
          </w:p>
        </w:tc>
      </w:tr>
      <w:tr>
        <w:trPr>
          <w:trHeight w:val="283"/>
        </w:trPr>
        <w:tc>
          <w:tcPr>
            <w:tcW w:w="822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Total Anti-Dilutive Securities</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14,069</w:t>
            </w:r>
          </w:p>
        </w:tc>
        <w:tc>
          <w:tcPr>
            <w:tcW w:w="120" w:type="dxa"/>
            <w:vAlign w:val="bottom"/>
            <w:tcBorders>
              <w:bottom w:val="single" w:sz="8" w:color="E5E5E5"/>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11,536</w:t>
            </w:r>
          </w:p>
        </w:tc>
      </w:tr>
      <w:tr>
        <w:trPr>
          <w:trHeight w:val="264"/>
        </w:trPr>
        <w:tc>
          <w:tcPr>
            <w:tcW w:w="8220" w:type="dxa"/>
            <w:vAlign w:val="bottom"/>
            <w:shd w:val="clear" w:color="auto" w:fill="E5E5E5"/>
          </w:tcPr>
          <w:p>
            <w:pPr>
              <w:spacing w:after="0"/>
              <w:rPr>
                <w:sz w:val="22"/>
                <w:szCs w:val="22"/>
                <w:color w:val="auto"/>
              </w:rPr>
            </w:pPr>
          </w:p>
        </w:tc>
        <w:tc>
          <w:tcPr>
            <w:tcW w:w="520" w:type="dxa"/>
            <w:vAlign w:val="bottom"/>
            <w:shd w:val="clear" w:color="auto" w:fill="E5E5E5"/>
          </w:tcPr>
          <w:p>
            <w:pPr>
              <w:spacing w:after="0"/>
              <w:rPr>
                <w:sz w:val="22"/>
                <w:szCs w:val="22"/>
                <w:color w:val="auto"/>
              </w:rPr>
            </w:pPr>
          </w:p>
        </w:tc>
        <w:tc>
          <w:tcPr>
            <w:tcW w:w="94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500" w:type="dxa"/>
            <w:vAlign w:val="bottom"/>
            <w:shd w:val="clear" w:color="auto" w:fill="E5E5E5"/>
          </w:tcPr>
          <w:p>
            <w:pPr>
              <w:spacing w:after="0"/>
              <w:rPr>
                <w:sz w:val="22"/>
                <w:szCs w:val="22"/>
                <w:color w:val="auto"/>
              </w:rPr>
            </w:pPr>
          </w:p>
        </w:tc>
        <w:tc>
          <w:tcPr>
            <w:tcW w:w="940" w:type="dxa"/>
            <w:vAlign w:val="bottom"/>
            <w:shd w:val="clear" w:color="auto" w:fill="E5E5E5"/>
          </w:tcPr>
          <w:p>
            <w:pPr>
              <w:spacing w:after="0"/>
              <w:rPr>
                <w:sz w:val="22"/>
                <w:szCs w:val="22"/>
                <w:color w:val="auto"/>
              </w:rPr>
            </w:pPr>
          </w:p>
        </w:tc>
      </w:tr>
      <w:tr>
        <w:trPr>
          <w:trHeight w:val="256"/>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Dividends per Common Share</w:t>
            </w:r>
          </w:p>
        </w:tc>
        <w:tc>
          <w:tcPr>
            <w:tcW w:w="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0.25</w:t>
            </w:r>
          </w:p>
        </w:tc>
      </w:tr>
      <w:tr>
        <w:trPr>
          <w:trHeight w:val="20"/>
        </w:trPr>
        <w:tc>
          <w:tcPr>
            <w:tcW w:w="8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5" w:right="3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type w:val="continuous"/>
        </w:sectPr>
      </w:pPr>
    </w:p>
    <w:bookmarkStart w:id="35" w:name="page36"/>
    <w:bookmarkEnd w:id="35"/>
    <w:p>
      <w:pPr>
        <w:jc w:val="center"/>
        <w:ind w:right="-39"/>
        <w:spacing w:after="0"/>
        <w:rPr>
          <w:sz w:val="20"/>
          <w:szCs w:val="20"/>
          <w:color w:val="auto"/>
        </w:rPr>
      </w:pPr>
      <w:r>
        <w:rPr>
          <w:rFonts w:ascii="Arial" w:cs="Arial" w:eastAsia="Arial" w:hAnsi="Arial"/>
          <w:sz w:val="25"/>
          <w:szCs w:val="25"/>
          <w:b w:val="1"/>
          <w:bCs w:val="1"/>
          <w:color w:val="DA2031"/>
        </w:rPr>
        <w:t>APPENDIX II</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DA2031"/>
        </w:rPr>
        <w:t>Xerox Holdings Corporation</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DA2031"/>
        </w:rPr>
        <w:t>Geographic Sales Channels and Product/Offering Definitions</w:t>
      </w:r>
    </w:p>
    <w:p>
      <w:pPr>
        <w:spacing w:after="0" w:line="200" w:lineRule="exact"/>
        <w:rPr>
          <w:sz w:val="20"/>
          <w:szCs w:val="20"/>
          <w:color w:val="auto"/>
        </w:rPr>
      </w:pP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is aligned to a geographic focus and is primarily organized on the basis of go-to-market sales channels, which are structured to serve a range of customers for our products and services. In 2019 we changed our geographic structure to create a more streamlined, flatter and more effective organization, as follows:</w:t>
      </w:r>
    </w:p>
    <w:p>
      <w:pPr>
        <w:spacing w:after="0" w:line="9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Americas, which includes our sales channels in the U.S. and Canada, as well as Mexico, and Central and South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EMEA, which includes our sales channels in Europe, the Middle East, Africa and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primarily includes sales to and royalties from Fuji Xerox, and our licensing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offerings include:</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660" w:right="2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ind w:left="660" w:right="220" w:hanging="328"/>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Xerox Services, includes solutions and services that span from managing print to automating processes to managing content. Our primary offerings are Intelligent Workplace Services (IWS), as well as Digital and Cloud Print Services (including centralized print services) and Communication and Marketing Solutions.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sectPr>
      <w:pgSz w:w="11900" w:h="16838" w:orient="portrait"/>
      <w:cols w:equalWidth="0" w:num="1">
        <w:col w:w="11200"/>
      </w:cols>
      <w:pgMar w:left="320" w:top="55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â"/>
      <w:numFmt w:val="bullet"/>
      <w:start w:val="1"/>
    </w:lvl>
  </w:abstractNum>
  <w:abstractNum w:abstractNumId="8">
    <w:nsid w:val="75A2A8D4"/>
    <w:multiLevelType w:val="hybridMultilevel"/>
    <w:lvl w:ilvl="0">
      <w:lvlJc w:val="left"/>
      <w:lvlText w:val="\emdash "/>
      <w:numFmt w:val="bullet"/>
      <w:start w:val="1"/>
    </w:lvl>
  </w:abstractNum>
  <w:abstractNum w:abstractNumId="9">
    <w:nsid w:val="8EDBDAB"/>
    <w:multiLevelType w:val="hybridMultilevel"/>
    <w:lvl w:ilvl="0">
      <w:lvlJc w:val="left"/>
      <w:lvlText w:val="•"/>
      <w:numFmt w:val="bullet"/>
      <w:start w:val="1"/>
    </w:lvl>
    <w:lvl w:ilvl="1">
      <w:lvlJc w:val="left"/>
      <w:lvlText w:val="â"/>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2"/>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4"/>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2020-04-28T05:49:22Z</dcterms:created>
  <dcterms:modified xsi:type="dcterms:W3CDTF">2020-04-28T05:49:22Z</dcterms:modified>
</cp:coreProperties>
</file>