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114935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 w:lineRule="exact"/>
        <w:rPr>
          <w:sz w:val="24"/>
          <w:szCs w:val="24"/>
          <w:color w:val="auto"/>
        </w:rPr>
      </w:pPr>
    </w:p>
    <w:p>
      <w:pPr>
        <w:ind w:left="460" w:right="2300" w:hanging="452"/>
        <w:spacing w:after="0" w:line="274"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2009</w:t>
      </w:r>
    </w:p>
    <w:p>
      <w:pPr>
        <w:spacing w:after="0" w:line="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580" w:type="dxa"/>
            <w:vAlign w:val="bottom"/>
          </w:tcPr>
          <w:p>
            <w:pPr>
              <w:spacing w:after="0"/>
              <w:rPr>
                <w:sz w:val="20"/>
                <w:szCs w:val="20"/>
                <w:color w:val="auto"/>
              </w:rPr>
            </w:pPr>
            <w:r>
              <w:rPr>
                <w:rFonts w:ascii="Arial" w:cs="Arial" w:eastAsia="Arial" w:hAnsi="Arial"/>
                <w:sz w:val="18"/>
                <w:szCs w:val="18"/>
                <w:b w:val="1"/>
                <w:bCs w:val="1"/>
                <w:color w:val="auto"/>
                <w:w w:val="98"/>
              </w:rPr>
              <w:t>For the transition period from:</w:t>
            </w:r>
          </w:p>
        </w:tc>
        <w:tc>
          <w:tcPr>
            <w:tcW w:w="580" w:type="dxa"/>
            <w:vAlign w:val="bottom"/>
            <w:tcBorders>
              <w:bottom w:val="single" w:sz="8" w:color="auto"/>
            </w:tcBorders>
          </w:tcPr>
          <w:p>
            <w:pPr>
              <w:spacing w:after="0"/>
              <w:rPr>
                <w:sz w:val="17"/>
                <w:szCs w:val="17"/>
                <w:color w:val="auto"/>
              </w:rPr>
            </w:pPr>
          </w:p>
        </w:tc>
        <w:tc>
          <w:tcPr>
            <w:tcW w:w="260" w:type="dxa"/>
            <w:vAlign w:val="bottom"/>
          </w:tcPr>
          <w:p>
            <w:pPr>
              <w:ind w:left="60"/>
              <w:spacing w:after="0"/>
              <w:rPr>
                <w:sz w:val="20"/>
                <w:szCs w:val="20"/>
                <w:color w:val="auto"/>
              </w:rPr>
            </w:pPr>
            <w:r>
              <w:rPr>
                <w:rFonts w:ascii="Arial" w:cs="Arial" w:eastAsia="Arial" w:hAnsi="Arial"/>
                <w:sz w:val="18"/>
                <w:szCs w:val="18"/>
                <w:b w:val="1"/>
                <w:bCs w:val="1"/>
                <w:color w:val="auto"/>
              </w:rPr>
              <w:t>to</w:t>
            </w:r>
          </w:p>
        </w:tc>
        <w:tc>
          <w:tcPr>
            <w:tcW w:w="600" w:type="dxa"/>
            <w:vAlign w:val="bottom"/>
            <w:tcBorders>
              <w:bottom w:val="single" w:sz="8" w:color="auto"/>
            </w:tcBorders>
          </w:tcPr>
          <w:p>
            <w:pPr>
              <w:spacing w:after="0"/>
              <w:rPr>
                <w:sz w:val="17"/>
                <w:szCs w:val="17"/>
                <w:color w:val="auto"/>
              </w:rPr>
            </w:pPr>
          </w:p>
        </w:tc>
        <w:tc>
          <w:tcPr>
            <w:tcW w:w="2800" w:type="dxa"/>
            <w:vAlign w:val="bottom"/>
          </w:tcPr>
          <w:p>
            <w:pPr>
              <w:spacing w:after="0"/>
              <w:rPr>
                <w:sz w:val="17"/>
                <w:szCs w:val="17"/>
                <w:color w:val="auto"/>
              </w:rPr>
            </w:pPr>
          </w:p>
        </w:tc>
      </w:tr>
      <w:tr>
        <w:trPr>
          <w:trHeight w:val="262"/>
        </w:trPr>
        <w:tc>
          <w:tcPr>
            <w:tcW w:w="2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0" w:type="dxa"/>
            <w:vAlign w:val="bottom"/>
            <w:gridSpan w:val="2"/>
          </w:tcPr>
          <w:p>
            <w:pPr>
              <w:ind w:left="280"/>
              <w:spacing w:after="0"/>
              <w:rPr>
                <w:sz w:val="20"/>
                <w:szCs w:val="20"/>
                <w:color w:val="auto"/>
              </w:rPr>
            </w:pPr>
            <w:r>
              <w:rPr>
                <w:rFonts w:ascii="Arial" w:cs="Arial" w:eastAsia="Arial" w:hAnsi="Arial"/>
                <w:sz w:val="18"/>
                <w:szCs w:val="18"/>
                <w:b w:val="1"/>
                <w:bCs w:val="1"/>
                <w:color w:val="auto"/>
                <w:w w:val="96"/>
              </w:rPr>
              <w:t>001-04471 (Commission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1" w:lineRule="exact"/>
        <w:rPr>
          <w:sz w:val="24"/>
          <w:szCs w:val="24"/>
          <w:color w:val="auto"/>
        </w:rPr>
      </w:pPr>
    </w:p>
    <w:tbl>
      <w:tblPr>
        <w:tblLayout w:type="fixed"/>
        <w:tblInd w:w="2120" w:type="dxa"/>
        <w:tblCellMar>
          <w:top w:w="0" w:type="dxa"/>
          <w:left w:w="0" w:type="dxa"/>
          <w:bottom w:w="0" w:type="dxa"/>
          <w:right w:w="0" w:type="dxa"/>
        </w:tblCellMar>
      </w:tblPr>
      <w:tr>
        <w:trPr>
          <w:trHeight w:val="398"/>
        </w:trPr>
        <w:tc>
          <w:tcPr>
            <w:tcW w:w="1640" w:type="dxa"/>
            <w:vAlign w:val="bottom"/>
          </w:tcPr>
          <w:p>
            <w:pPr>
              <w:spacing w:after="0"/>
              <w:rPr>
                <w:sz w:val="24"/>
                <w:szCs w:val="24"/>
                <w:color w:val="auto"/>
              </w:rPr>
            </w:pPr>
          </w:p>
        </w:tc>
        <w:tc>
          <w:tcPr>
            <w:tcW w:w="6040" w:type="dxa"/>
            <w:vAlign w:val="bottom"/>
            <w:gridSpan w:val="3"/>
          </w:tcPr>
          <w:p>
            <w:pPr>
              <w:jc w:val="center"/>
              <w:ind w:right="2052"/>
              <w:spacing w:after="0"/>
              <w:rPr>
                <w:sz w:val="20"/>
                <w:szCs w:val="20"/>
                <w:color w:val="auto"/>
              </w:rPr>
            </w:pPr>
            <w:r>
              <w:rPr>
                <w:rFonts w:ascii="Arial" w:cs="Arial" w:eastAsia="Arial" w:hAnsi="Arial"/>
                <w:sz w:val="32"/>
                <w:szCs w:val="32"/>
                <w:b w:val="1"/>
                <w:bCs w:val="1"/>
                <w:color w:val="auto"/>
              </w:rPr>
              <w:t>XEROX CORPORATION</w:t>
            </w:r>
          </w:p>
        </w:tc>
      </w:tr>
      <w:tr>
        <w:trPr>
          <w:trHeight w:val="178"/>
        </w:trPr>
        <w:tc>
          <w:tcPr>
            <w:tcW w:w="1640" w:type="dxa"/>
            <w:vAlign w:val="bottom"/>
          </w:tcPr>
          <w:p>
            <w:pPr>
              <w:spacing w:after="0"/>
              <w:rPr>
                <w:sz w:val="15"/>
                <w:szCs w:val="15"/>
                <w:color w:val="auto"/>
              </w:rPr>
            </w:pPr>
          </w:p>
        </w:tc>
        <w:tc>
          <w:tcPr>
            <w:tcW w:w="6040" w:type="dxa"/>
            <w:vAlign w:val="bottom"/>
            <w:gridSpan w:val="3"/>
          </w:tcPr>
          <w:p>
            <w:pPr>
              <w:jc w:val="center"/>
              <w:ind w:right="2052"/>
              <w:spacing w:after="0"/>
              <w:rPr>
                <w:sz w:val="20"/>
                <w:szCs w:val="20"/>
                <w:color w:val="auto"/>
              </w:rPr>
            </w:pPr>
            <w:r>
              <w:rPr>
                <w:rFonts w:ascii="Arial" w:cs="Arial" w:eastAsia="Arial" w:hAnsi="Arial"/>
                <w:sz w:val="14"/>
                <w:szCs w:val="14"/>
                <w:b w:val="1"/>
                <w:bCs w:val="1"/>
                <w:color w:val="auto"/>
                <w:w w:val="96"/>
              </w:rPr>
              <w:t>(Exact name of registrant as specified in its charter)</w:t>
            </w:r>
          </w:p>
        </w:tc>
      </w:tr>
      <w:tr>
        <w:trPr>
          <w:trHeight w:val="136"/>
        </w:trPr>
        <w:tc>
          <w:tcPr>
            <w:tcW w:w="1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r>
      <w:tr>
        <w:trPr>
          <w:trHeight w:val="260"/>
        </w:trPr>
        <w:tc>
          <w:tcPr>
            <w:tcW w:w="1640" w:type="dxa"/>
            <w:vAlign w:val="bottom"/>
          </w:tcPr>
          <w:p>
            <w:pPr>
              <w:jc w:val="center"/>
              <w:ind w:right="62"/>
              <w:spacing w:after="0"/>
              <w:rPr>
                <w:sz w:val="20"/>
                <w:szCs w:val="20"/>
                <w:color w:val="auto"/>
              </w:rPr>
            </w:pPr>
            <w:r>
              <w:rPr>
                <w:rFonts w:ascii="Arial" w:cs="Arial" w:eastAsia="Arial" w:hAnsi="Arial"/>
                <w:sz w:val="18"/>
                <w:szCs w:val="18"/>
                <w:b w:val="1"/>
                <w:bCs w:val="1"/>
                <w:color w:val="auto"/>
                <w:w w:val="95"/>
              </w:rPr>
              <w:t>New York</w:t>
            </w:r>
          </w:p>
        </w:tc>
        <w:tc>
          <w:tcPr>
            <w:tcW w:w="6040" w:type="dxa"/>
            <w:vAlign w:val="bottom"/>
            <w:gridSpan w:val="3"/>
          </w:tcPr>
          <w:p>
            <w:pPr>
              <w:jc w:val="right"/>
              <w:ind w:right="572"/>
              <w:spacing w:after="0"/>
              <w:rPr>
                <w:sz w:val="20"/>
                <w:szCs w:val="20"/>
                <w:color w:val="auto"/>
              </w:rPr>
            </w:pPr>
            <w:r>
              <w:rPr>
                <w:rFonts w:ascii="Arial" w:cs="Arial" w:eastAsia="Arial" w:hAnsi="Arial"/>
                <w:sz w:val="18"/>
                <w:szCs w:val="18"/>
                <w:b w:val="1"/>
                <w:bCs w:val="1"/>
                <w:color w:val="auto"/>
              </w:rPr>
              <w:t>16-0468020</w:t>
            </w:r>
          </w:p>
        </w:tc>
      </w:tr>
      <w:tr>
        <w:trPr>
          <w:trHeight w:val="178"/>
        </w:trPr>
        <w:tc>
          <w:tcPr>
            <w:tcW w:w="164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(State of incorporation)</w:t>
            </w:r>
          </w:p>
        </w:tc>
        <w:tc>
          <w:tcPr>
            <w:tcW w:w="7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00" w:type="dxa"/>
            <w:vAlign w:val="bottom"/>
          </w:tcPr>
          <w:p>
            <w:pPr>
              <w:jc w:val="center"/>
              <w:ind w:left="612"/>
              <w:spacing w:after="0"/>
              <w:rPr>
                <w:sz w:val="20"/>
                <w:szCs w:val="20"/>
                <w:color w:val="auto"/>
              </w:rPr>
            </w:pPr>
            <w:r>
              <w:rPr>
                <w:rFonts w:ascii="Arial" w:cs="Arial" w:eastAsia="Arial" w:hAnsi="Arial"/>
                <w:sz w:val="14"/>
                <w:szCs w:val="14"/>
                <w:b w:val="1"/>
                <w:bCs w:val="1"/>
                <w:color w:val="auto"/>
                <w:w w:val="96"/>
              </w:rPr>
              <w:t>(I.R.S. Employer Identification No.)</w:t>
            </w:r>
          </w:p>
        </w:tc>
      </w:tr>
    </w:tbl>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4505, 45 Glover Avenue, Norwalk, Connecticut 06856-4505 (Address of principal executive offices)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(203) 968-3000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80645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9"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Name of each exchange on which</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88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registered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60" w:type="dxa"/>
            <w:vAlign w:val="bottom"/>
            <w:gridSpan w:val="3"/>
          </w:tcPr>
          <w:p>
            <w:pPr>
              <w:ind w:left="1280"/>
              <w:spacing w:after="0" w:line="200" w:lineRule="exact"/>
              <w:rPr>
                <w:sz w:val="20"/>
                <w:szCs w:val="20"/>
                <w:color w:val="auto"/>
              </w:rPr>
            </w:pPr>
            <w:r>
              <w:rPr>
                <w:rFonts w:ascii="Arial" w:cs="Arial" w:eastAsia="Arial" w:hAnsi="Arial"/>
                <w:sz w:val="18"/>
                <w:szCs w:val="18"/>
                <w:color w:val="auto"/>
              </w:rPr>
              <w:t>Common Stock, $1 par value</w:t>
            </w:r>
          </w:p>
        </w:tc>
        <w:tc>
          <w:tcPr>
            <w:tcW w:w="2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80" w:type="dxa"/>
            <w:vAlign w:val="bottom"/>
            <w:gridSpan w:val="2"/>
          </w:tcPr>
          <w:p>
            <w:pPr>
              <w:jc w:val="center"/>
              <w:ind w:right="300"/>
              <w:spacing w:after="0" w:line="200" w:lineRule="exact"/>
              <w:rPr>
                <w:sz w:val="20"/>
                <w:szCs w:val="20"/>
                <w:color w:val="auto"/>
              </w:rPr>
            </w:pPr>
            <w:r>
              <w:rPr>
                <w:rFonts w:ascii="Arial" w:cs="Arial" w:eastAsia="Arial" w:hAnsi="Arial"/>
                <w:sz w:val="18"/>
                <w:szCs w:val="18"/>
                <w:color w:val="auto"/>
                <w:w w:val="96"/>
              </w:rPr>
              <w:t>New York Stock Exchange</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8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Chicago Stock Exchange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80" w:type="dxa"/>
            <w:vAlign w:val="bottom"/>
          </w:tcPr>
          <w:p>
            <w:pPr>
              <w:spacing w:after="0"/>
              <w:rPr>
                <w:sz w:val="19"/>
                <w:szCs w:val="19"/>
                <w:color w:val="auto"/>
              </w:rPr>
            </w:pPr>
          </w:p>
        </w:tc>
        <w:tc>
          <w:tcPr>
            <w:tcW w:w="7940" w:type="dxa"/>
            <w:vAlign w:val="bottom"/>
            <w:gridSpan w:val="6"/>
          </w:tcPr>
          <w:p>
            <w:pPr>
              <w:jc w:val="center"/>
              <w:ind w:right="1200"/>
              <w:spacing w:after="0"/>
              <w:rPr>
                <w:sz w:val="20"/>
                <w:szCs w:val="20"/>
                <w:color w:val="auto"/>
              </w:rPr>
            </w:pPr>
            <w:r>
              <w:rPr>
                <w:rFonts w:ascii="Arial" w:cs="Arial" w:eastAsia="Arial" w:hAnsi="Arial"/>
                <w:sz w:val="18"/>
                <w:szCs w:val="18"/>
                <w:b w:val="1"/>
                <w:bCs w:val="1"/>
                <w:color w:val="auto"/>
                <w:w w:val="97"/>
              </w:rPr>
              <w:t>Securities registered pursuant to Section 12(g) of the Act: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60" w:type="dxa"/>
            <w:vAlign w:val="bottom"/>
            <w:gridSpan w:val="4"/>
          </w:tcPr>
          <w:p>
            <w:pPr>
              <w:jc w:val="center"/>
              <w:ind w:right="3360"/>
              <w:spacing w:after="0"/>
              <w:rPr>
                <w:sz w:val="20"/>
                <w:szCs w:val="20"/>
                <w:color w:val="auto"/>
              </w:rPr>
            </w:pPr>
            <w:r>
              <w:rPr>
                <w:rFonts w:ascii="Arial" w:cs="Arial" w:eastAsia="Arial" w:hAnsi="Arial"/>
                <w:sz w:val="18"/>
                <w:szCs w:val="18"/>
                <w:b w:val="1"/>
                <w:bCs w:val="1"/>
                <w:color w:val="auto"/>
                <w:w w:val="97"/>
              </w:rPr>
              <w:t>None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4060" w:type="dxa"/>
            <w:vAlign w:val="bottom"/>
            <w:gridSpan w:val="3"/>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3380" w:type="dxa"/>
            <w:vAlign w:val="bottom"/>
            <w:gridSpan w:val="3"/>
          </w:tcPr>
          <w:p>
            <w:pPr>
              <w:spacing w:after="0"/>
              <w:rPr>
                <w:sz w:val="10"/>
                <w:szCs w:val="10"/>
                <w:color w:val="auto"/>
              </w:rPr>
            </w:pPr>
          </w:p>
        </w:tc>
        <w:tc>
          <w:tcPr>
            <w:tcW w:w="620" w:type="dxa"/>
            <w:vAlign w:val="bottom"/>
            <w:vMerge w:val="restart"/>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440" w:type="dxa"/>
            <w:vAlign w:val="bottom"/>
            <w:gridSpan w:val="4"/>
          </w:tcPr>
          <w:p>
            <w:pPr>
              <w:spacing w:after="0"/>
              <w:rPr>
                <w:sz w:val="20"/>
                <w:szCs w:val="20"/>
                <w:color w:val="auto"/>
              </w:rPr>
            </w:pPr>
            <w:r>
              <w:rPr>
                <w:rFonts w:ascii="Arial" w:cs="Arial" w:eastAsia="Arial" w:hAnsi="Arial"/>
                <w:sz w:val="18"/>
                <w:szCs w:val="18"/>
                <w:color w:val="auto"/>
                <w:w w:val="96"/>
              </w:rPr>
              <w:t>Indicate by check mark if the registrant is a well-known seasoned issuer, as defined</w:t>
            </w:r>
          </w:p>
        </w:tc>
        <w:tc>
          <w:tcPr>
            <w:tcW w:w="3380" w:type="dxa"/>
            <w:vAlign w:val="bottom"/>
            <w:gridSpan w:val="3"/>
          </w:tcPr>
          <w:p>
            <w:pPr>
              <w:ind w:left="80"/>
              <w:spacing w:after="0" w:line="207" w:lineRule="exact"/>
              <w:rPr>
                <w:sz w:val="20"/>
                <w:szCs w:val="20"/>
                <w:color w:val="auto"/>
              </w:rPr>
            </w:pPr>
            <w:r>
              <w:rPr>
                <w:rFonts w:ascii="Arial" w:cs="Arial" w:eastAsia="Arial" w:hAnsi="Arial"/>
                <w:sz w:val="18"/>
                <w:szCs w:val="18"/>
                <w:color w:val="auto"/>
              </w:rPr>
              <w:t xml:space="preserve">in Rule 405 of the Securities Act. Yes </w:t>
            </w:r>
            <w:r>
              <w:rPr>
                <w:rFonts w:ascii="MS PGothic" w:cs="MS PGothic" w:eastAsia="MS PGothic" w:hAnsi="MS PGothic"/>
                <w:sz w:val="18"/>
                <w:szCs w:val="18"/>
                <w:color w:val="auto"/>
              </w:rPr>
              <w:t>☒</w:t>
            </w: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820" w:type="dxa"/>
            <w:vAlign w:val="bottom"/>
            <w:gridSpan w:val="7"/>
          </w:tcPr>
          <w:p>
            <w:pPr>
              <w:spacing w:after="0" w:line="207" w:lineRule="exact"/>
              <w:rPr>
                <w:sz w:val="20"/>
                <w:szCs w:val="20"/>
                <w:color w:val="auto"/>
              </w:rPr>
            </w:pPr>
            <w:r>
              <w:rPr>
                <w:rFonts w:ascii="Arial" w:cs="Arial" w:eastAsia="Arial" w:hAnsi="Arial"/>
                <w:sz w:val="18"/>
                <w:szCs w:val="18"/>
                <w:color w:val="auto"/>
                <w:w w:val="98"/>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8"/>
              </w:rPr>
              <w:t>☐</w:t>
            </w:r>
          </w:p>
        </w:tc>
        <w:tc>
          <w:tcPr>
            <w:tcW w:w="620" w:type="dxa"/>
            <w:vAlign w:val="bottom"/>
          </w:tcPr>
          <w:p>
            <w:pPr>
              <w:ind w:left="14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26" w:lineRule="exact"/>
        <w:rPr>
          <w:sz w:val="24"/>
          <w:szCs w:val="24"/>
          <w:color w:val="auto"/>
        </w:rPr>
      </w:pPr>
    </w:p>
    <w:p>
      <w:pPr>
        <w:ind w:right="220" w:firstLine="456"/>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 w:lineRule="exact"/>
        <w:rPr>
          <w:sz w:val="24"/>
          <w:szCs w:val="24"/>
          <w:color w:val="auto"/>
        </w:rPr>
      </w:pPr>
    </w:p>
    <w:p>
      <w:pPr>
        <w:ind w:right="40" w:firstLine="456"/>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 w:lineRule="exact"/>
        <w:rPr>
          <w:sz w:val="24"/>
          <w:szCs w:val="24"/>
          <w:color w:val="auto"/>
        </w:rPr>
      </w:pPr>
    </w:p>
    <w:p>
      <w:pPr>
        <w:ind w:right="60" w:firstLine="456"/>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8" w:lineRule="exact"/>
        <w:rPr>
          <w:sz w:val="24"/>
          <w:szCs w:val="24"/>
          <w:color w:val="auto"/>
        </w:rPr>
      </w:pPr>
    </w:p>
    <w:p>
      <w:pPr>
        <w:ind w:right="120" w:firstLine="456"/>
        <w:spacing w:after="0" w:line="269" w:lineRule="auto"/>
        <w:rPr>
          <w:sz w:val="20"/>
          <w:szCs w:val="20"/>
          <w:color w:val="auto"/>
        </w:rPr>
      </w:pPr>
      <w:r>
        <w:rPr>
          <w:rFonts w:ascii="Arial" w:cs="Arial" w:eastAsia="Arial" w:hAnsi="Arial"/>
          <w:sz w:val="16"/>
          <w:szCs w:val="16"/>
          <w:color w:val="auto"/>
        </w:rPr>
        <w:t>Indicate by a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p>
      <w:pPr>
        <w:spacing w:after="0" w:line="207" w:lineRule="exact"/>
        <w:tabs>
          <w:tab w:leader="none" w:pos="2220" w:val="left"/>
          <w:tab w:leader="none" w:pos="4000" w:val="left"/>
          <w:tab w:leader="none" w:pos="61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ind w:left="460"/>
        <w:spacing w:after="0" w:line="207" w:lineRule="exact"/>
        <w:tabs>
          <w:tab w:leader="none" w:pos="9540" w:val="left"/>
          <w:tab w:leader="none" w:pos="10280" w:val="left"/>
        </w:tabs>
        <w:rPr>
          <w:sz w:val="20"/>
          <w:szCs w:val="20"/>
          <w:color w:val="auto"/>
        </w:rPr>
      </w:pPr>
      <w:r>
        <w:rPr>
          <w:rFonts w:ascii="Arial" w:cs="Arial" w:eastAsia="Arial" w:hAnsi="Arial"/>
          <w:sz w:val="18"/>
          <w:szCs w:val="18"/>
          <w:color w:val="auto"/>
        </w:rPr>
        <w:t>Indicate by a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7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aggregate market value of the voting stock of the registrant held by non-affiliates as of June 30, 2009 was: $5,631,647,939.</w:t>
      </w:r>
    </w:p>
    <w:p>
      <w:pPr>
        <w:spacing w:after="0" w:line="3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6"/>
              </w:rPr>
              <w:t>Outstanding at January 31,</w:t>
            </w:r>
          </w:p>
        </w:tc>
        <w:tc>
          <w:tcPr>
            <w:tcW w:w="1780" w:type="dxa"/>
            <w:vAlign w:val="bottom"/>
          </w:tcPr>
          <w:p>
            <w:pPr>
              <w:spacing w:after="0"/>
              <w:rPr>
                <w:sz w:val="14"/>
                <w:szCs w:val="14"/>
                <w:color w:val="auto"/>
              </w:rPr>
            </w:pPr>
          </w:p>
        </w:tc>
      </w:tr>
      <w:tr>
        <w:trPr>
          <w:trHeight w:val="165"/>
        </w:trPr>
        <w:tc>
          <w:tcPr>
            <w:tcW w:w="2700" w:type="dxa"/>
            <w:vAlign w:val="bottom"/>
          </w:tcPr>
          <w:p>
            <w:pPr>
              <w:spacing w:after="0"/>
              <w:rPr>
                <w:sz w:val="14"/>
                <w:szCs w:val="14"/>
                <w:color w:val="auto"/>
              </w:rPr>
            </w:pPr>
          </w:p>
        </w:tc>
        <w:tc>
          <w:tcPr>
            <w:tcW w:w="504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6"/>
              </w:rPr>
              <w:t>2010</w:t>
            </w:r>
          </w:p>
        </w:tc>
        <w:tc>
          <w:tcPr>
            <w:tcW w:w="1780" w:type="dxa"/>
            <w:vAlign w:val="bottom"/>
          </w:tcPr>
          <w:p>
            <w:pPr>
              <w:spacing w:after="0"/>
              <w:rPr>
                <w:sz w:val="14"/>
                <w:szCs w:val="14"/>
                <w:color w:val="auto"/>
              </w:rPr>
            </w:pPr>
          </w:p>
        </w:tc>
      </w:tr>
      <w:tr>
        <w:trPr>
          <w:trHeight w:val="20"/>
        </w:trPr>
        <w:tc>
          <w:tcPr>
            <w:tcW w:w="2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08"/>
        </w:trPr>
        <w:tc>
          <w:tcPr>
            <w:tcW w:w="7740" w:type="dxa"/>
            <w:vAlign w:val="bottom"/>
            <w:gridSpan w:val="3"/>
          </w:tcPr>
          <w:p>
            <w:pPr>
              <w:ind w:left="1740"/>
              <w:spacing w:after="0"/>
              <w:rPr>
                <w:sz w:val="20"/>
                <w:szCs w:val="20"/>
                <w:color w:val="auto"/>
              </w:rPr>
            </w:pPr>
            <w:r>
              <w:rPr>
                <w:rFonts w:ascii="Arial" w:cs="Arial" w:eastAsia="Arial" w:hAnsi="Arial"/>
                <w:sz w:val="18"/>
                <w:szCs w:val="18"/>
                <w:color w:val="auto"/>
              </w:rPr>
              <w:t>Common Stock, $1 par value</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870,071,905 Shares</w:t>
            </w:r>
          </w:p>
        </w:tc>
        <w:tc>
          <w:tcPr>
            <w:tcW w:w="1780" w:type="dxa"/>
            <w:vAlign w:val="bottom"/>
          </w:tcPr>
          <w:p>
            <w:pPr>
              <w:spacing w:after="0"/>
              <w:rPr>
                <w:sz w:val="18"/>
                <w:szCs w:val="18"/>
                <w:color w:val="auto"/>
              </w:rPr>
            </w:pPr>
          </w:p>
        </w:tc>
      </w:tr>
      <w:tr>
        <w:trPr>
          <w:trHeight w:val="83"/>
        </w:trPr>
        <w:tc>
          <w:tcPr>
            <w:tcW w:w="27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72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r>
      <w:tr>
        <w:trPr>
          <w:trHeight w:val="34"/>
        </w:trPr>
        <w:tc>
          <w:tcPr>
            <w:tcW w:w="2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DOCUMENTS INCORPORATED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Portions of the following documents are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Part of Form</w:t>
            </w:r>
          </w:p>
        </w:tc>
        <w:tc>
          <w:tcPr>
            <w:tcW w:w="0" w:type="dxa"/>
            <w:vAlign w:val="bottom"/>
          </w:tcPr>
          <w:p>
            <w:pPr>
              <w:spacing w:after="0"/>
              <w:rPr>
                <w:sz w:val="1"/>
                <w:szCs w:val="1"/>
                <w:color w:val="auto"/>
              </w:rPr>
            </w:pPr>
          </w:p>
        </w:tc>
      </w:tr>
      <w:tr>
        <w:trPr>
          <w:trHeight w:val="149"/>
        </w:trPr>
        <w:tc>
          <w:tcPr>
            <w:tcW w:w="9980" w:type="dxa"/>
            <w:vAlign w:val="bottom"/>
            <w:vMerge w:val="restart"/>
          </w:tcPr>
          <w:p>
            <w:pPr>
              <w:spacing w:after="0"/>
              <w:rPr>
                <w:sz w:val="20"/>
                <w:szCs w:val="20"/>
                <w:color w:val="auto"/>
              </w:rPr>
            </w:pPr>
            <w:r>
              <w:rPr>
                <w:rFonts w:ascii="Arial" w:cs="Arial" w:eastAsia="Arial" w:hAnsi="Arial"/>
                <w:sz w:val="14"/>
                <w:szCs w:val="14"/>
                <w:b w:val="1"/>
                <w:bCs w:val="1"/>
                <w:color w:val="auto"/>
              </w:rPr>
              <w:t>Document</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10-K in Which</w:t>
            </w:r>
          </w:p>
        </w:tc>
        <w:tc>
          <w:tcPr>
            <w:tcW w:w="0" w:type="dxa"/>
            <w:vAlign w:val="bottom"/>
          </w:tcPr>
          <w:p>
            <w:pPr>
              <w:spacing w:after="0"/>
              <w:rPr>
                <w:sz w:val="1"/>
                <w:szCs w:val="1"/>
                <w:color w:val="auto"/>
              </w:rPr>
            </w:pPr>
          </w:p>
        </w:tc>
      </w:tr>
      <w:tr>
        <w:trPr>
          <w:trHeight w:val="165"/>
        </w:trPr>
        <w:tc>
          <w:tcPr>
            <w:tcW w:w="998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0" w:type="dxa"/>
            <w:vAlign w:val="bottom"/>
          </w:tcPr>
          <w:p>
            <w:pPr>
              <w:spacing w:after="0"/>
              <w:rPr>
                <w:sz w:val="1"/>
                <w:szCs w:val="1"/>
                <w:color w:val="auto"/>
              </w:rPr>
            </w:pPr>
          </w:p>
        </w:tc>
      </w:tr>
      <w:tr>
        <w:trPr>
          <w:trHeight w:val="199"/>
        </w:trPr>
        <w:tc>
          <w:tcPr>
            <w:tcW w:w="9980" w:type="dxa"/>
            <w:vAlign w:val="bottom"/>
          </w:tcPr>
          <w:p>
            <w:pPr>
              <w:spacing w:after="0" w:line="200" w:lineRule="exact"/>
              <w:rPr>
                <w:sz w:val="20"/>
                <w:szCs w:val="20"/>
                <w:color w:val="auto"/>
              </w:rPr>
            </w:pPr>
            <w:r>
              <w:rPr>
                <w:rFonts w:ascii="Arial" w:cs="Arial" w:eastAsia="Arial" w:hAnsi="Arial"/>
                <w:sz w:val="18"/>
                <w:szCs w:val="18"/>
                <w:color w:val="auto"/>
              </w:rPr>
              <w:t>Xerox Corporation 2009 Annual Report to Shareholders</w:t>
            </w:r>
          </w:p>
        </w:tc>
        <w:tc>
          <w:tcPr>
            <w:tcW w:w="540" w:type="dxa"/>
            <w:vAlign w:val="bottom"/>
          </w:tcPr>
          <w:p>
            <w:pPr>
              <w:spacing w:after="0"/>
              <w:rPr>
                <w:sz w:val="17"/>
                <w:szCs w:val="17"/>
                <w:color w:val="auto"/>
              </w:rPr>
            </w:pPr>
          </w:p>
        </w:tc>
        <w:tc>
          <w:tcPr>
            <w:tcW w:w="900" w:type="dxa"/>
            <w:vAlign w:val="bottom"/>
          </w:tcPr>
          <w:p>
            <w:pPr>
              <w:jc w:val="center"/>
              <w:spacing w:after="0" w:line="200" w:lineRule="exact"/>
              <w:rPr>
                <w:sz w:val="20"/>
                <w:szCs w:val="20"/>
                <w:color w:val="auto"/>
              </w:rPr>
            </w:pPr>
            <w:r>
              <w:rPr>
                <w:rFonts w:ascii="Arial" w:cs="Arial" w:eastAsia="Arial" w:hAnsi="Arial"/>
                <w:sz w:val="18"/>
                <w:szCs w:val="18"/>
                <w:color w:val="auto"/>
                <w:w w:val="97"/>
              </w:rPr>
              <w:t>I &amp; II</w:t>
            </w:r>
          </w:p>
        </w:tc>
        <w:tc>
          <w:tcPr>
            <w:tcW w:w="0" w:type="dxa"/>
            <w:vAlign w:val="bottom"/>
          </w:tcPr>
          <w:p>
            <w:pPr>
              <w:spacing w:after="0"/>
              <w:rPr>
                <w:sz w:val="1"/>
                <w:szCs w:val="1"/>
                <w:color w:val="auto"/>
              </w:rPr>
            </w:pPr>
          </w:p>
        </w:tc>
      </w:tr>
      <w:tr>
        <w:trPr>
          <w:trHeight w:val="203"/>
        </w:trPr>
        <w:tc>
          <w:tcPr>
            <w:tcW w:w="9980" w:type="dxa"/>
            <w:vAlign w:val="bottom"/>
          </w:tcPr>
          <w:p>
            <w:pPr>
              <w:spacing w:after="0" w:line="202" w:lineRule="exact"/>
              <w:rPr>
                <w:sz w:val="20"/>
                <w:szCs w:val="20"/>
                <w:color w:val="auto"/>
              </w:rPr>
            </w:pPr>
            <w:r>
              <w:rPr>
                <w:rFonts w:ascii="Arial" w:cs="Arial" w:eastAsia="Arial" w:hAnsi="Arial"/>
                <w:sz w:val="18"/>
                <w:szCs w:val="18"/>
                <w:color w:val="auto"/>
                <w:w w:val="97"/>
              </w:rPr>
              <w:t>Xerox Corporation Notice of 2010 Annual Meeting of Shareholders and Proxy Statement (to be filed not later than 120 days after</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 close of the fiscal year covered by this report on Form 10-K)</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2"/>
              </w:rPr>
              <w:t>III</w:t>
            </w:r>
          </w:p>
        </w:tc>
        <w:tc>
          <w:tcPr>
            <w:tcW w:w="0" w:type="dxa"/>
            <w:vAlign w:val="bottom"/>
          </w:tcPr>
          <w:p>
            <w:pPr>
              <w:spacing w:after="0"/>
              <w:rPr>
                <w:sz w:val="1"/>
                <w:szCs w:val="1"/>
                <w:color w:val="auto"/>
              </w:rPr>
            </w:pPr>
          </w:p>
        </w:tc>
      </w:tr>
      <w:tr>
        <w:trPr>
          <w:trHeight w:val="20"/>
        </w:trPr>
        <w:tc>
          <w:tcPr>
            <w:tcW w:w="9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FORWARD-LOOKING STATEMENTS</w:t>
      </w:r>
    </w:p>
    <w:p>
      <w:pPr>
        <w:spacing w:after="0" w:line="99" w:lineRule="exact"/>
        <w:rPr>
          <w:sz w:val="20"/>
          <w:szCs w:val="20"/>
          <w:color w:val="auto"/>
        </w:rPr>
      </w:pPr>
    </w:p>
    <w:p>
      <w:pPr>
        <w:jc w:val="both"/>
        <w:ind w:right="340"/>
        <w:spacing w:after="0" w:line="237" w:lineRule="auto"/>
        <w:rPr>
          <w:sz w:val="20"/>
          <w:szCs w:val="20"/>
          <w:color w:val="auto"/>
        </w:rPr>
      </w:pPr>
      <w:r>
        <w:rPr>
          <w:rFonts w:ascii="Arial" w:cs="Arial" w:eastAsia="Arial" w:hAnsi="Arial"/>
          <w:sz w:val="18"/>
          <w:szCs w:val="18"/>
          <w:color w:val="auto"/>
        </w:rPr>
        <w:t>From time to time, we and our representatives may provide information, whether orally or in writing, including certain statements in this Annual Report on Form 10-K, which are deemed to be “forward-looking” within the meaning of the Private Securities Litigation Reform Act of 1995 (the “Litigation Reform Act”). These forward-looking statements and other information are based on our beliefs as well as assumptions made by us using information currently available.</w:t>
      </w:r>
    </w:p>
    <w:p>
      <w:pPr>
        <w:spacing w:after="0" w:line="15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words “anticipate,” “believe,” “estimate,” “expect,” “intend,” “will,” “should” and similar expressions, as they relate to us, are intended to identify forward-looking statements. Such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described herein as anticipated, believed, estimated, expected or intended or using other similar expressions. We do not intend to update these forward-looking statements, except as required by law.</w:t>
      </w:r>
    </w:p>
    <w:p>
      <w:pPr>
        <w:spacing w:after="0" w:line="15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accordance with the provisions of the Litigation Reform Act, we are making investors aware that such forward-looking statements, because they relate to future events, are by their very nature subject to many important factors that could cause actual results to differ materially from those contemplated by the forward-looking statements contained in this Annual Report on Form 10-K, any exhibits to this Form 10-K and other public statements we make. Such factors include, but are not limited to: the unprecedented volatility in the global economy; the risk that unexpected costs will be incurred; the outcome of litigation and regulatory proceedings to which we may be a party; actions of competitors; changes and developments affecting our industry; quarterly or cyclical variations in financial results; development of new products and services; interest rates and cost of borrowing; our ability to protect our intellectual property rights; our ability to maintain and improve cost efficiency of operations, including savings from restructuring actions; changes in foreign currency exchange rates; changes in economic conditions, political conditions, trade protection measures, licensing requirements and tax matters in the foreign countries in which we do business; reliance on third parties for manufacturing of products and provision of services; the risk that we will not realize all of the anticipated benefits from the acquisition of Affiliated Computer Services, Inc.; our ability to recover capital investments; the risk that subcontractors, software vendors and utility and network providers will not perform in a timely, quality manner; the risk that multi-year contracts with governmental entities could be terminated prior to the end of the contract term; the risk that individually identifiable information of customers, clients and employees could be inadvertently disclosed or disclosed as a result of a breach of our security; and other factors that are set forth in the “Risk Factors” section, the “Legal Proceedings” section, the “Management’s Discussion and Analysis of Financial Condition and Results of Operations” section and other sections of this Annual Report on Form 10-K, as well as in our Quarterly Reports on Form 10-Q and Current Reports on Form 8-K.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2"/>
        </w:trPr>
        <w:tc>
          <w:tcPr>
            <w:tcW w:w="1460" w:type="dxa"/>
            <w:vAlign w:val="bottom"/>
            <w:gridSpan w:val="2"/>
          </w:tcPr>
          <w:p>
            <w:pPr>
              <w:ind w:left="660"/>
              <w:spacing w:after="0" w:line="172" w:lineRule="exact"/>
              <w:rPr>
                <w:sz w:val="20"/>
                <w:szCs w:val="20"/>
                <w:color w:val="auto"/>
              </w:rPr>
            </w:pPr>
            <w:r>
              <w:rPr>
                <w:rFonts w:ascii="Arial" w:cs="Arial" w:eastAsia="Arial" w:hAnsi="Arial"/>
                <w:sz w:val="18"/>
                <w:szCs w:val="18"/>
                <w:color w:val="auto"/>
              </w:rPr>
              <w:t>Item 1.</w:t>
            </w:r>
          </w:p>
        </w:tc>
        <w:tc>
          <w:tcPr>
            <w:tcW w:w="8940" w:type="dxa"/>
            <w:vAlign w:val="bottom"/>
            <w:gridSpan w:val="19"/>
          </w:tcPr>
          <w:p>
            <w:pPr>
              <w:spacing w:after="0" w:line="172" w:lineRule="exact"/>
              <w:rPr>
                <w:rFonts w:ascii="Arial" w:cs="Arial" w:eastAsia="Arial" w:hAnsi="Arial"/>
                <w:sz w:val="18"/>
                <w:szCs w:val="18"/>
                <w:color w:val="0000EE"/>
              </w:rPr>
            </w:pPr>
            <w:hyperlink w:anchor="page4">
              <w:r>
                <w:rPr>
                  <w:rFonts w:ascii="Arial" w:cs="Arial" w:eastAsia="Arial" w:hAnsi="Arial"/>
                  <w:sz w:val="18"/>
                  <w:szCs w:val="18"/>
                  <w:color w:val="0000EE"/>
                </w:rPr>
                <w:t>Business Overview</w:t>
              </w:r>
            </w:hyperlink>
          </w:p>
        </w:tc>
        <w:tc>
          <w:tcPr>
            <w:tcW w:w="102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1A.</w:t>
            </w:r>
          </w:p>
        </w:tc>
        <w:tc>
          <w:tcPr>
            <w:tcW w:w="14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7460" w:type="dxa"/>
            <w:vAlign w:val="bottom"/>
            <w:gridSpan w:val="14"/>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20"/>
        </w:trPr>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1B.</w:t>
            </w:r>
          </w:p>
        </w:tc>
        <w:tc>
          <w:tcPr>
            <w:tcW w:w="8940" w:type="dxa"/>
            <w:vAlign w:val="bottom"/>
            <w:gridSpan w:val="19"/>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2.</w:t>
            </w:r>
          </w:p>
        </w:tc>
        <w:tc>
          <w:tcPr>
            <w:tcW w:w="8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Properties</w:t>
              </w:r>
            </w:hyperlink>
          </w:p>
        </w:tc>
        <w:tc>
          <w:tcPr>
            <w:tcW w:w="1380" w:type="dxa"/>
            <w:vAlign w:val="bottom"/>
            <w:tcBorders>
              <w:top w:val="single" w:sz="8" w:color="0000EE"/>
            </w:tcBorders>
            <w:gridSpan w:val="7"/>
          </w:tcPr>
          <w:p>
            <w:pPr>
              <w:spacing w:after="0"/>
              <w:rPr>
                <w:sz w:val="15"/>
                <w:szCs w:val="15"/>
                <w:color w:val="auto"/>
              </w:rPr>
            </w:pPr>
          </w:p>
        </w:tc>
        <w:tc>
          <w:tcPr>
            <w:tcW w:w="6760" w:type="dxa"/>
            <w:vAlign w:val="bottom"/>
            <w:gridSpan w:val="11"/>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3.</w:t>
            </w:r>
          </w:p>
        </w:tc>
        <w:tc>
          <w:tcPr>
            <w:tcW w:w="8940" w:type="dxa"/>
            <w:vAlign w:val="bottom"/>
            <w:gridSpan w:val="19"/>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20"/>
        </w:trPr>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4.</w:t>
            </w:r>
          </w:p>
        </w:tc>
        <w:tc>
          <w:tcPr>
            <w:tcW w:w="8940" w:type="dxa"/>
            <w:vAlign w:val="bottom"/>
            <w:gridSpan w:val="19"/>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Submission of Matters to a Vote of Security Holders</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213"/>
        </w:trPr>
        <w:tc>
          <w:tcPr>
            <w:tcW w:w="14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2"/>
        </w:trPr>
        <w:tc>
          <w:tcPr>
            <w:tcW w:w="1460" w:type="dxa"/>
            <w:vAlign w:val="bottom"/>
            <w:gridSpan w:val="2"/>
          </w:tcPr>
          <w:p>
            <w:pPr>
              <w:ind w:left="660"/>
              <w:spacing w:after="0" w:line="172" w:lineRule="exact"/>
              <w:rPr>
                <w:sz w:val="20"/>
                <w:szCs w:val="20"/>
                <w:color w:val="auto"/>
              </w:rPr>
            </w:pPr>
            <w:r>
              <w:rPr>
                <w:rFonts w:ascii="Arial" w:cs="Arial" w:eastAsia="Arial" w:hAnsi="Arial"/>
                <w:sz w:val="18"/>
                <w:szCs w:val="18"/>
                <w:color w:val="auto"/>
              </w:rPr>
              <w:t>Item 5.</w:t>
            </w:r>
          </w:p>
        </w:tc>
        <w:tc>
          <w:tcPr>
            <w:tcW w:w="8940" w:type="dxa"/>
            <w:vAlign w:val="bottom"/>
            <w:tcBorders>
              <w:bottom w:val="single" w:sz="8" w:color="0000EE"/>
            </w:tcBorders>
            <w:gridSpan w:val="19"/>
          </w:tcPr>
          <w:p>
            <w:pPr>
              <w:spacing w:after="0" w:line="172"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Market for the Registrant’s Common Equity, Related Stockholder Matters and Issuer Purchases of Equity Securities</w:t>
              </w:r>
            </w:hyperlink>
          </w:p>
        </w:tc>
        <w:tc>
          <w:tcPr>
            <w:tcW w:w="1020" w:type="dxa"/>
            <w:vAlign w:val="bottom"/>
          </w:tcPr>
          <w:p>
            <w:pPr>
              <w:jc w:val="right"/>
              <w:spacing w:after="0" w:line="172" w:lineRule="exact"/>
              <w:rPr>
                <w:sz w:val="20"/>
                <w:szCs w:val="20"/>
                <w:color w:val="auto"/>
              </w:rPr>
            </w:pPr>
            <w:r>
              <w:rPr>
                <w:rFonts w:ascii="Arial" w:cs="Arial" w:eastAsia="Arial" w:hAnsi="Arial"/>
                <w:sz w:val="18"/>
                <w:szCs w:val="18"/>
                <w:color w:val="auto"/>
              </w:rPr>
              <w:t>25</w:t>
            </w: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6.</w:t>
            </w:r>
          </w:p>
        </w:tc>
        <w:tc>
          <w:tcPr>
            <w:tcW w:w="8940" w:type="dxa"/>
            <w:vAlign w:val="bottom"/>
            <w:gridSpan w:val="19"/>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Selected Financial Data</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20"/>
        </w:trPr>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7.</w:t>
            </w:r>
          </w:p>
        </w:tc>
        <w:tc>
          <w:tcPr>
            <w:tcW w:w="690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Management’s Discussion and Analysis of Financial Condition and Results of Operations</w:t>
              </w:r>
            </w:hyperlink>
          </w:p>
        </w:tc>
        <w:tc>
          <w:tcPr>
            <w:tcW w:w="2040" w:type="dxa"/>
            <w:vAlign w:val="bottom"/>
            <w:gridSpan w:val="2"/>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7A.</w:t>
            </w:r>
          </w:p>
        </w:tc>
        <w:tc>
          <w:tcPr>
            <w:tcW w:w="8940" w:type="dxa"/>
            <w:vAlign w:val="bottom"/>
            <w:gridSpan w:val="19"/>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8.</w:t>
            </w:r>
          </w:p>
        </w:tc>
        <w:tc>
          <w:tcPr>
            <w:tcW w:w="45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Financial Statements and Supplementary Data</w:t>
              </w:r>
            </w:hyperlink>
          </w:p>
        </w:tc>
        <w:tc>
          <w:tcPr>
            <w:tcW w:w="4360" w:type="dxa"/>
            <w:vAlign w:val="bottom"/>
            <w:gridSpan w:val="5"/>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20"/>
        </w:trPr>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9.</w:t>
            </w:r>
          </w:p>
        </w:tc>
        <w:tc>
          <w:tcPr>
            <w:tcW w:w="696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Changes in and Disagreements with Accountants on Accounting and Financial Disclosure</w:t>
              </w:r>
            </w:hyperlink>
          </w:p>
        </w:tc>
        <w:tc>
          <w:tcPr>
            <w:tcW w:w="198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9A.</w:t>
            </w:r>
          </w:p>
        </w:tc>
        <w:tc>
          <w:tcPr>
            <w:tcW w:w="194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Controls and Procedures</w:t>
              </w:r>
            </w:hyperlink>
          </w:p>
        </w:tc>
        <w:tc>
          <w:tcPr>
            <w:tcW w:w="7000" w:type="dxa"/>
            <w:vAlign w:val="bottom"/>
            <w:gridSpan w:val="12"/>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9B.</w:t>
            </w:r>
          </w:p>
        </w:tc>
        <w:tc>
          <w:tcPr>
            <w:tcW w:w="8940" w:type="dxa"/>
            <w:vAlign w:val="bottom"/>
            <w:gridSpan w:val="19"/>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213"/>
        </w:trPr>
        <w:tc>
          <w:tcPr>
            <w:tcW w:w="1460" w:type="dxa"/>
            <w:vAlign w:val="bottom"/>
            <w:gridSpan w:val="2"/>
          </w:tcPr>
          <w:p>
            <w:pPr>
              <w:spacing w:after="0"/>
              <w:rPr>
                <w:sz w:val="20"/>
                <w:szCs w:val="20"/>
                <w:color w:val="auto"/>
              </w:rPr>
            </w:pPr>
            <w:r>
              <w:rPr>
                <w:rFonts w:ascii="Arial" w:cs="Arial" w:eastAsia="Arial" w:hAnsi="Arial"/>
                <w:sz w:val="18"/>
                <w:szCs w:val="18"/>
                <w:color w:val="auto"/>
              </w:rPr>
              <w:t>Part III</w:t>
            </w:r>
          </w:p>
        </w:tc>
        <w:tc>
          <w:tcPr>
            <w:tcW w:w="8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2"/>
        </w:trPr>
        <w:tc>
          <w:tcPr>
            <w:tcW w:w="1460" w:type="dxa"/>
            <w:vAlign w:val="bottom"/>
            <w:gridSpan w:val="2"/>
          </w:tcPr>
          <w:p>
            <w:pPr>
              <w:ind w:left="660"/>
              <w:spacing w:after="0" w:line="172" w:lineRule="exact"/>
              <w:rPr>
                <w:sz w:val="20"/>
                <w:szCs w:val="20"/>
                <w:color w:val="auto"/>
              </w:rPr>
            </w:pPr>
            <w:r>
              <w:rPr>
                <w:rFonts w:ascii="Arial" w:cs="Arial" w:eastAsia="Arial" w:hAnsi="Arial"/>
                <w:sz w:val="18"/>
                <w:szCs w:val="18"/>
                <w:color w:val="auto"/>
              </w:rPr>
              <w:t>Item 10.</w:t>
            </w:r>
          </w:p>
        </w:tc>
        <w:tc>
          <w:tcPr>
            <w:tcW w:w="8940" w:type="dxa"/>
            <w:vAlign w:val="bottom"/>
            <w:gridSpan w:val="19"/>
          </w:tcPr>
          <w:p>
            <w:pPr>
              <w:spacing w:after="0" w:line="172" w:lineRule="exact"/>
              <w:rPr>
                <w:rFonts w:ascii="Arial" w:cs="Arial" w:eastAsia="Arial" w:hAnsi="Arial"/>
                <w:sz w:val="18"/>
                <w:szCs w:val="18"/>
                <w:color w:val="0000EE"/>
              </w:rPr>
            </w:pPr>
            <w:hyperlink w:anchor="page34">
              <w:r>
                <w:rPr>
                  <w:rFonts w:ascii="Arial" w:cs="Arial" w:eastAsia="Arial" w:hAnsi="Arial"/>
                  <w:sz w:val="18"/>
                  <w:szCs w:val="18"/>
                  <w:color w:val="0000EE"/>
                </w:rPr>
                <w:t>Directors, Executive Officers and Corporate Governance</w:t>
              </w:r>
            </w:hyperlink>
          </w:p>
        </w:tc>
        <w:tc>
          <w:tcPr>
            <w:tcW w:w="1020" w:type="dxa"/>
            <w:vAlign w:val="bottom"/>
          </w:tcPr>
          <w:p>
            <w:pPr>
              <w:jc w:val="right"/>
              <w:spacing w:after="0" w:line="172" w:lineRule="exact"/>
              <w:rPr>
                <w:sz w:val="20"/>
                <w:szCs w:val="20"/>
                <w:color w:val="auto"/>
              </w:rPr>
            </w:pPr>
            <w:r>
              <w:rPr>
                <w:rFonts w:ascii="Arial" w:cs="Arial" w:eastAsia="Arial" w:hAnsi="Arial"/>
                <w:sz w:val="18"/>
                <w:szCs w:val="18"/>
                <w:color w:val="auto"/>
              </w:rPr>
              <w:t>31</w:t>
            </w: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11.</w:t>
            </w:r>
          </w:p>
        </w:tc>
        <w:tc>
          <w:tcPr>
            <w:tcW w:w="19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Executive Compensation</w:t>
              </w:r>
            </w:hyperlink>
          </w:p>
        </w:tc>
        <w:tc>
          <w:tcPr>
            <w:tcW w:w="2440" w:type="dxa"/>
            <w:vAlign w:val="bottom"/>
            <w:tcBorders>
              <w:top w:val="single" w:sz="8" w:color="0000EE"/>
            </w:tcBorders>
            <w:gridSpan w:val="6"/>
          </w:tcPr>
          <w:p>
            <w:pPr>
              <w:spacing w:after="0"/>
              <w:rPr>
                <w:sz w:val="15"/>
                <w:szCs w:val="15"/>
                <w:color w:val="auto"/>
              </w:rPr>
            </w:pPr>
          </w:p>
        </w:tc>
        <w:tc>
          <w:tcPr>
            <w:tcW w:w="4560" w:type="dxa"/>
            <w:vAlign w:val="bottom"/>
            <w:gridSpan w:val="6"/>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12.</w:t>
            </w:r>
          </w:p>
        </w:tc>
        <w:tc>
          <w:tcPr>
            <w:tcW w:w="8940" w:type="dxa"/>
            <w:vAlign w:val="bottom"/>
            <w:gridSpan w:val="19"/>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Security Ownership of Certain Beneficial Owners and Management</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20"/>
        </w:trPr>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80" w:type="dxa"/>
            <w:vAlign w:val="bottom"/>
            <w:gridSpan w:val="9"/>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13.</w:t>
            </w:r>
          </w:p>
        </w:tc>
        <w:tc>
          <w:tcPr>
            <w:tcW w:w="5580" w:type="dxa"/>
            <w:vAlign w:val="bottom"/>
            <w:tcBorders>
              <w:bottom w:val="single" w:sz="8" w:color="0000EE"/>
            </w:tcBorders>
            <w:gridSpan w:val="16"/>
          </w:tcPr>
          <w:p>
            <w:pPr>
              <w:spacing w:after="0" w:line="182"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Certain Relationships, Related Transactions and Director Independence</w:t>
              </w:r>
            </w:hyperlink>
          </w:p>
        </w:tc>
        <w:tc>
          <w:tcPr>
            <w:tcW w:w="3360" w:type="dxa"/>
            <w:vAlign w:val="bottom"/>
            <w:gridSpan w:val="3"/>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146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Item 14.</w:t>
            </w:r>
          </w:p>
        </w:tc>
        <w:tc>
          <w:tcPr>
            <w:tcW w:w="8940" w:type="dxa"/>
            <w:vAlign w:val="bottom"/>
            <w:gridSpan w:val="19"/>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Principal Auditor Fees and Services</w:t>
              </w:r>
            </w:hyperlink>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213"/>
        </w:trPr>
        <w:tc>
          <w:tcPr>
            <w:tcW w:w="1460" w:type="dxa"/>
            <w:vAlign w:val="bottom"/>
            <w:gridSpan w:val="2"/>
          </w:tcPr>
          <w:p>
            <w:pPr>
              <w:spacing w:after="0"/>
              <w:rPr>
                <w:sz w:val="20"/>
                <w:szCs w:val="20"/>
                <w:color w:val="auto"/>
              </w:rPr>
            </w:pPr>
            <w:r>
              <w:rPr>
                <w:rFonts w:ascii="Arial" w:cs="Arial" w:eastAsia="Arial" w:hAnsi="Arial"/>
                <w:sz w:val="18"/>
                <w:szCs w:val="18"/>
                <w:color w:val="auto"/>
              </w:rPr>
              <w:t>Part IV</w:t>
            </w:r>
          </w:p>
        </w:tc>
        <w:tc>
          <w:tcPr>
            <w:tcW w:w="8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2"/>
        </w:trPr>
        <w:tc>
          <w:tcPr>
            <w:tcW w:w="1460" w:type="dxa"/>
            <w:vAlign w:val="bottom"/>
            <w:gridSpan w:val="2"/>
          </w:tcPr>
          <w:p>
            <w:pPr>
              <w:ind w:left="660"/>
              <w:spacing w:after="0" w:line="172" w:lineRule="exact"/>
              <w:rPr>
                <w:sz w:val="20"/>
                <w:szCs w:val="20"/>
                <w:color w:val="auto"/>
              </w:rPr>
            </w:pPr>
            <w:r>
              <w:rPr>
                <w:rFonts w:ascii="Arial" w:cs="Arial" w:eastAsia="Arial" w:hAnsi="Arial"/>
                <w:sz w:val="18"/>
                <w:szCs w:val="18"/>
                <w:color w:val="auto"/>
              </w:rPr>
              <w:t>Item 15.</w:t>
            </w:r>
          </w:p>
        </w:tc>
        <w:tc>
          <w:tcPr>
            <w:tcW w:w="8940" w:type="dxa"/>
            <w:vAlign w:val="bottom"/>
            <w:gridSpan w:val="19"/>
          </w:tcPr>
          <w:p>
            <w:pPr>
              <w:spacing w:after="0" w:line="172" w:lineRule="exact"/>
              <w:rPr>
                <w:rFonts w:ascii="Arial" w:cs="Arial" w:eastAsia="Arial" w:hAnsi="Arial"/>
                <w:sz w:val="18"/>
                <w:szCs w:val="18"/>
                <w:color w:val="0000EE"/>
              </w:rPr>
            </w:pPr>
            <w:hyperlink w:anchor="page36">
              <w:r>
                <w:rPr>
                  <w:rFonts w:ascii="Arial" w:cs="Arial" w:eastAsia="Arial" w:hAnsi="Arial"/>
                  <w:sz w:val="18"/>
                  <w:szCs w:val="18"/>
                  <w:color w:val="0000EE"/>
                </w:rPr>
                <w:t>Exhibits and Financial Statement Schedules</w:t>
              </w:r>
            </w:hyperlink>
          </w:p>
        </w:tc>
        <w:tc>
          <w:tcPr>
            <w:tcW w:w="1020" w:type="dxa"/>
            <w:vAlign w:val="bottom"/>
          </w:tcPr>
          <w:p>
            <w:pPr>
              <w:jc w:val="right"/>
              <w:spacing w:after="0" w:line="172" w:lineRule="exact"/>
              <w:rPr>
                <w:sz w:val="20"/>
                <w:szCs w:val="20"/>
                <w:color w:val="auto"/>
              </w:rPr>
            </w:pPr>
            <w:r>
              <w:rPr>
                <w:rFonts w:ascii="Arial" w:cs="Arial" w:eastAsia="Arial" w:hAnsi="Arial"/>
                <w:sz w:val="18"/>
                <w:szCs w:val="18"/>
                <w:color w:val="auto"/>
              </w:rPr>
              <w:t>33</w:t>
            </w:r>
          </w:p>
        </w:tc>
      </w:tr>
      <w:tr>
        <w:trPr>
          <w:trHeight w:val="183"/>
        </w:trPr>
        <w:tc>
          <w:tcPr>
            <w:tcW w:w="1460" w:type="dxa"/>
            <w:vAlign w:val="bottom"/>
            <w:gridSpan w:val="2"/>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370"/>
        </w:trPr>
        <w:tc>
          <w:tcPr>
            <w:tcW w:w="8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4380" w:type="dxa"/>
            <w:vAlign w:val="bottom"/>
            <w:gridSpan w:val="13"/>
          </w:tcPr>
          <w:p>
            <w:pPr>
              <w:ind w:left="4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1269BC"/>
        </w:rPr>
        <w:t>ITEM 1.</w:t>
      </w:r>
      <w:r>
        <w:rPr>
          <w:sz w:val="20"/>
          <w:szCs w:val="20"/>
          <w:color w:val="auto"/>
        </w:rPr>
        <w:tab/>
      </w:r>
      <w:r>
        <w:rPr>
          <w:rFonts w:ascii="Arial" w:cs="Arial" w:eastAsia="Arial" w:hAnsi="Arial"/>
          <w:sz w:val="21"/>
          <w:szCs w:val="21"/>
          <w:b w:val="1"/>
          <w:bCs w:val="1"/>
          <w:color w:val="1269BC"/>
        </w:rPr>
        <w:t>BUSINESS OVERVIEW</w:t>
      </w:r>
    </w:p>
    <w:p>
      <w:pPr>
        <w:spacing w:after="0" w:line="10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References in this section to “we,” “us,” “our,” the “Company” and “Xerox” refer to Xerox Corporation and its subsidiaries unless the context specifically states or implies otherwise. References to “ACS” refer to Affiliated Computer Services, Inc., a wholly-owned subsidiary of ours that we acquired in February 2010,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95885</wp:posOffset>
            </wp:positionV>
            <wp:extent cx="5831840" cy="831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318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provide the document industry’s broadest portfolio of document systems and services for businesses of any size. This includes printers, multifunction devices, production publishing systems, managed print services (“MPS”) and related software. We also offer support and supplies, such as toner, paper and ink as part of our document technology offerings. Through our heritage of innovation we continue to deliver leading document technology.</w:t>
      </w:r>
    </w:p>
    <w:p>
      <w:pPr>
        <w:spacing w:after="0" w:line="15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are the industry leader in managed print services helping businesses save up to 30 percent on printing costs by optimizing the use of document systems across an entire enterprise. With the acquisition of ACS we manage the essential processes that businesses count on to be successful and we are a leading business process and IT outsourcing company, offering services from claims reimbursement and electronic toll transactions to customer call centers and HR benefits management.</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45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205740</wp:posOffset>
            </wp:positionV>
            <wp:extent cx="2958465" cy="508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8465" cy="508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Xerox is a leader in a large, diverse, and growing market. The document and business process management industry continues to see significant trends toward color, enterprise print services, and electronic document management. Our broad portfolio of production, office, and service offerings provide value to our customers and enable Xerox to lead and grow in the $132 billion document market we serve. With ACS, we more than double our market opportunity to over $500 billion and we will now participate in the diverse and growing business process and IT outsourcing market.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129540</wp:posOffset>
            </wp:positionV>
            <wp:extent cx="2950210" cy="256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50210"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are well-positioned to lead in the large and growing business process and document management market through:</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Executing on Growth Initiatives</w:t>
      </w:r>
    </w:p>
    <w:p>
      <w:pPr>
        <w:spacing w:after="0" w:line="77" w:lineRule="exact"/>
        <w:rPr>
          <w:sz w:val="20"/>
          <w:szCs w:val="20"/>
          <w:color w:val="auto"/>
        </w:rPr>
      </w:pPr>
    </w:p>
    <w:p>
      <w:pPr>
        <w:ind w:left="460" w:right="48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1269BC"/>
        </w:rPr>
        <w:t xml:space="preserve">Accelerating the transition to color </w:t>
      </w:r>
      <w:r>
        <w:rPr>
          <w:rFonts w:ascii="Arial" w:cs="Arial" w:eastAsia="Arial" w:hAnsi="Arial"/>
          <w:sz w:val="18"/>
          <w:szCs w:val="18"/>
          <w:color w:val="000000"/>
        </w:rPr>
        <w:t>– We have the broadest color portfolio in the industry and leading technologies to help customers</w:t>
      </w:r>
      <w:r>
        <w:rPr>
          <w:rFonts w:ascii="Arial" w:cs="Arial" w:eastAsia="Arial" w:hAnsi="Arial"/>
          <w:sz w:val="18"/>
          <w:szCs w:val="18"/>
          <w:b w:val="1"/>
          <w:bCs w:val="1"/>
          <w:color w:val="1269BC"/>
        </w:rPr>
        <w:t xml:space="preserve"> </w:t>
      </w:r>
      <w:r>
        <w:rPr>
          <w:rFonts w:ascii="Arial" w:cs="Arial" w:eastAsia="Arial" w:hAnsi="Arial"/>
          <w:sz w:val="18"/>
          <w:szCs w:val="18"/>
          <w:color w:val="000000"/>
        </w:rPr>
        <w:t>realize the communication benefits of printing in color.</w:t>
      </w:r>
    </w:p>
    <w:p>
      <w:pPr>
        <w:spacing w:after="0" w:line="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Color is a large and growing market and is estimated at $44 billion.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Cost and quality improvements are driving the transition from black-and-white to color.</w:t>
      </w:r>
    </w:p>
    <w:p>
      <w:pPr>
        <w:spacing w:after="0" w:line="76" w:lineRule="exact"/>
        <w:rPr>
          <w:rFonts w:ascii="Arial" w:cs="Arial" w:eastAsia="Arial" w:hAnsi="Arial"/>
          <w:sz w:val="18"/>
          <w:szCs w:val="18"/>
          <w:color w:val="auto"/>
        </w:rPr>
      </w:pPr>
    </w:p>
    <w:p>
      <w:pPr>
        <w:ind w:left="900" w:right="80" w:hanging="446"/>
        <w:spacing w:after="0" w:line="23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are also a leader in the black-and-white segment and we continue to gain share and capture growth opportunities in this $62 billion market.</w:t>
      </w:r>
    </w:p>
    <w:p>
      <w:pPr>
        <w:spacing w:after="0" w:line="51"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1269BC"/>
        </w:rPr>
        <w:t xml:space="preserve">Building on services leadership – </w:t>
      </w:r>
      <w:r>
        <w:rPr>
          <w:rFonts w:ascii="Arial" w:cs="Arial" w:eastAsia="Arial" w:hAnsi="Arial"/>
          <w:sz w:val="18"/>
          <w:szCs w:val="18"/>
          <w:color w:val="000000"/>
        </w:rPr>
        <w:t>We lead the industry with end-to-end Document Management Services and we participate in three areas</w:t>
      </w:r>
      <w:r>
        <w:rPr>
          <w:rFonts w:ascii="Arial" w:cs="Arial" w:eastAsia="Arial" w:hAnsi="Arial"/>
          <w:sz w:val="18"/>
          <w:szCs w:val="18"/>
          <w:b w:val="1"/>
          <w:bCs w:val="1"/>
          <w:color w:val="1269BC"/>
        </w:rPr>
        <w:t xml:space="preserve"> </w:t>
      </w:r>
      <w:r>
        <w:rPr>
          <w:rFonts w:ascii="Arial" w:cs="Arial" w:eastAsia="Arial" w:hAnsi="Arial"/>
          <w:sz w:val="18"/>
          <w:szCs w:val="18"/>
          <w:color w:val="000000"/>
        </w:rPr>
        <w:t>of the outsourcing services market:</w:t>
      </w:r>
    </w:p>
    <w:p>
      <w:pPr>
        <w:spacing w:after="0" w:line="30" w:lineRule="exact"/>
        <w:rPr>
          <w:rFonts w:ascii="Arial" w:cs="Arial" w:eastAsia="Arial" w:hAnsi="Arial"/>
          <w:sz w:val="18"/>
          <w:szCs w:val="18"/>
          <w:color w:val="auto"/>
        </w:rPr>
      </w:pPr>
    </w:p>
    <w:p>
      <w:pPr>
        <w:jc w:val="both"/>
        <w:ind w:left="900" w:right="400" w:hanging="446"/>
        <w:spacing w:after="0" w:line="24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1269BC"/>
        </w:rPr>
        <w:t>Infrastructure Outsourcing</w:t>
      </w:r>
      <w:r>
        <w:rPr>
          <w:rFonts w:ascii="Arial" w:cs="Arial" w:eastAsia="Arial" w:hAnsi="Arial"/>
          <w:sz w:val="18"/>
          <w:szCs w:val="18"/>
          <w:color w:val="000000"/>
        </w:rPr>
        <w:t>, where we help our customers through differentiated technology, skills and automation to reduce their</w:t>
      </w:r>
      <w:r>
        <w:rPr>
          <w:rFonts w:ascii="Arial" w:cs="Arial" w:eastAsia="Arial" w:hAnsi="Arial"/>
          <w:sz w:val="18"/>
          <w:szCs w:val="18"/>
          <w:b w:val="1"/>
          <w:bCs w:val="1"/>
          <w:color w:val="1269BC"/>
        </w:rPr>
        <w:t xml:space="preserve"> </w:t>
      </w:r>
      <w:r>
        <w:rPr>
          <w:rFonts w:ascii="Arial" w:cs="Arial" w:eastAsia="Arial" w:hAnsi="Arial"/>
          <w:sz w:val="18"/>
          <w:szCs w:val="18"/>
          <w:color w:val="000000"/>
        </w:rPr>
        <w:t>enterprise spend and optimize their IT and print infrastructure to support their business processes. With the acquisition of ACS, we have expanded our capabilities into IT outsourcing.</w:t>
      </w:r>
    </w:p>
    <w:p>
      <w:pPr>
        <w:spacing w:after="0" w:line="44" w:lineRule="exact"/>
        <w:rPr>
          <w:rFonts w:ascii="Arial" w:cs="Arial" w:eastAsia="Arial" w:hAnsi="Arial"/>
          <w:sz w:val="18"/>
          <w:szCs w:val="18"/>
          <w:color w:val="auto"/>
        </w:rPr>
      </w:pPr>
    </w:p>
    <w:p>
      <w:pPr>
        <w:ind w:left="900" w:right="840" w:hanging="446"/>
        <w:spacing w:after="0" w:line="26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1269BC"/>
        </w:rPr>
        <w:t>Application Outsourcing</w:t>
      </w:r>
      <w:r>
        <w:rPr>
          <w:rFonts w:ascii="Arial" w:cs="Arial" w:eastAsia="Arial" w:hAnsi="Arial"/>
          <w:sz w:val="18"/>
          <w:szCs w:val="18"/>
          <w:color w:val="000000"/>
        </w:rPr>
        <w:t>, where we help our customers to streamline their document intensive business processes through</w:t>
      </w:r>
      <w:r>
        <w:rPr>
          <w:rFonts w:ascii="Arial" w:cs="Arial" w:eastAsia="Arial" w:hAnsi="Arial"/>
          <w:sz w:val="18"/>
          <w:szCs w:val="18"/>
          <w:b w:val="1"/>
          <w:bCs w:val="1"/>
          <w:color w:val="1269BC"/>
        </w:rPr>
        <w:t xml:space="preserve"> </w:t>
      </w:r>
      <w:r>
        <w:rPr>
          <w:rFonts w:ascii="Arial" w:cs="Arial" w:eastAsia="Arial" w:hAnsi="Arial"/>
          <w:sz w:val="18"/>
          <w:szCs w:val="18"/>
          <w:color w:val="000000"/>
        </w:rPr>
        <w:t>automation and deployment of software applications and tools.</w:t>
      </w:r>
    </w:p>
    <w:p>
      <w:pPr>
        <w:spacing w:after="0" w:line="30" w:lineRule="exact"/>
        <w:rPr>
          <w:rFonts w:ascii="Arial" w:cs="Arial" w:eastAsia="Arial" w:hAnsi="Arial"/>
          <w:sz w:val="18"/>
          <w:szCs w:val="18"/>
          <w:color w:val="auto"/>
        </w:rPr>
      </w:pPr>
    </w:p>
    <w:p>
      <w:pPr>
        <w:ind w:left="900" w:hanging="446"/>
        <w:spacing w:after="0" w:line="24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1269BC"/>
        </w:rPr>
        <w:t>Business Process Outsourcing (“BPO”)</w:t>
      </w:r>
      <w:r>
        <w:rPr>
          <w:rFonts w:ascii="Arial" w:cs="Arial" w:eastAsia="Arial" w:hAnsi="Arial"/>
          <w:sz w:val="18"/>
          <w:szCs w:val="18"/>
          <w:color w:val="000000"/>
        </w:rPr>
        <w:t>, where we have the technology and global presence to deliver value to our customers of all</w:t>
      </w:r>
      <w:r>
        <w:rPr>
          <w:rFonts w:ascii="Arial" w:cs="Arial" w:eastAsia="Arial" w:hAnsi="Arial"/>
          <w:sz w:val="18"/>
          <w:szCs w:val="18"/>
          <w:b w:val="1"/>
          <w:bCs w:val="1"/>
          <w:color w:val="1269BC"/>
        </w:rPr>
        <w:t xml:space="preserve"> </w:t>
      </w:r>
      <w:r>
        <w:rPr>
          <w:rFonts w:ascii="Arial" w:cs="Arial" w:eastAsia="Arial" w:hAnsi="Arial"/>
          <w:sz w:val="18"/>
          <w:szCs w:val="18"/>
          <w:color w:val="000000"/>
        </w:rPr>
        <w:t>sizes. In today’s competitive environment, our customers are striving to reduce cost, improve productivity, and add more value. With our broad array of solutions, workflow, knowledge, and leadership, we are uniquely positioned to deliver value to our customers. With the acquisition of ACS, we are the leader in this diverse industry.</w:t>
      </w:r>
    </w:p>
    <w:p>
      <w:pPr>
        <w:spacing w:after="0" w:line="49" w:lineRule="exact"/>
        <w:rPr>
          <w:rFonts w:ascii="Arial" w:cs="Arial" w:eastAsia="Arial" w:hAnsi="Arial"/>
          <w:sz w:val="18"/>
          <w:szCs w:val="18"/>
          <w:color w:val="auto"/>
        </w:rPr>
      </w:pPr>
    </w:p>
    <w:p>
      <w:pPr>
        <w:ind w:left="460" w:right="300" w:hanging="452"/>
        <w:spacing w:after="0" w:line="24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1269BC"/>
        </w:rPr>
        <w:t xml:space="preserve">Strengthening our leadership in digital production printing </w:t>
      </w:r>
      <w:r>
        <w:rPr>
          <w:rFonts w:ascii="Arial" w:cs="Arial" w:eastAsia="Arial" w:hAnsi="Arial"/>
          <w:sz w:val="18"/>
          <w:szCs w:val="18"/>
          <w:color w:val="000000"/>
        </w:rPr>
        <w:t>– We continue to create new market opportunities with digital printing as a</w:t>
      </w:r>
      <w:r>
        <w:rPr>
          <w:rFonts w:ascii="Arial" w:cs="Arial" w:eastAsia="Arial" w:hAnsi="Arial"/>
          <w:sz w:val="18"/>
          <w:szCs w:val="18"/>
          <w:b w:val="1"/>
          <w:bCs w:val="1"/>
          <w:color w:val="1269BC"/>
        </w:rPr>
        <w:t xml:space="preserve"> </w:t>
      </w:r>
      <w:r>
        <w:rPr>
          <w:rFonts w:ascii="Arial" w:cs="Arial" w:eastAsia="Arial" w:hAnsi="Arial"/>
          <w:sz w:val="18"/>
          <w:szCs w:val="18"/>
          <w:color w:val="000000"/>
        </w:rPr>
        <w:t>complement to traditional offset printing through technology that enables short-run book publishing, personalized transactional and promotional statements, cross-media customized campaigns and more.</w:t>
      </w:r>
    </w:p>
    <w:p>
      <w:pPr>
        <w:spacing w:after="0" w:line="6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continue to identify new applications which are suitable for digital production printing.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00" w:right="1040" w:hanging="446"/>
        <w:spacing w:after="0" w:line="23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leading technology, workflow, and business development tools lead the way to enable our customers to increase their communication effectiveness, improve their returns and add value in a competitive market.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Expanding our Distribution Channels</w:t>
      </w:r>
    </w:p>
    <w:p>
      <w:pPr>
        <w:spacing w:after="0" w:line="99" w:lineRule="exact"/>
        <w:rPr>
          <w:sz w:val="20"/>
          <w:szCs w:val="20"/>
          <w:color w:val="auto"/>
        </w:rPr>
      </w:pPr>
    </w:p>
    <w:p>
      <w:pPr>
        <w:ind w:left="460" w:right="240" w:hanging="452"/>
        <w:spacing w:after="0" w:line="23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 to broaden our distribution capacity through acquisitions and channel partnerships targeted at expanding our presence in the small and medium size business (“SMB”) market.</w:t>
      </w:r>
    </w:p>
    <w:p>
      <w:pPr>
        <w:spacing w:after="0" w:line="73" w:lineRule="exact"/>
        <w:rPr>
          <w:rFonts w:ascii="Arial" w:cs="Arial" w:eastAsia="Arial" w:hAnsi="Arial"/>
          <w:sz w:val="18"/>
          <w:szCs w:val="18"/>
          <w:color w:val="auto"/>
        </w:rPr>
      </w:pPr>
    </w:p>
    <w:p>
      <w:pPr>
        <w:ind w:left="460" w:right="280" w:hanging="452"/>
        <w:spacing w:after="0" w:line="23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focused on capturing the high growth opportunities in the Developing Markets. Through our marketing investments and expanded offerings, we are well positioned to meet the unique business requirements in these markets.</w:t>
      </w:r>
    </w:p>
    <w:p>
      <w:pPr>
        <w:spacing w:after="0" w:line="7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capitalizing on our coverage investments and partnerships to capture the opportunities in digital production printing.</w:t>
      </w:r>
    </w:p>
    <w:p>
      <w:pPr>
        <w:spacing w:after="0" w:line="76" w:lineRule="exact"/>
        <w:rPr>
          <w:rFonts w:ascii="Arial" w:cs="Arial" w:eastAsia="Arial" w:hAnsi="Arial"/>
          <w:sz w:val="18"/>
          <w:szCs w:val="18"/>
          <w:color w:val="auto"/>
        </w:rPr>
      </w:pPr>
    </w:p>
    <w:p>
      <w:pPr>
        <w:ind w:left="460" w:right="120" w:hanging="452"/>
        <w:spacing w:after="0" w:line="23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leverage our account management infrastructure and global reach to create significant opportunities for ACS to expand its business worldwide.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Securing Future Technology Leadership</w:t>
      </w:r>
    </w:p>
    <w:p>
      <w:pPr>
        <w:spacing w:after="0" w:line="9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advancing our heritage of innovation, we are yielding a broad technology portfolio.</w:t>
      </w:r>
    </w:p>
    <w:p>
      <w:pPr>
        <w:spacing w:after="0" w:line="76"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capitalize on breakthrough ink technologies. We launched the new ColorQube</w:t>
      </w:r>
      <w:r>
        <w:rPr>
          <w:rFonts w:ascii="Arial" w:cs="Arial" w:eastAsia="Arial" w:hAnsi="Arial"/>
          <w:sz w:val="11"/>
          <w:szCs w:val="11"/>
          <w:color w:val="auto"/>
        </w:rPr>
        <w:t>TM</w:t>
      </w:r>
      <w:r>
        <w:rPr>
          <w:rFonts w:ascii="Arial" w:cs="Arial" w:eastAsia="Arial" w:hAnsi="Arial"/>
          <w:sz w:val="18"/>
          <w:szCs w:val="18"/>
          <w:color w:val="auto"/>
        </w:rPr>
        <w:t xml:space="preserve"> product and, with this innovative offering, we are able to deliver affordable color to the market and further expand and leverage color growth.</w:t>
      </w:r>
    </w:p>
    <w:p>
      <w:pPr>
        <w:spacing w:after="0" w:line="73" w:lineRule="exact"/>
        <w:rPr>
          <w:rFonts w:ascii="Arial" w:cs="Arial" w:eastAsia="Arial" w:hAnsi="Arial"/>
          <w:sz w:val="18"/>
          <w:szCs w:val="18"/>
          <w:color w:val="auto"/>
        </w:rPr>
      </w:pPr>
    </w:p>
    <w:p>
      <w:pPr>
        <w:ind w:left="460" w:right="500" w:hanging="452"/>
        <w:spacing w:after="0" w:line="23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expand our Document Management Technology software and solutions to optimize the capabilities of our products and streamline customer’s processes.</w:t>
      </w:r>
    </w:p>
    <w:p>
      <w:pPr>
        <w:spacing w:after="0" w:line="7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utilize our intellectual property and technology to enhance ACS’s BPO solutions.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Optimizing Productivity and Infrastructure</w:t>
      </w:r>
    </w:p>
    <w:p>
      <w:pPr>
        <w:spacing w:after="0" w:line="9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continue to improve the efficiency and effectiveness of our infrastructure through our cost reduction programs.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focused on optimizing our resources to support innovation and growth.</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apply the capabilities of both Xerox and ACS to further improve our combined cost efficiency.</w:t>
      </w:r>
    </w:p>
    <w:p>
      <w:pPr>
        <w:spacing w:after="0" w:line="202"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Acquisitions</w:t>
      </w:r>
    </w:p>
    <w:p>
      <w:pPr>
        <w:spacing w:after="0" w:line="126"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During 2009, Global Imaging Systems, Inc. (“GIS”) acquired ComDoc, Inc. This acquisition further strengthens our distribution capacity and expands GIS’s coverage into four states offering them access to more than 14,000 new customers.</w:t>
      </w:r>
    </w:p>
    <w:p>
      <w:pPr>
        <w:spacing w:after="0" w:line="155" w:lineRule="exact"/>
        <w:rPr>
          <w:sz w:val="20"/>
          <w:szCs w:val="20"/>
          <w:color w:val="auto"/>
        </w:rPr>
      </w:pPr>
    </w:p>
    <w:p>
      <w:pPr>
        <w:jc w:val="both"/>
        <w:ind w:right="520"/>
        <w:spacing w:after="0" w:line="236" w:lineRule="auto"/>
        <w:rPr>
          <w:sz w:val="20"/>
          <w:szCs w:val="20"/>
          <w:color w:val="auto"/>
        </w:rPr>
      </w:pPr>
      <w:r>
        <w:rPr>
          <w:rFonts w:ascii="Arial" w:cs="Arial" w:eastAsia="Arial" w:hAnsi="Arial"/>
          <w:sz w:val="18"/>
          <w:szCs w:val="18"/>
          <w:color w:val="auto"/>
        </w:rPr>
        <w:t>In February 2010, we acquired Affiliated Computer Services, Inc. ACS is a premier provider of diversified business process outsourcing and information technology services and solutions to commercial and government clients worldwide in areas that include finance and accounting services, communications, transportation, human resources, healthcare, transaction processing, and customer care. ACS’s revenues for the calendar year ended December 31, 2009 were $6.6 billion. Headquartered in Dallas, TX, ACS’s 78,000 professionals support thousands of multinational corporations and government agencies in more than 100 countries and from about 425 locations.</w:t>
      </w:r>
    </w:p>
    <w:p>
      <w:pPr>
        <w:spacing w:after="0" w:line="157"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This transformative acquisition allows Xerox to capitalize on rapidly emerging demands in the marketplace. Our customers are increasingly seeking service providers that offer a full range of solutions – from the management of print services to the management of work processes. As part of Xerox, ACS:</w:t>
      </w:r>
    </w:p>
    <w:p>
      <w:pPr>
        <w:spacing w:after="0" w:line="73" w:lineRule="exact"/>
        <w:rPr>
          <w:sz w:val="20"/>
          <w:szCs w:val="20"/>
          <w:color w:val="auto"/>
        </w:rPr>
      </w:pPr>
    </w:p>
    <w:p>
      <w:pPr>
        <w:ind w:left="460" w:right="220" w:hanging="452"/>
        <w:spacing w:after="0" w:line="23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Provides us with immediate scale and leadership in business process outsourcing, a market that is sized at approximately $150 billion and growing at a rate of 5 percent per year.</w:t>
      </w:r>
    </w:p>
    <w:p>
      <w:pPr>
        <w:spacing w:after="0" w:line="73"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our already strong operating cash flow.</w:t>
      </w:r>
    </w:p>
    <w:p>
      <w:pPr>
        <w:spacing w:after="0" w:line="76" w:lineRule="exact"/>
        <w:rPr>
          <w:rFonts w:ascii="Arial" w:cs="Arial" w:eastAsia="Arial" w:hAnsi="Arial"/>
          <w:sz w:val="18"/>
          <w:szCs w:val="18"/>
          <w:color w:val="auto"/>
        </w:rPr>
      </w:pPr>
    </w:p>
    <w:p>
      <w:pPr>
        <w:ind w:left="460" w:right="540" w:hanging="452"/>
        <w:spacing w:after="0" w:line="23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Strengthens our annuity-based business model. Through multi-year service contracts for business process outsourcing and document management, our recurring revenue will represent 80 percent of total revenue.</w:t>
      </w:r>
    </w:p>
    <w:p>
      <w:pPr>
        <w:spacing w:after="0" w:line="73" w:lineRule="exact"/>
        <w:rPr>
          <w:rFonts w:ascii="Arial" w:cs="Arial" w:eastAsia="Arial" w:hAnsi="Arial"/>
          <w:sz w:val="18"/>
          <w:szCs w:val="18"/>
          <w:color w:val="auto"/>
        </w:rPr>
      </w:pPr>
    </w:p>
    <w:p>
      <w:pPr>
        <w:ind w:left="460" w:right="320" w:hanging="452"/>
        <w:spacing w:after="0" w:line="23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Leverages the power of our brand, technology and our global reach, creating significant opportunities for us to expand ACS’s business in markets outside of the U.S.</w:t>
      </w:r>
    </w:p>
    <w:p>
      <w:pPr>
        <w:spacing w:after="0" w:line="73"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Significantly enhances our revenue growth and operating margin.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Business Model Fundamentals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129540</wp:posOffset>
            </wp:positionV>
            <wp:extent cx="2967355" cy="728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673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Through our annuity based business model, we drive significant cash generation and have a strong foundation upon which we can expand earnings.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Annuity Model</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fundamentals of our business rest upon an annuity model that drives significant post sale revenue and cash generation. Over 75 percent of our 2009 total revenue was post sale revenue that includes equipment maintenance and consumable supplies, among other elements. With the acquisition of ACS, our annuity model is further enhanced, and recurring revenue will represent over 80 percent of total revenue. Some of the key indicators of Post Sale Revenue growth include:</w:t>
      </w:r>
    </w:p>
    <w:p>
      <w:pPr>
        <w:spacing w:after="0" w:line="7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page-producing machines in the field (“MIF”) which is impacted by the number of equipment installations and removals;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the document management services we offer our customers;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mix of color pages as color pages use more consumables per page than black-and-white; and</w:t>
      </w:r>
    </w:p>
    <w:p>
      <w:pPr>
        <w:spacing w:after="0" w:line="76" w:lineRule="exact"/>
        <w:rPr>
          <w:rFonts w:ascii="Arial" w:cs="Arial" w:eastAsia="Arial" w:hAnsi="Arial"/>
          <w:sz w:val="18"/>
          <w:szCs w:val="18"/>
          <w:color w:val="auto"/>
        </w:rPr>
      </w:pPr>
    </w:p>
    <w:p>
      <w:pPr>
        <w:ind w:left="460" w:right="580" w:hanging="452"/>
        <w:spacing w:after="0" w:line="23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market, particularly within the digital production printing, is key to increasing pages and we have developed tools and resources to be the leader in this large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96520</wp:posOffset>
            </wp:positionV>
            <wp:extent cx="2975610" cy="3473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5610"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459"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Cash Generation</w:t>
      </w:r>
    </w:p>
    <w:p>
      <w:pPr>
        <w:spacing w:after="0" w:line="9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consistent strong cash flow from operations is driven by recurring revenues; this, along with modest capital investments will enable us to pay down the debt associated with the ACS acquisition and continue to provide a return to shareholders through:</w:t>
      </w:r>
    </w:p>
    <w:p>
      <w:pPr>
        <w:spacing w:after="0" w:line="7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through acquisitions our distribution and business process outsourcing capabilities;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Buying back shares under our share repurchase program once debt leverage targets are met;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our quarterly dividend.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Expanded Earnings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expanding our future earnings through:</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Modest revenue growth;</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Driving cost efficiencies to balance gross profit and expense;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Leveraging share repurchase;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accretive acquisitions.</w:t>
      </w:r>
    </w:p>
    <w:p>
      <w:pPr>
        <w:spacing w:after="0" w:line="202"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Segment Information</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reportable segments are Production, Office and Other. We present operating segment financial information in Note 2 – Segment Reporting in the Consolidated Financial Statements, which we incorporate by reference here. We have a very broad and diverse base of customers by both geography and industry, ranging from SMB to graphic communications companies, governmental entities, educational institutions and large fortune 1000 corporate accounts. None of our business segments depends upon a single customer, or a few customers, the loss of which would have a material adverse effect on our business.</w:t>
      </w:r>
    </w:p>
    <w:p>
      <w:pPr>
        <w:spacing w:after="0" w:line="15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are still evaluating and assessing the impact of the ACS acquisition on our internal organizational and reporting structure, as well as its related impact on our reportable segment disclosures. Accordingly, in the first quarter 2010, we currently expect to report ACS as a separate reportable segment pending completion of that evaluation and assessment.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205740</wp:posOffset>
            </wp:positionV>
            <wp:extent cx="2950210" cy="425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50210"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Office</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Xerox develops and manufactures a range of color and black-and-white multifunction, printer, copier fax products and document related software solutions. Our Office segment serves global, national and small to mid-size commercial customers, as well as government, education and other public sector customers. Office systems and services, which include monochrome devices at speeds up to 95 ppm and color devices up to 85 ppm, include our family of ColorQube, WorkCentre</w:t>
      </w:r>
      <w:r>
        <w:rPr>
          <w:rFonts w:ascii="Arial" w:cs="Arial" w:eastAsia="Arial" w:hAnsi="Arial"/>
          <w:sz w:val="10"/>
          <w:szCs w:val="10"/>
          <w:color w:val="auto"/>
        </w:rPr>
        <w:t>®</w:t>
      </w:r>
      <w:r>
        <w:rPr>
          <w:rFonts w:ascii="Arial" w:cs="Arial" w:eastAsia="Arial" w:hAnsi="Arial"/>
          <w:sz w:val="16"/>
          <w:szCs w:val="16"/>
          <w:color w:val="auto"/>
        </w:rPr>
        <w:t xml:space="preserve"> multifunction printers (“MFP’s”) and Phaser</w:t>
      </w:r>
      <w:r>
        <w:rPr>
          <w:rFonts w:ascii="Arial" w:cs="Arial" w:eastAsia="Arial" w:hAnsi="Arial"/>
          <w:sz w:val="10"/>
          <w:szCs w:val="10"/>
          <w:color w:val="auto"/>
        </w:rPr>
        <w:t>®</w:t>
      </w:r>
      <w:r>
        <w:rPr>
          <w:rFonts w:ascii="Arial" w:cs="Arial" w:eastAsia="Arial" w:hAnsi="Arial"/>
          <w:sz w:val="16"/>
          <w:szCs w:val="16"/>
          <w:color w:val="auto"/>
        </w:rPr>
        <w:t xml:space="preserve"> desktop printers and MFP’s.</w:t>
      </w:r>
    </w:p>
    <w:p>
      <w:pPr>
        <w:spacing w:after="0" w:line="129"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We offer a complete range of services and solutions in partnership with independent software partners that allow our customers to analyze, streamline, automate, secure and track their document workflows, which we then use to identify the most efficient, productive mix of office equipment, software and services for that business, helping to reduce the customer’s document-related costs.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In 2009, we continued to build on our position in the market by:</w:t>
      </w:r>
    </w:p>
    <w:p>
      <w:pPr>
        <w:spacing w:after="0" w:line="77" w:lineRule="exact"/>
        <w:rPr>
          <w:sz w:val="20"/>
          <w:szCs w:val="20"/>
          <w:color w:val="auto"/>
        </w:rPr>
      </w:pPr>
    </w:p>
    <w:p>
      <w:pPr>
        <w:ind w:left="460" w:right="240" w:hanging="452"/>
        <w:spacing w:after="0" w:line="23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Driving to a revenue leadership position in the combined color page printer and color MFP spaces. Revenue leadership is focused on both increasing unit share of color devices installed and growing the total number of color pages printed. Our goal is to accelerate the market trend towards color centric printers and MFP from mono centric devices.</w:t>
      </w:r>
    </w:p>
    <w:p>
      <w:pPr>
        <w:spacing w:after="0" w:line="72" w:lineRule="exact"/>
        <w:rPr>
          <w:rFonts w:ascii="Arial" w:cs="Arial" w:eastAsia="Arial" w:hAnsi="Arial"/>
          <w:sz w:val="18"/>
          <w:szCs w:val="18"/>
          <w:color w:val="auto"/>
        </w:rPr>
      </w:pPr>
    </w:p>
    <w:p>
      <w:pPr>
        <w:ind w:left="460" w:right="24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Helping customers through our industry leading MPS offering to reduce operational costs by up to 30 percent and get more out of the print infrastructure they’ve invested in.</w:t>
      </w:r>
    </w:p>
    <w:p>
      <w:pPr>
        <w:spacing w:after="0" w:line="73" w:lineRule="exact"/>
        <w:rPr>
          <w:rFonts w:ascii="Arial" w:cs="Arial" w:eastAsia="Arial" w:hAnsi="Arial"/>
          <w:sz w:val="18"/>
          <w:szCs w:val="18"/>
          <w:color w:val="auto"/>
        </w:rPr>
      </w:pPr>
    </w:p>
    <w:p>
      <w:pPr>
        <w:ind w:left="460" w:hanging="452"/>
        <w:spacing w:after="0" w:line="23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Enhancing our already strong color product portfolio, making color more affordable, easier to use, faster and more reliable while maintaining our leadership position in black-and-white. Key to our success was the extension of our unique solid ink value proposition into the growing A3 color workgroup MFP market space with the ColorQube 9200 series of MFPs.</w:t>
      </w:r>
    </w:p>
    <w:p>
      <w:pPr>
        <w:spacing w:after="0" w:line="72" w:lineRule="exact"/>
        <w:rPr>
          <w:rFonts w:ascii="Arial" w:cs="Arial" w:eastAsia="Arial" w:hAnsi="Arial"/>
          <w:sz w:val="18"/>
          <w:szCs w:val="18"/>
          <w:color w:val="auto"/>
        </w:rPr>
      </w:pPr>
    </w:p>
    <w:p>
      <w:pPr>
        <w:ind w:left="460" w:right="38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our channel reach and capacity to support the needs of the SMB market. This will increase our MIF and capture more pages, building the foundation for future post sale revenue growth.</w:t>
      </w:r>
    </w:p>
    <w:p>
      <w:pPr>
        <w:spacing w:after="0" w:line="155"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breadth of our product portfolio is unmatched. Our color-capable laser devices provide an attractive color entry point, our patented solid ink technology offers unmatched ease of use, vibrant color image quality and economic color run costs and our top of the line color laser products provide superior image quality coupled with industry-leading productivity and reliability. In 2009, we delivered a number of innovative products to the markets, following are a few examples: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96520</wp:posOffset>
            </wp:positionV>
            <wp:extent cx="2967355" cy="1672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6735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60" w:right="100" w:hanging="452"/>
        <w:spacing w:after="0" w:line="24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1269BC"/>
        </w:rPr>
        <w:t xml:space="preserve">ColorQube 9201/9202/9203: </w:t>
      </w:r>
      <w:r>
        <w:rPr>
          <w:rFonts w:ascii="Arial" w:cs="Arial" w:eastAsia="Arial" w:hAnsi="Arial"/>
          <w:sz w:val="18"/>
          <w:szCs w:val="18"/>
          <w:color w:val="000000"/>
        </w:rPr>
        <w:t>A game-changer that brings Xerox’s Solid Ink technology upstream to the console (A3) workgroup color</w:t>
      </w:r>
      <w:r>
        <w:rPr>
          <w:rFonts w:ascii="Arial" w:cs="Arial" w:eastAsia="Arial" w:hAnsi="Arial"/>
          <w:sz w:val="18"/>
          <w:szCs w:val="18"/>
          <w:b w:val="1"/>
          <w:bCs w:val="1"/>
          <w:color w:val="1269BC"/>
        </w:rPr>
        <w:t xml:space="preserve"> </w:t>
      </w:r>
      <w:r>
        <w:rPr>
          <w:rFonts w:ascii="Arial" w:cs="Arial" w:eastAsia="Arial" w:hAnsi="Arial"/>
          <w:sz w:val="18"/>
          <w:szCs w:val="18"/>
          <w:color w:val="000000"/>
        </w:rPr>
        <w:t>market. The ColorQube 9200 series makes color affordable by dramatically reducing the cost of color with its Hybrid Color Plans. Cartridge-free Solid Ink technology is extremely easy to use, and with only 1 customer replaceable unit, the ColorQube has 90 percent less waste and a 9 percent lower carbon footprint associated with it over life than a comparable laser MFP.</w:t>
      </w:r>
    </w:p>
    <w:p>
      <w:pPr>
        <w:spacing w:after="0" w:line="49" w:lineRule="exact"/>
        <w:rPr>
          <w:rFonts w:ascii="Arial" w:cs="Arial" w:eastAsia="Arial" w:hAnsi="Arial"/>
          <w:sz w:val="18"/>
          <w:szCs w:val="18"/>
          <w:color w:val="auto"/>
        </w:rPr>
      </w:pPr>
    </w:p>
    <w:p>
      <w:pPr>
        <w:jc w:val="both"/>
        <w:ind w:left="460" w:right="340" w:hanging="452"/>
        <w:spacing w:after="0" w:line="29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1269BC"/>
        </w:rPr>
        <w:t xml:space="preserve">Phaser 7500: </w:t>
      </w:r>
      <w:r>
        <w:rPr>
          <w:rFonts w:ascii="Arial" w:cs="Arial" w:eastAsia="Arial" w:hAnsi="Arial"/>
          <w:sz w:val="16"/>
          <w:szCs w:val="16"/>
          <w:color w:val="000000"/>
        </w:rPr>
        <w:t>This 35 ppm color laser printer allows small and mid-sized workgroups to attain professional-quality features. Key features</w:t>
      </w:r>
      <w:r>
        <w:rPr>
          <w:rFonts w:ascii="Arial" w:cs="Arial" w:eastAsia="Arial" w:hAnsi="Arial"/>
          <w:sz w:val="16"/>
          <w:szCs w:val="16"/>
          <w:b w:val="1"/>
          <w:bCs w:val="1"/>
          <w:color w:val="1269BC"/>
        </w:rPr>
        <w:t xml:space="preserve"> </w:t>
      </w:r>
      <w:r>
        <w:rPr>
          <w:rFonts w:ascii="Arial" w:cs="Arial" w:eastAsia="Arial" w:hAnsi="Arial"/>
          <w:sz w:val="16"/>
          <w:szCs w:val="16"/>
          <w:color w:val="000000"/>
        </w:rPr>
        <w:t>include improved print quality as a function of 1200 dpi, new “Color by Words” Xerox technology, a natural language technology enabling easy and intuitive color adjustments, enhanced media handling capabilities, and longer lives on customer replaceable parts.</w:t>
      </w:r>
    </w:p>
    <w:p>
      <w:pPr>
        <w:spacing w:after="0" w:line="8" w:lineRule="exact"/>
        <w:rPr>
          <w:rFonts w:ascii="Arial" w:cs="Arial" w:eastAsia="Arial" w:hAnsi="Arial"/>
          <w:sz w:val="16"/>
          <w:szCs w:val="16"/>
          <w:color w:val="auto"/>
        </w:rPr>
      </w:pPr>
    </w:p>
    <w:p>
      <w:pPr>
        <w:jc w:val="both"/>
        <w:ind w:left="460" w:right="10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1269BC"/>
        </w:rPr>
        <w:t xml:space="preserve">WorkCentre 6400: </w:t>
      </w:r>
      <w:r>
        <w:rPr>
          <w:rFonts w:ascii="Arial" w:cs="Arial" w:eastAsia="Arial" w:hAnsi="Arial"/>
          <w:sz w:val="18"/>
          <w:szCs w:val="18"/>
          <w:color w:val="000000"/>
        </w:rPr>
        <w:t>The WC6400 is Xerox’s first desktop MFP that utilizes Xerox’s Smart Controller platform and supports EIP, Xerox’s open</w:t>
      </w:r>
      <w:r>
        <w:rPr>
          <w:rFonts w:ascii="Arial" w:cs="Arial" w:eastAsia="Arial" w:hAnsi="Arial"/>
          <w:sz w:val="18"/>
          <w:szCs w:val="18"/>
          <w:b w:val="1"/>
          <w:bCs w:val="1"/>
          <w:color w:val="1269BC"/>
        </w:rPr>
        <w:t xml:space="preserve"> </w:t>
      </w:r>
      <w:r>
        <w:rPr>
          <w:rFonts w:ascii="Arial" w:cs="Arial" w:eastAsia="Arial" w:hAnsi="Arial"/>
          <w:sz w:val="18"/>
          <w:szCs w:val="18"/>
          <w:color w:val="000000"/>
        </w:rPr>
        <w:t>platform allowing customization of applications on the MFP. Able to handle busy volumes with print speeds up to 32ppm color/37ppm mono, the WorkCentre 6400 also offers basic finishing, Print Around, and ID Card Copy.</w:t>
      </w:r>
    </w:p>
    <w:p>
      <w:pPr>
        <w:spacing w:after="0" w:line="44" w:lineRule="exact"/>
        <w:rPr>
          <w:rFonts w:ascii="Arial" w:cs="Arial" w:eastAsia="Arial" w:hAnsi="Arial"/>
          <w:sz w:val="18"/>
          <w:szCs w:val="18"/>
          <w:color w:val="auto"/>
        </w:rPr>
      </w:pPr>
    </w:p>
    <w:p>
      <w:pPr>
        <w:ind w:left="460" w:right="14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1269BC"/>
        </w:rPr>
        <w:t xml:space="preserve">WorkCentre 7425/7428/7435: </w:t>
      </w:r>
      <w:r>
        <w:rPr>
          <w:rFonts w:ascii="Arial" w:cs="Arial" w:eastAsia="Arial" w:hAnsi="Arial"/>
          <w:sz w:val="18"/>
          <w:szCs w:val="18"/>
          <w:color w:val="000000"/>
        </w:rPr>
        <w:t>This A3 workgroup color MFP platform utilizes HiQ LED technology and targets the sweet spot of the color</w:t>
      </w:r>
      <w:r>
        <w:rPr>
          <w:rFonts w:ascii="Arial" w:cs="Arial" w:eastAsia="Arial" w:hAnsi="Arial"/>
          <w:sz w:val="18"/>
          <w:szCs w:val="18"/>
          <w:b w:val="1"/>
          <w:bCs w:val="1"/>
          <w:color w:val="1269BC"/>
        </w:rPr>
        <w:t xml:space="preserve"> </w:t>
      </w:r>
      <w:r>
        <w:rPr>
          <w:rFonts w:ascii="Arial" w:cs="Arial" w:eastAsia="Arial" w:hAnsi="Arial"/>
          <w:sz w:val="18"/>
          <w:szCs w:val="18"/>
          <w:color w:val="000000"/>
        </w:rPr>
        <w:t>market with speeds up to 35 ppm color and black-and-white. This series uses Xerox's Emulsion Aggregation (“EA”) High Gloss Toner which allows for sharper 1200 x 2400 dpi image quality, and is extremely energy efficient—using less than 2 watts in sleep mode.</w:t>
      </w:r>
    </w:p>
    <w:p>
      <w:pPr>
        <w:spacing w:after="0" w:line="44" w:lineRule="exact"/>
        <w:rPr>
          <w:rFonts w:ascii="Arial" w:cs="Arial" w:eastAsia="Arial" w:hAnsi="Arial"/>
          <w:sz w:val="18"/>
          <w:szCs w:val="18"/>
          <w:color w:val="auto"/>
        </w:rPr>
      </w:pPr>
    </w:p>
    <w:p>
      <w:pPr>
        <w:ind w:left="460" w:right="160" w:hanging="452"/>
        <w:spacing w:after="0" w:line="24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1269BC"/>
        </w:rPr>
        <w:t xml:space="preserve">Channel Managed Print Services: </w:t>
      </w:r>
      <w:r>
        <w:rPr>
          <w:rFonts w:ascii="Arial" w:cs="Arial" w:eastAsia="Arial" w:hAnsi="Arial"/>
          <w:sz w:val="18"/>
          <w:szCs w:val="18"/>
          <w:color w:val="000000"/>
        </w:rPr>
        <w:t>A suite of managed print service programs that help channel partners manage their customers' printing</w:t>
      </w:r>
      <w:r>
        <w:rPr>
          <w:rFonts w:ascii="Arial" w:cs="Arial" w:eastAsia="Arial" w:hAnsi="Arial"/>
          <w:sz w:val="18"/>
          <w:szCs w:val="18"/>
          <w:b w:val="1"/>
          <w:bCs w:val="1"/>
          <w:color w:val="1269BC"/>
        </w:rPr>
        <w:t xml:space="preserve"> </w:t>
      </w:r>
      <w:r>
        <w:rPr>
          <w:rFonts w:ascii="Arial" w:cs="Arial" w:eastAsia="Arial" w:hAnsi="Arial"/>
          <w:sz w:val="18"/>
          <w:szCs w:val="18"/>
          <w:color w:val="000000"/>
        </w:rPr>
        <w:t>infrastructure and reduce costs. Xerox's program is the first to offer channel partners the ability to manage their customers' entire fleet of printers and multifunction printers no matter what the brand.</w:t>
      </w:r>
    </w:p>
    <w:p>
      <w:pPr>
        <w:spacing w:after="0" w:line="44" w:lineRule="exact"/>
        <w:rPr>
          <w:rFonts w:ascii="Arial" w:cs="Arial" w:eastAsia="Arial" w:hAnsi="Arial"/>
          <w:sz w:val="18"/>
          <w:szCs w:val="18"/>
          <w:color w:val="auto"/>
        </w:rPr>
      </w:pPr>
    </w:p>
    <w:p>
      <w:pPr>
        <w:ind w:left="460" w:right="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1269BC"/>
        </w:rPr>
        <w:t xml:space="preserve">Enterprise Print Services: </w:t>
      </w:r>
      <w:r>
        <w:rPr>
          <w:rFonts w:ascii="Arial" w:cs="Arial" w:eastAsia="Arial" w:hAnsi="Arial"/>
          <w:sz w:val="18"/>
          <w:szCs w:val="18"/>
          <w:color w:val="000000"/>
        </w:rPr>
        <w:t>A managed print services solution offering to help companies better manage documents across their global print</w:t>
      </w:r>
      <w:r>
        <w:rPr>
          <w:rFonts w:ascii="Arial" w:cs="Arial" w:eastAsia="Arial" w:hAnsi="Arial"/>
          <w:sz w:val="18"/>
          <w:szCs w:val="18"/>
          <w:b w:val="1"/>
          <w:bCs w:val="1"/>
          <w:color w:val="1269BC"/>
        </w:rPr>
        <w:t xml:space="preserve"> </w:t>
      </w:r>
      <w:r>
        <w:rPr>
          <w:rFonts w:ascii="Arial" w:cs="Arial" w:eastAsia="Arial" w:hAnsi="Arial"/>
          <w:sz w:val="18"/>
          <w:szCs w:val="18"/>
          <w:color w:val="000000"/>
        </w:rPr>
        <w:t>infrastructure—from the office to the in-house print center to the virtual workplace.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Production</w:t>
      </w:r>
    </w:p>
    <w:p>
      <w:pPr>
        <w:spacing w:after="0" w:line="10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provide high-end digital monochrome and color systems designed for customers in the graphic communications industry and for large enterprises. These high-end devices enable digital on-demand printing, digital full-color printing and enterprise printing. We are the only manufacturer in the market that offers a complete family of cut-sheet monochrome production systems from 65 to 288 ppm, color production systems from 40 to 110 ppm and a complete line of continuous feed printers from 250 to 1,300 ppm. In addition, we offer a variety of pre-press and post-press options and the industry’s broadest set of workflow software.</w:t>
      </w:r>
    </w:p>
    <w:p>
      <w:pPr>
        <w:spacing w:after="0" w:line="15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We continue to strengthen our leadership position in cut-sheet monochrome and color and expand our reach and share into continuous feed monochrome and color and to build on the power of digital printing. Our digital production printing strategy complements the traditional offset market and continues to transform our industry. We are enabling print providers in graphic communications, service bureaus and large enterprises to profit and grow by meeting their customers’ specific business needs with just-in-time, one-to-one and e-based services – rather than simply manufacturing a printed piece. Having the right business model </w:t>
      </w:r>
      <w:r>
        <w:rPr>
          <w:rFonts w:ascii="Arial" w:cs="Arial" w:eastAsia="Arial" w:hAnsi="Arial"/>
          <w:sz w:val="11"/>
          <w:szCs w:val="11"/>
          <w:color w:val="auto"/>
        </w:rPr>
        <w:t>SM</w:t>
      </w:r>
      <w:r>
        <w:rPr>
          <w:rFonts w:ascii="Arial" w:cs="Arial" w:eastAsia="Arial" w:hAnsi="Arial"/>
          <w:sz w:val="18"/>
          <w:szCs w:val="18"/>
          <w:color w:val="auto"/>
        </w:rPr>
        <w:t>, the right workflow</w:t>
      </w:r>
      <w:r>
        <w:rPr>
          <w:rFonts w:ascii="Arial" w:cs="Arial" w:eastAsia="Arial" w:hAnsi="Arial"/>
          <w:sz w:val="11"/>
          <w:szCs w:val="11"/>
          <w:color w:val="auto"/>
        </w:rPr>
        <w:t>SM</w:t>
      </w:r>
      <w:r>
        <w:rPr>
          <w:rFonts w:ascii="Arial" w:cs="Arial" w:eastAsia="Arial" w:hAnsi="Arial"/>
          <w:sz w:val="18"/>
          <w:szCs w:val="18"/>
          <w:color w:val="auto"/>
        </w:rPr>
        <w:t xml:space="preserve"> and the right technology</w:t>
      </w:r>
      <w:r>
        <w:rPr>
          <w:rFonts w:ascii="Arial" w:cs="Arial" w:eastAsia="Arial" w:hAnsi="Arial"/>
          <w:sz w:val="11"/>
          <w:szCs w:val="11"/>
          <w:color w:val="auto"/>
        </w:rPr>
        <w:t>SM</w:t>
      </w:r>
      <w:r>
        <w:rPr>
          <w:rFonts w:ascii="Arial" w:cs="Arial" w:eastAsia="Arial" w:hAnsi="Arial"/>
          <w:sz w:val="18"/>
          <w:szCs w:val="18"/>
          <w:color w:val="auto"/>
        </w:rPr>
        <w:t xml:space="preserve"> are fundamental to this transformation.</w:t>
      </w:r>
    </w:p>
    <w:p>
      <w:pPr>
        <w:spacing w:after="0" w:line="15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2009, we continued to build on our unmatched product breadth, world class market and business development tools and integrated end-to-end applications.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Right Business Model</w:t>
      </w:r>
    </w:p>
    <w:p>
      <w:pPr>
        <w:spacing w:after="0" w:line="99" w:lineRule="exact"/>
        <w:rPr>
          <w:sz w:val="20"/>
          <w:szCs w:val="20"/>
          <w:color w:val="auto"/>
        </w:rPr>
      </w:pPr>
    </w:p>
    <w:p>
      <w:pPr>
        <w:ind w:right="860"/>
        <w:spacing w:after="0" w:line="239" w:lineRule="auto"/>
        <w:rPr>
          <w:sz w:val="20"/>
          <w:szCs w:val="20"/>
          <w:color w:val="auto"/>
        </w:rPr>
      </w:pPr>
      <w:r>
        <w:rPr>
          <w:rFonts w:ascii="Arial" w:cs="Arial" w:eastAsia="Arial" w:hAnsi="Arial"/>
          <w:sz w:val="18"/>
          <w:szCs w:val="18"/>
          <w:color w:val="auto"/>
        </w:rPr>
        <w:t>Our commitment to our customers starts before technology is discussed and extends long after a solution is installed. It includes sharing resources, strategies and tools that will help our customers grow their businesses with digital printing.</w:t>
      </w:r>
    </w:p>
    <w:p>
      <w:pPr>
        <w:spacing w:after="0" w:line="52" w:lineRule="exact"/>
        <w:rPr>
          <w:sz w:val="20"/>
          <w:szCs w:val="20"/>
          <w:color w:val="auto"/>
        </w:rPr>
      </w:pPr>
    </w:p>
    <w:p>
      <w:pPr>
        <w:ind w:left="460" w:right="420" w:hanging="452"/>
        <w:spacing w:after="0" w:line="24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1269BC"/>
        </w:rPr>
        <w:t>ProfitAccelerator</w:t>
      </w:r>
      <w:r>
        <w:rPr>
          <w:rFonts w:ascii="Arial" w:cs="Arial" w:eastAsia="Arial" w:hAnsi="Arial"/>
          <w:sz w:val="11"/>
          <w:szCs w:val="11"/>
          <w:b w:val="1"/>
          <w:bCs w:val="1"/>
          <w:color w:val="1269BC"/>
        </w:rPr>
        <w:t>®</w:t>
      </w:r>
      <w:r>
        <w:rPr>
          <w:rFonts w:ascii="Arial" w:cs="Arial" w:eastAsia="Arial" w:hAnsi="Arial"/>
          <w:sz w:val="18"/>
          <w:szCs w:val="18"/>
          <w:b w:val="1"/>
          <w:bCs w:val="1"/>
          <w:color w:val="1269BC"/>
        </w:rPr>
        <w:t xml:space="preserve">: </w:t>
      </w:r>
      <w:r>
        <w:rPr>
          <w:rFonts w:ascii="Arial" w:cs="Arial" w:eastAsia="Arial" w:hAnsi="Arial"/>
          <w:sz w:val="18"/>
          <w:szCs w:val="18"/>
          <w:color w:val="000000"/>
        </w:rPr>
        <w:t>This robust set of tools and programs designed to maximize our customer’s investment in digital printing equipment</w:t>
      </w:r>
      <w:r>
        <w:rPr>
          <w:rFonts w:ascii="Arial" w:cs="Arial" w:eastAsia="Arial" w:hAnsi="Arial"/>
          <w:sz w:val="18"/>
          <w:szCs w:val="18"/>
          <w:b w:val="1"/>
          <w:bCs w:val="1"/>
          <w:color w:val="1269BC"/>
        </w:rPr>
        <w:t xml:space="preserve"> </w:t>
      </w:r>
      <w:r>
        <w:rPr>
          <w:rFonts w:ascii="Arial" w:cs="Arial" w:eastAsia="Arial" w:hAnsi="Arial"/>
          <w:sz w:val="18"/>
          <w:szCs w:val="18"/>
          <w:color w:val="000000"/>
        </w:rPr>
        <w:t>expanded in 2009 and now includes more than 100 tools. It brings together Xerox’s unparalleled experience and expertise, world-class resources and industry-leading support.</w:t>
      </w:r>
    </w:p>
    <w:p>
      <w:pPr>
        <w:spacing w:after="0" w:line="44"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1269BC"/>
        </w:rPr>
        <w:t xml:space="preserve">Business Development Services: </w:t>
      </w:r>
      <w:r>
        <w:rPr>
          <w:rFonts w:ascii="Arial" w:cs="Arial" w:eastAsia="Arial" w:hAnsi="Arial"/>
          <w:sz w:val="18"/>
          <w:szCs w:val="18"/>
          <w:color w:val="000000"/>
        </w:rPr>
        <w:t>In direct response to customer demand, this initiative continues to provide both training and professional</w:t>
      </w:r>
      <w:r>
        <w:rPr>
          <w:rFonts w:ascii="Arial" w:cs="Arial" w:eastAsia="Arial" w:hAnsi="Arial"/>
          <w:sz w:val="18"/>
          <w:szCs w:val="18"/>
          <w:b w:val="1"/>
          <w:bCs w:val="1"/>
          <w:color w:val="1269BC"/>
        </w:rPr>
        <w:t xml:space="preserve"> </w:t>
      </w:r>
      <w:r>
        <w:rPr>
          <w:rFonts w:ascii="Arial" w:cs="Arial" w:eastAsia="Arial" w:hAnsi="Arial"/>
          <w:sz w:val="18"/>
          <w:szCs w:val="18"/>
          <w:color w:val="000000"/>
        </w:rPr>
        <w:t>services to help print providers increase page volume and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Right Workflow</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FreeFlow</w:t>
      </w:r>
      <w:r>
        <w:rPr>
          <w:rFonts w:ascii="Arial" w:cs="Arial" w:eastAsia="Arial" w:hAnsi="Arial"/>
          <w:sz w:val="11"/>
          <w:szCs w:val="11"/>
          <w:color w:val="auto"/>
        </w:rPr>
        <w:t>®</w:t>
      </w:r>
      <w:r>
        <w:rPr>
          <w:rFonts w:ascii="Arial" w:cs="Arial" w:eastAsia="Arial" w:hAnsi="Arial"/>
          <w:sz w:val="18"/>
          <w:szCs w:val="18"/>
          <w:color w:val="auto"/>
        </w:rPr>
        <w:t xml:space="preserve"> digital workflow is a collection of software technology solutions that our customers can use to improve all aspects of their processes, from content creation and management to production and fulfillment. Our digital technology combined with total document solutions and services that enable personalization and printing on demand, delivers value that improves our customers’ business results.</w:t>
      </w:r>
    </w:p>
    <w:p>
      <w:pPr>
        <w:spacing w:after="0" w:line="154"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In 2009 we launched FreeFlow Process Manager</w:t>
      </w:r>
      <w:r>
        <w:rPr>
          <w:rFonts w:ascii="Arial" w:cs="Arial" w:eastAsia="Arial" w:hAnsi="Arial"/>
          <w:sz w:val="11"/>
          <w:szCs w:val="11"/>
          <w:color w:val="auto"/>
        </w:rPr>
        <w:t>®</w:t>
      </w:r>
      <w:r>
        <w:rPr>
          <w:rFonts w:ascii="Arial" w:cs="Arial" w:eastAsia="Arial" w:hAnsi="Arial"/>
          <w:sz w:val="18"/>
          <w:szCs w:val="18"/>
          <w:color w:val="auto"/>
        </w:rPr>
        <w:t xml:space="preserve"> 8.0 which continues to further enhance our software solutions to drive productivity and accelerate time from job submission to print.</w:t>
      </w:r>
    </w:p>
    <w:p>
      <w:pPr>
        <w:spacing w:after="0" w:line="15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Through our industry leading FreeFlow Digital Workflow collection and FreeFlow Print Server, we deliver three primary values to our customers, the ability to Connect, Control, and Enable. Our solutions:</w:t>
      </w:r>
    </w:p>
    <w:p>
      <w:pPr>
        <w:spacing w:after="0" w:line="7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Connect our customers to their customers, 24/7 enabling them to be open for business round the clock.</w:t>
      </w:r>
    </w:p>
    <w:p>
      <w:pPr>
        <w:spacing w:after="0" w:line="76" w:lineRule="exact"/>
        <w:rPr>
          <w:rFonts w:ascii="Arial" w:cs="Arial" w:eastAsia="Arial" w:hAnsi="Arial"/>
          <w:sz w:val="18"/>
          <w:szCs w:val="18"/>
          <w:color w:val="auto"/>
        </w:rPr>
      </w:pPr>
    </w:p>
    <w:p>
      <w:pPr>
        <w:ind w:left="460" w:right="340" w:hanging="452"/>
        <w:spacing w:after="0" w:line="23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 our customer’s costs, environmental impacts, and security. Automated workflows provide extensive productivity gains and greatly increase document integrity by eliminating manual processes.</w:t>
      </w:r>
    </w:p>
    <w:p>
      <w:pPr>
        <w:spacing w:after="0" w:line="73"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Enable new applications and new revenue streams such as photo books, secure event tickets, and packaging.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Right Technology</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more than two decades, we have delivered innovative technologies that have revolutionized the production printing industry. We continued to increase installations of our flagship Digital Color Production Presses. We are the industry leader in the number of pages produced on digital production color presses, with our flagship Xerox iGen4</w:t>
      </w:r>
      <w:r>
        <w:rPr>
          <w:rFonts w:ascii="Arial" w:cs="Arial" w:eastAsia="Arial" w:hAnsi="Arial"/>
          <w:sz w:val="11"/>
          <w:szCs w:val="11"/>
          <w:color w:val="auto"/>
        </w:rPr>
        <w:t>®</w:t>
      </w:r>
      <w:r>
        <w:rPr>
          <w:rFonts w:ascii="Arial" w:cs="Arial" w:eastAsia="Arial" w:hAnsi="Arial"/>
          <w:sz w:val="18"/>
          <w:szCs w:val="18"/>
          <w:color w:val="auto"/>
        </w:rPr>
        <w:t xml:space="preserve"> Digital Production Press, iGen3</w:t>
      </w:r>
      <w:r>
        <w:rPr>
          <w:rFonts w:ascii="Arial" w:cs="Arial" w:eastAsia="Arial" w:hAnsi="Arial"/>
          <w:sz w:val="11"/>
          <w:szCs w:val="11"/>
          <w:color w:val="auto"/>
        </w:rPr>
        <w:t>®</w:t>
      </w:r>
      <w:r>
        <w:rPr>
          <w:rFonts w:ascii="Arial" w:cs="Arial" w:eastAsia="Arial" w:hAnsi="Arial"/>
          <w:sz w:val="18"/>
          <w:szCs w:val="18"/>
          <w:color w:val="auto"/>
        </w:rPr>
        <w:t xml:space="preserve"> Digital Production Press and DocuColor</w:t>
      </w:r>
      <w:r>
        <w:rPr>
          <w:rFonts w:ascii="Arial" w:cs="Arial" w:eastAsia="Arial" w:hAnsi="Arial"/>
          <w:sz w:val="11"/>
          <w:szCs w:val="11"/>
          <w:color w:val="auto"/>
        </w:rPr>
        <w:t>®</w:t>
      </w:r>
      <w:r>
        <w:rPr>
          <w:rFonts w:ascii="Arial" w:cs="Arial" w:eastAsia="Arial" w:hAnsi="Arial"/>
          <w:sz w:val="18"/>
          <w:szCs w:val="18"/>
          <w:color w:val="auto"/>
        </w:rPr>
        <w:t xml:space="preserve"> Digital Presses. Worldwide, approximately 400 customers have installed two or more iGen presses to meet their increased demand. In 2009 we delivered a number of innovative products to the markets, following are a few examples: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0" w:right="100" w:hanging="452"/>
        <w:spacing w:after="0" w:line="24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1269BC"/>
        </w:rPr>
        <w:t xml:space="preserve">Xerox DocuColor 7002/8002: </w:t>
      </w:r>
      <w:r>
        <w:rPr>
          <w:rFonts w:ascii="Arial" w:cs="Arial" w:eastAsia="Arial" w:hAnsi="Arial"/>
          <w:sz w:val="18"/>
          <w:szCs w:val="18"/>
          <w:color w:val="000000"/>
        </w:rPr>
        <w:t>In August we launched both a 70 and 80 ppm full-color production systems built off the very successful</w:t>
      </w:r>
      <w:r>
        <w:rPr>
          <w:rFonts w:ascii="Arial" w:cs="Arial" w:eastAsia="Arial" w:hAnsi="Arial"/>
          <w:sz w:val="18"/>
          <w:szCs w:val="18"/>
          <w:b w:val="1"/>
          <w:bCs w:val="1"/>
          <w:color w:val="1269BC"/>
        </w:rPr>
        <w:t xml:space="preserve"> </w:t>
      </w:r>
      <w:r>
        <w:rPr>
          <w:rFonts w:ascii="Arial" w:cs="Arial" w:eastAsia="Arial" w:hAnsi="Arial"/>
          <w:sz w:val="18"/>
          <w:szCs w:val="18"/>
          <w:color w:val="000000"/>
        </w:rPr>
        <w:t>7000AP/8000AP products. The new products utilize a new low gloss toner formulation which provides a more matte or ‘offset like’ finish. We also incorporated the In-Line Spectrophotometer and Automated Color Quality Suite, these automation tools enable increased productivity and color quality. New finishing options including tape and e-bind solutions were also enabled on the new products.</w:t>
      </w:r>
    </w:p>
    <w:p>
      <w:pPr>
        <w:spacing w:after="0" w:line="49" w:lineRule="exact"/>
        <w:rPr>
          <w:rFonts w:ascii="Arial" w:cs="Arial" w:eastAsia="Arial" w:hAnsi="Arial"/>
          <w:sz w:val="18"/>
          <w:szCs w:val="18"/>
          <w:color w:val="auto"/>
        </w:rPr>
      </w:pPr>
    </w:p>
    <w:p>
      <w:pPr>
        <w:ind w:left="460" w:right="200" w:hanging="452"/>
        <w:spacing w:after="0" w:line="24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1269BC"/>
        </w:rPr>
        <w:t>Xerox Nuvera</w:t>
      </w:r>
      <w:r>
        <w:rPr>
          <w:rFonts w:ascii="Arial" w:cs="Arial" w:eastAsia="Arial" w:hAnsi="Arial"/>
          <w:sz w:val="11"/>
          <w:szCs w:val="11"/>
          <w:b w:val="1"/>
          <w:bCs w:val="1"/>
          <w:color w:val="1269BC"/>
        </w:rPr>
        <w:t>®</w:t>
      </w:r>
      <w:r>
        <w:rPr>
          <w:rFonts w:ascii="Arial" w:cs="Arial" w:eastAsia="Arial" w:hAnsi="Arial"/>
          <w:sz w:val="18"/>
          <w:szCs w:val="18"/>
          <w:b w:val="1"/>
          <w:bCs w:val="1"/>
          <w:color w:val="1269BC"/>
        </w:rPr>
        <w:t xml:space="preserve"> 200 EA Perfecting Production System: </w:t>
      </w:r>
      <w:r>
        <w:rPr>
          <w:rFonts w:ascii="Arial" w:cs="Arial" w:eastAsia="Arial" w:hAnsi="Arial"/>
          <w:sz w:val="18"/>
          <w:szCs w:val="18"/>
          <w:color w:val="000000"/>
        </w:rPr>
        <w:t>In April we added to the Nuvera product portfolio with the Nuvera 200 Perfecting</w:t>
      </w:r>
      <w:r>
        <w:rPr>
          <w:rFonts w:ascii="Arial" w:cs="Arial" w:eastAsia="Arial" w:hAnsi="Arial"/>
          <w:sz w:val="18"/>
          <w:szCs w:val="18"/>
          <w:b w:val="1"/>
          <w:bCs w:val="1"/>
          <w:color w:val="1269BC"/>
        </w:rPr>
        <w:t xml:space="preserve"> </w:t>
      </w:r>
      <w:r>
        <w:rPr>
          <w:rFonts w:ascii="Arial" w:cs="Arial" w:eastAsia="Arial" w:hAnsi="Arial"/>
          <w:sz w:val="18"/>
          <w:szCs w:val="18"/>
          <w:color w:val="000000"/>
        </w:rPr>
        <w:t>Production System. This product enables Xerox to enhance the portfolio by offering another tandem architecture product positioned below the flagship Nuvera 288. Throughout the year we expanded the finishing capabilities of the entire Nuvera portfolio. We added an in line binding solution, the GBC e-Bind 200. A new booklet maker from partner Plockmatic, the DBM5001 and an enhanced stacking solution the Xerox DS 3500 stacker. All of these finishing options are available on any Nuvera product.</w:t>
      </w:r>
    </w:p>
    <w:p>
      <w:pPr>
        <w:spacing w:after="0" w:line="50" w:lineRule="exact"/>
        <w:rPr>
          <w:rFonts w:ascii="Arial" w:cs="Arial" w:eastAsia="Arial" w:hAnsi="Arial"/>
          <w:sz w:val="18"/>
          <w:szCs w:val="18"/>
          <w:color w:val="auto"/>
        </w:rPr>
      </w:pPr>
    </w:p>
    <w:p>
      <w:pPr>
        <w:ind w:left="460" w:right="400" w:hanging="452"/>
        <w:spacing w:after="0" w:line="24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1269BC"/>
        </w:rPr>
        <w:t xml:space="preserve">Xerox Nuvera 100/120/144/200/288 MX Production Systems: </w:t>
      </w:r>
      <w:r>
        <w:rPr>
          <w:rFonts w:ascii="Arial" w:cs="Arial" w:eastAsia="Arial" w:hAnsi="Arial"/>
          <w:sz w:val="18"/>
          <w:szCs w:val="18"/>
          <w:color w:val="000000"/>
        </w:rPr>
        <w:t>In October we refreshed the entire magnetic ink character recognition</w:t>
      </w:r>
      <w:r>
        <w:rPr>
          <w:rFonts w:ascii="Arial" w:cs="Arial" w:eastAsia="Arial" w:hAnsi="Arial"/>
          <w:sz w:val="18"/>
          <w:szCs w:val="18"/>
          <w:b w:val="1"/>
          <w:bCs w:val="1"/>
          <w:color w:val="1269BC"/>
        </w:rPr>
        <w:t xml:space="preserve"> </w:t>
      </w:r>
      <w:r>
        <w:rPr>
          <w:rFonts w:ascii="Arial" w:cs="Arial" w:eastAsia="Arial" w:hAnsi="Arial"/>
          <w:sz w:val="18"/>
          <w:szCs w:val="18"/>
          <w:color w:val="000000"/>
        </w:rPr>
        <w:t>(“MICR”) portfolio. We added MICR capability to the 200 &amp; 288 products for the first time. Reliability and productivity improvements were made to the existing Nuvera 100/120/144 MX that includes an upgrade to our FreeFlow Print Server hardware and software, and other system upgrades to the print engine.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Other</w:t>
      </w:r>
    </w:p>
    <w:p>
      <w:pPr>
        <w:spacing w:after="0" w:line="10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Other segment primarily includes revenue from paper sales, value-added services, wide-format systems and GIS network integration solutions and electronic presentation systems.</w:t>
      </w:r>
    </w:p>
    <w:p>
      <w:pPr>
        <w:spacing w:after="0" w:line="155"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We sell cut-sheet paper to our customers for use in their document processing products. The market for cut-sheet paper is highly competitive and revenues are significantly affected by pricing. Our strategy is to charge a premium over mill wholesale prices, which is adequate to cover our costs and the value we add as a distributor, as well as to provide unique products that enhance digital production printing and color output.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An increasingly important part of our offering is value-added services, which utilizes our document industry knowledge and experience. Our value-added services deliver solutions that optimize our customers’ document output and infrastructure costs while streamlining, simplifying, and digitizing their document-intensive business processes. Through our imaging centers, a company can scan and digitize documents to create secure, accessible and searchable online information archives, such as a library of car-rental contracts or construction blueprints. Often our value-added services solutions lead to larger managed print services contracts which include our equipment, supplies, service, and labor. We report revenue from managed services contracts in the Production or Office segments. In 2009, the combined value-added services and managed print services revenue, including equipment, totaled $3.5 billion.</w:t>
      </w:r>
    </w:p>
    <w:p>
      <w:pPr>
        <w:spacing w:after="0" w:line="155" w:lineRule="exact"/>
        <w:rPr>
          <w:sz w:val="20"/>
          <w:szCs w:val="20"/>
          <w:color w:val="auto"/>
        </w:rPr>
      </w:pPr>
    </w:p>
    <w:p>
      <w:pPr>
        <w:ind w:right="860"/>
        <w:spacing w:after="0" w:line="239" w:lineRule="auto"/>
        <w:rPr>
          <w:sz w:val="20"/>
          <w:szCs w:val="20"/>
          <w:color w:val="auto"/>
        </w:rPr>
      </w:pPr>
      <w:r>
        <w:rPr>
          <w:rFonts w:ascii="Arial" w:cs="Arial" w:eastAsia="Arial" w:hAnsi="Arial"/>
          <w:sz w:val="18"/>
          <w:szCs w:val="18"/>
          <w:color w:val="auto"/>
        </w:rPr>
        <w:t>In our wide-format systems business, we offer document processing products and devices designed to reproduce large engineering and architectural drawings up to three feet by four feet in size. In 2009 we launched:</w:t>
      </w:r>
    </w:p>
    <w:p>
      <w:pPr>
        <w:spacing w:after="0" w:line="52" w:lineRule="exact"/>
        <w:rPr>
          <w:sz w:val="20"/>
          <w:szCs w:val="20"/>
          <w:color w:val="auto"/>
        </w:rPr>
      </w:pPr>
    </w:p>
    <w:p>
      <w:pPr>
        <w:ind w:left="460" w:hanging="452"/>
        <w:spacing w:after="0" w:line="24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1269BC"/>
        </w:rPr>
        <w:t xml:space="preserve">The Xerox 6604 &amp; 6605 Wide Format Printer: </w:t>
      </w:r>
      <w:r>
        <w:rPr>
          <w:rFonts w:ascii="Arial" w:cs="Arial" w:eastAsia="Arial" w:hAnsi="Arial"/>
          <w:sz w:val="18"/>
          <w:szCs w:val="18"/>
          <w:color w:val="000000"/>
        </w:rPr>
        <w:t>This printer continues our successful tradition in the computer-aided design environment with</w:t>
      </w:r>
      <w:r>
        <w:rPr>
          <w:rFonts w:ascii="Arial" w:cs="Arial" w:eastAsia="Arial" w:hAnsi="Arial"/>
          <w:sz w:val="18"/>
          <w:szCs w:val="18"/>
          <w:b w:val="1"/>
          <w:bCs w:val="1"/>
          <w:color w:val="1269BC"/>
        </w:rPr>
        <w:t xml:space="preserve"> </w:t>
      </w:r>
      <w:r>
        <w:rPr>
          <w:rFonts w:ascii="Arial" w:cs="Arial" w:eastAsia="Arial" w:hAnsi="Arial"/>
          <w:sz w:val="18"/>
          <w:szCs w:val="18"/>
          <w:color w:val="000000"/>
        </w:rPr>
        <w:t>its unsurpassed ease of operation and benchmark image quality. This new product includes a full-color scanner and new user friendly interface for ease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Revenue</w:t>
      </w:r>
    </w:p>
    <w:p>
      <w:pPr>
        <w:spacing w:after="0" w:line="107"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We sell the majority of our products and services under bundled lease arrangements, in which our customers pay a monthly amount for the equipment, maintenance, services, supplies and financing over the course of the lease agreement. These arrangements are beneficial to our customers and to us since, in addition to customers receiving a bundled offering, these arrangements allow us to maintain the customer relationship for future sales of equipment and services.</w:t>
      </w:r>
    </w:p>
    <w:p>
      <w:pPr>
        <w:spacing w:after="0" w:line="15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analyze these arrangements to determine whether the equipment component meets certain accounting requirements such that the equipment fair value should be recorded as a sale at lease inception, that is, a sales-type lease. We allocate the remaining portion of the monthly minimum payments to the various elements of the lease based on fair value – service, maintenance, supplies and financing – that we generally recognize over the term of the lease agreement, and that we report as “post sale revenue”. In those arrangements that do not qualify as sales-type leases, we recognize revenue over the term of the lease agreement, whether rental or operating lease, and report it in post sale revenue. Our accounting policies for revenue recognition for leases and bundled arrangements are included in Note 1 –Summary of Significant Accounting Policies in the Consolidated Financial Statements in our 2009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96520</wp:posOffset>
            </wp:positionV>
            <wp:extent cx="2975610" cy="3249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7561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117475</wp:posOffset>
            </wp:positionV>
            <wp:extent cx="5831840" cy="694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3184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Investment in R&amp;D is critical for competitiveness in our fast-paced markets. More than two-thirds of our equipment sales are from products launched during the past two years. Research activities are conducted in the United States, Canada, Europe and Asia – often in collaboration with Fuji Xerox Co., Ltd. (“Fuji Xerox”).</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R&amp;D drives innovation and customer value by:</w:t>
      </w:r>
    </w:p>
    <w:p>
      <w:pPr>
        <w:spacing w:after="0" w:line="7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Creating new differentiated products and services;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Enabling cost competitiveness through continuous and disruptive innovation for products and services;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Enabling new ways to serve customers;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Creating new business opportunities that drive future growth and reach new customers;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Creating sustainable/green products, solutions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97790</wp:posOffset>
            </wp:positionV>
            <wp:extent cx="2967355" cy="27444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6735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To ensure our success, we have aligned our R&amp;D investment portfolio with our growth initiatives of accelerating the transition to color, enhancing customer value by building on our services leadership and by strengthening our leadership in digital production printing. The decrease in RD&amp;E spending for 2009 reflects our successful integration of the Production and Office development and engineering infrastructure which optimizes platform development and time to market. 2009 R&amp;D spending focused primarily on the development of high-end communication solutions in digital production printing, extending our enterprise product portfolio for more affordable color and supporting a new generation of workplace solutions, expanding our services offerings and delivering lower-cost platforms and customer productivity enablers. With our R&amp;D investments we have continued to expand the capability of the Xerox iGen family with both higher throughput and image quality and high value solutions to deliver customized and 1:1 marketing materials. We have also extended the market reach of our proprietary solid ink technology through the ColorQube family of products that offer breakthrough running cost for workgroup color applications. Coupled with our Extensible Interface Platform, Xerox Multifunction devices can now help our customers streamline document workflows integrating paper based documents into their enterprise applications. Sustaining engineering expenses, which are the hardware engineering and software development costs we incur after we launch a product, are included in our RD&amp;E expenses.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Patents, Trademarks and Licenses</w:t>
      </w:r>
    </w:p>
    <w:p>
      <w:pPr>
        <w:spacing w:after="0" w:line="10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Xerox and its subsidiaries were awarded 706 U.S. utility patents in 2009. On that basis, we would have ranked 24th on the list of companies that were awarded the most U.S. patents during the year. Including our research partner Fuji Xerox we were awarded over 1,130 U.S. utility patents in 2009. Our patent portfolio evolves as new patents are awarded to us and as older patents expire. As of December 31, 2009, we held approximately 9,437 design and utility U.S. patents. These patents expire at various dates up to 20 years or more from their original filing dates. While we believe that our portfolio of patents and applications has value, in general no single patent is essential to our business or any individual segment. In addition, any of our proprietary rights could be challenged, invalidated, or circumvented or may not provide significant competitive advantages.</w:t>
      </w:r>
    </w:p>
    <w:p>
      <w:pPr>
        <w:spacing w:after="0" w:line="13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the U.S., we are party to numerous patent-licensing agreements and, in a majority of them, we license or assign our patents to others, in return for revenue and/or access to their patents. Most patent licenses expire concurrently with the expiration of the last patent identified in the license. In 2009, we added 10 new agreements to our portfolio of patent licensing and sale agreements, and Xerox and its subsidiaries were licensor or seller in 7 of the agreements. We are also a party to a number of cross-licensing agreements with companies that hold substantial patent portfolios, including Canon, Microsoft, IBM, Hewlett Packard, Océ, Sharp, Samsung and Seiko Epson. These agreements vary in subject matter, scope, compensation, significance and time.</w:t>
      </w:r>
    </w:p>
    <w:p>
      <w:pPr>
        <w:spacing w:after="0" w:line="156"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In the U.S., we own approximately 502 trademarks, either registered or applied for. These trademarks have a perpetual life, subject to renewal every ten years. We vigorously enforce and protect our trademarks.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Marketing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117475</wp:posOffset>
            </wp:positionV>
            <wp:extent cx="5831840" cy="668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184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manage our business based on the principal business segments described earlier. However, we have organized the marketing, selling and distribution of our products and solutions according to geography and channel type. We sell our products and solutions directly to customers through our worldwide sales force and through a network of independent agents, dealers, value-added resellers, systems integrators and the Web. In the U.S. GIS continues to expand its network of office technology suppliers to serve an ever-expanding base of small and medium size businesses. We utilize our direct sales force to address our customers’ more advanced technology, solutions and services requirements, and use cost-effective indirect distribution channels for our basic product offerings.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 large enterprises, we follow a services-led approach that enables us to address two basic challenges facing large enterprises:</w:t>
      </w:r>
    </w:p>
    <w:p>
      <w:pPr>
        <w:spacing w:after="0" w:line="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to optimize infrastructure to be both cost effective and globally consistent.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to improve the value proposition and communication with their customers.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response to these needs, we offer a go-to-market approach that leads with the largest direct sales and service delivery force in the industry available on a globally consistent manner. This can range from hardware, software or services in whatever combination is necessary to meet the needs of that customer.</w:t>
      </w:r>
    </w:p>
    <w:p>
      <w:pPr>
        <w:spacing w:after="0" w:line="15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market our Phaser line of color and monochrome laser-class and solid ink printers primarily through office information technology resellers, who typically access our products through distributors. We continue to expand our distribution partnerships in North America through additional information technology resellers and by enhancing our network of independent agents. We also continued to increase product offerings available through a two-tiered distribution model in Europe and developing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96520</wp:posOffset>
            </wp:positionV>
            <wp:extent cx="2967355" cy="5111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7355" cy="511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reselling relationship with key partners contributed to our market coverage expansion and new business penetration. Through our global reseller alliance with FujiFilm, we distribute our production products and solutions to graphic communications customers, as well as photo specialty markets spanning retail, professional labs and centralized processing center businesses. In 2009, we signed additional country-level contracts with FujiFilm Graphics Systems in Europe and developing markets to extend Xerox digital production systems reach to new commercial print customers and prospects. We continue to use alliances to integrate "best-in-class" information technologies and services to deliver improved workflow, color management and document output management enabling our customers to accelerate profitable revenue growth in their businesses. Through the world-class Xerox Business Partner Program we are able to deliver an extensive portfolio of products and end-to-end solutions which streamline our customer’s workflows enabling them to reduce costs, improve operational efficiencies and drive new business opportunities.</w:t>
      </w:r>
    </w:p>
    <w:p>
      <w:pPr>
        <w:spacing w:after="0" w:line="13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Europe, Africa, the Middle East, India, and parts of Asia, we distribute our products through Xerox Limited, a company established under the laws of England, and related non-U.S. companies. Xerox Limited enters into distribution agreements with unaffiliated third parties to provide distribution of our products in many of the countries located in these regions, and previously entered into agreements with unaffiliated third parties providing distribution of our products in Iran, Sudan, and Syria. Iran, Sudan and Syria, among others, have been designated as state sponsors of terrorism by the U.S. Department of State and are subject to U.S. economic sanctions. We maintain an export and sanctions compliance program and believe that we have been and are in compliance with U.S. laws and government regulations for these countries. We have no assets, liabilities, or operations in these countries other than liabilities under the distribution agreements. After observing required prior notice periods, Xerox Limited terminated its distribution agreements with distributors servicing Sudan and Syria in August 2006 and terminated its distribution agreement with the distributor servicing Iran in December 2006. Now, Xerox only has legacy obligations to third parties such as providing spare parts and supplies to these third parties. In 2009, total Xerox revenues of $15.2 billion included approximately $2.6 million attributable to Iran and less than $0.2 million attributable to Sudan and Syria.</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Competition</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Although we encounter aggressive competition in all areas of our business, we are the leader or among the leaders in each of our principal business segments. Our competitors range from large international companies to relatively small firms. We compete on the basis of technology, performance, price, quality, reliability, brand, distribution and customer service and support. To remain competitive we invest in and develop new products and services and continually improve our existing offerings. Our key competitors include Canon, Ricoh, Hewlett-Packard, and, in certain areas of the business, Pitney Bowes, Kodak, Océ, Konica Minolta and Lexmark. With the acquisition of ACS, we will now also compete with a variety of business process outsourcing companies, as well as in-house departments performing the functions that we are seeking to outsource. These competitors can include large multi-national corporations, accounting or consulting companies, smaller niche service providers and offshore service providers in low-cost locations. We believe that our brand recognition, reputation for our business process and document management knowledge and expertise, innovative technology, service, breadth of product offerings, global distribution channels, customer relationships and large customer base are important competitive advantages. We and our competitors continue to develop and market new and innovative products at competitive prices, and, at any given time, we may set new market standards for quality, speed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211455</wp:posOffset>
            </wp:positionV>
            <wp:extent cx="2950210" cy="3061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50210"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Service</w:t>
      </w:r>
    </w:p>
    <w:p>
      <w:pPr>
        <w:spacing w:after="0" w:line="10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of December 31, 2009, we had a worldwide service force of approximately 12,500 employees and an extensive variable contract service force. We continue to expand our use of cost-effective remote service technology for basic product offerings while utilizing our direct service force and a variable contract service force to address customers’ more advanced technology requirements. The increasing use of a variable contract service force is consistent with our strategy to reduce fixed service costs while maintaining high-quality levels of service. We believe that our service force represents a significant competitive advantage because it is continually trained on our products and its diagnostic equipment is state-of-the-art. We offer service 24 hours a day, 7 days a week, in major metropolitan areas around the world, providing a consistent and superior level of service worldwide.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Customer Financing</w:t>
      </w:r>
    </w:p>
    <w:p>
      <w:pPr>
        <w:spacing w:after="0" w:line="10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finance a large portion of customer purchases of Xerox equipment through our bundled lease arrangements. We believe that financing facilitates customer acquisition of Xerox technology and enhances our value proposition while providing Xerox a profitable revenue stream and an attractive gross margin that provides us a reasonable return on our investment in this business.</w:t>
      </w:r>
    </w:p>
    <w:p>
      <w:pPr>
        <w:spacing w:after="0" w:line="15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a result of our customer financing program, we benefit by gaining in-depth knowledge of the products being leased and a deep understanding of the customer base and their use of our technology. This knowledge allows us to effectively manage the credit and residual value risk normally associated with financing. Our financing risk is further mitigated because a majority of our lease contracts are non-cancelable and include cancellation penalties approximately equal to the full value of the lease receivables.</w:t>
      </w:r>
    </w:p>
    <w:p>
      <w:pPr>
        <w:spacing w:after="0" w:line="155"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Because our lease contracts permit customers to pay for equipment over time rather than at the date of installation, we maintain a certain level of debt to support our investment in these lease contracts. We fund our customer financing activity through a combination of cash generated from operations, cash on hand, proceeds from capital market offerings and borrowings under bank credit facilities. At December 31, 2009 we had $7.0 billion of finance receivables and $0.6 billion of equipment on operating leases, or Total Finance assets of $7.6 billion. We maintain an assumed 7:1 leverage ratio of debt to equity as compared to our Finance assets and therefore a significant portion of our $9.3 billion of debt is associated with our financing business.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Manufacturing and Supply</w:t>
      </w:r>
    </w:p>
    <w:p>
      <w:pPr>
        <w:spacing w:after="0" w:line="10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manufacturing and distribution facilities are located around the world. The company's largest manufacturing site is in Webster, New York, where we make fusers, photoreceptors, Xerox iGen and Nuvera systems, components, consumables and other products. Additionally we have an EA Toner plant located in Webster, New York that was built in 2007. Our remaining primary manufacturing operations are located in: Dundalk, Ireland for our high-end production products and consumables; and Wilsonville, Oregon for solid ink products, consumable supplies, and components for our Office segment products. We also have a major facility in Venray, Netherlands that handles supplies manufacturing and supply chain management for the eastern hemisphere.</w:t>
      </w:r>
    </w:p>
    <w:p>
      <w:pPr>
        <w:spacing w:after="0" w:line="15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are currently in the third year of a master supply agreement with Flextronics, a global electronics manufacturing services company, to outsource portions of manufacturing for our Office segment. The agreement has a three year term, with two additional one-year extension periods at our option. Our inventory purchases from Flextronics currently represent approximately 20 percent of our overall worldwide inventory procurement and production. Pricing for inventory sourced through Flextronics is generally market based. We have agreed to purchase from Flextronics some products and consumables within specified product families although we do have the ability to source product from other suppliers without penalty to the extent needed. Flextronics is required to acquire inventory based on our forecasted requirements and must maintain sufficient manufacturing capacity to satisfy these requirements. Under certain circumstances, we may become obligated to purchase inventory that remains unused for more than 180 days, becomes obsolete or remains unused on the termination of the supply agreement. If Flextronics were unable to continue to supply product, it would not result in a material disruption to our business because Flextronics primarily provides contract assembly labor and we continue to manage the inbound sourcing and supply chain management of raw materials and sub-assembly parts. In addition, we own the tooling and technology that Flextronics currently uses to produce our products; there are a number of alternative suppliers that could replace the contract assembly labor Flextronics provides and we have business resumption plans in place for Flextronics and other similar suppliers.</w:t>
      </w:r>
    </w:p>
    <w:p>
      <w:pPr>
        <w:spacing w:after="0" w:line="16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acquire other office products from various third parties in order to increase the breadth of our product portfolio and meet channel requirements. We have arrangements with Fuji Xerox under which we purchase and sell products, some of which are the result of mutual research and development arrangements. Refer to Note 7 – Investments in Affiliates, at Equity in the Consolidated Financial Statements in our 2009 Annual Report for additional information regarding our relationship with Fuji Xerox.</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Fuji Xerox</w:t>
      </w:r>
    </w:p>
    <w:p>
      <w:pPr>
        <w:spacing w:after="0" w:line="10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Fuji Xerox is an unconsolidated entity in which we currently own a 25 percent interest and FUJIFILM Holdings Corporation (“FujiFilm”) owns a 75 percent interest. Fuji Xerox develops, manufactures and distributes document processing products in Japan, China, Hong Kong, other areas of the Pacific Rim, Australia and New Zealand. We retain significant rights as a minority shareholder. Our technology licensing agreements with Fuji Xerox ensure that the two companies retain uninterrupted access to each other’s portfolio of patents, technology and products.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International Operations</w:t>
      </w:r>
    </w:p>
    <w:p>
      <w:pPr>
        <w:spacing w:after="0" w:line="10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are incorporating by reference the financial measures by geographical area for 2009, 2008 and 2007 that are included in Note 2 – Segment Reporting in the Consolidated Financial Statements in our 2009 Annual Report. See also the risk factors entitled “Our business, results of operations and financial condition may be negatively impacted by economic conditions abroad, including fluctuating foreign currencies and shifting regulatory schemes.” in Part 1, Item 1A of this Form 10-K.</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Backlog</w:t>
      </w:r>
    </w:p>
    <w:p>
      <w:pPr>
        <w:spacing w:after="0" w:line="10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believe that backlog, or the value of unfilled orders, is not a meaningful indicator of future business prospects because of the significant proportion of our revenue that follows equipment installation, the large volume of products we deliver from shelf inventories and the shortening of product life cycles.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Seasonality</w:t>
      </w:r>
    </w:p>
    <w:p>
      <w:pPr>
        <w:spacing w:after="0" w:line="10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revenues are affected by such factors as the introduction of new products, the length of the sales cycles and the seasonality of technology purchases. As a result, our operating results are difficult to predict. These factors have historically resulted in lower revenue in the first quarter than in the immediately preceding fourth quarter.</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Other Information</w:t>
      </w:r>
    </w:p>
    <w:p>
      <w:pPr>
        <w:spacing w:after="0" w:line="10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Xerox is a New York corporation, organized in 1906, and our principal executive offices are located at 45 Glover Avenue, P.O. Box 4505, Norwalk, Connecticut 06856-4505.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Our telephone number is (203) 968-3000.</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the Investor Information section of our Internet website, you will find our annual reports on Form 10-K, quarterly reports on Form 10-Q, current reports on Form 8-K and any amendments to these reports. We make these documents available as soon as we can after we have filed them with, or furnished them to, the Securities and Exchange Commission.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b w:val="1"/>
          <w:bCs w:val="1"/>
          <w:color w:val="auto"/>
        </w:rPr>
        <w:t>http://www.xerox.com</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RISK FACTORS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269BC"/>
        </w:rPr>
        <w:t>Current economic conditions and uncertain economic outlook could adversely affect our results of operations and financial condition.</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global economy has recently experienced a period of unprecedented volatility, which has affected the demand for equipment, services and supplies. A prolonged period of economic decline could have a material adverse effect on our results of operations and financial condition and exacerbate the other risk factors we have described below. Possible effects of current and/or future adverse economic conditions on our business include: decrease in purchases or usage of our products, services and supplies by customers as increased unemployment of office workers leads to lower utilization of our equipment and reduced advertising and media spend adversely impacts the graphic arts market; reduction in purchases of products and supplies by channel partners due to their efforts to reduce inventory and conserve cash and/or their inability to obtain financing; disruption in our business due to our inability to obtain equipment, parts and supplies from our suppliers—and our suppliers from their suppliers—if marginal supply businesses fail; increase in the cost of our products acquired from Japan if the Yen strengthens against the U.S. Dollar and/or the Euro, decreasing our profit margins or forcing us to increase prices of our products, thereby making our products less affordable to customers; higher level of collection delinquencies due to insolvency of our customers or shortage of cash to support their businesses; and decrease in our ability to hedge currency exposures due to higher hedging costs because of extreme volatility of exchange rates.</w:t>
      </w:r>
    </w:p>
    <w:p>
      <w:pPr>
        <w:spacing w:after="0" w:line="31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1269BC"/>
        </w:rPr>
        <w:t>We face significant competition and our failure to compete successfully could adversely affect our results of operations and financial condition.</w:t>
      </w:r>
    </w:p>
    <w:p>
      <w:pPr>
        <w:spacing w:after="0" w:line="135"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operate in an environment of significant competition, driven by rapid technological advances and the demands of customers to become more efficient. Our competitors range from large international companies to relatively small firms. Some of the large international companies have significant financial resources and compete with us globally to provide document processing products and services in each of the markets we serve. We compete primarily on the basis of technology, performance, price, quality, reliability, brand, distribution and customer service and support. Our success in future performance is largely dependent upon our ability to compete successfully in the markets we currently serve and to expand into additional market segments. To remain competitive, we must develop new products, services and applications; periodically enhance our existing offerings and attract and retain key personnel and management. If we are unable to compete successfully, we could lose market share and important customers to our competitors and that could materially adversely affect our results of operations and financial condition.</w:t>
      </w:r>
    </w:p>
    <w:p>
      <w:pPr>
        <w:spacing w:after="0" w:line="11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1269BC"/>
        </w:rPr>
        <w:t>If we fail to successfully develop new products and technologies and protect our intellectual property rights, we may be unable to retain current customers and gain new customers and our revenues would be reduced.</w:t>
      </w:r>
    </w:p>
    <w:p>
      <w:pPr>
        <w:spacing w:after="0" w:line="13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process of developing new high technology products and solutions is inherently complex and uncertain. It requires accurate anticipation of customers’ changing needs and emerging technological trends. We must make long-term investments and commit significant resources before knowing whether these investments will eventually result in products that achieve customer acceptance and generate the revenues required to provide desired returns. In developing these new technologies and products, we rely upon patent, copyright, trademark and trade secret laws in the United States and similar laws in other countries, and agreements with our employees, customers, suppliers and other parties, to establish and maintain our intellectual property rights in technology and products used in our operations. However, the laws of certain countries may not protect our proprietary rights to the same extent as the laws of the United States and we may be unable to protect our proprietary technology adequately against unauthorized third-party copying or use, which could adversely affect our competitive position. In addition, some of our products rely on technologies developed by third parties. We may not be able to obtain or to continue to obtain licenses and technologies from these third parties at all or on reasonable terms, or such third parties may demand cross-licenses to our intellectual property. It is also possible that our intellectual property rights could be challenged, invalidated or circumvented, allowing others to use our intellectual property to our competitive detriment. We also must ensure that all of our products comply with existing and newly enacted applicable regulatory requirements in the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countries in which they are sold, particularly European Union environmental directives. If we fail to accurately anticipate and meet our customers’ needs through the development of new technologies and products or if we fail to adequately protect our intellectual property rights or if our new products are not widely accepted or if our current or future products fail to meet applicable worldwide regulatory requirements, we could lose market share and customers to our competitors and that could materially adversely affect our results of operations and financial condition.</w:t>
      </w:r>
    </w:p>
    <w:p>
      <w:pPr>
        <w:spacing w:after="0" w:line="109"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b w:val="1"/>
          <w:bCs w:val="1"/>
          <w:i w:val="1"/>
          <w:iCs w:val="1"/>
          <w:color w:val="1269BC"/>
        </w:rPr>
        <w:t>Our profitability is dependent upon our ability to obtain adequate pricing for our products and services and to improve our cost structure.</w:t>
      </w:r>
    </w:p>
    <w:p>
      <w:pPr>
        <w:spacing w:after="0" w:line="13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success depends on our ability to obtain adequate pricing for our products and services which provides a reasonable return to our shareholders. Depending on competitive market factors, future prices we obtain for our products and services may decline from previous levels. In addition, pricing actions to offset the effect of currency devaluations may not prove sufficient to offset further devaluations or may not hold in the face of customer resistance and/or competition. If we are unable to obtain adequate pricing for our products and services, it could materially adversely affect our results of operations and financial condition.</w:t>
      </w:r>
    </w:p>
    <w:p>
      <w:pPr>
        <w:spacing w:after="0" w:line="15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continually review our operations with a view towards reducing our cost structure, including but not limited to downsizing our employee base, exiting certain businesses, improving process and system efficiencies and outsourcing some internal functions. We from time to time engage in restructuring actions to reduce our cost structure. If we are unable to continue to maintain our cost base at or below the current level and maintain process and systems changes resulting from prior restructuring actions, it could materially adversely affect our results of operations and financial condition.</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ability to sustain and improve profit margins is dependent on a number of factors, including our ability to continue to improve the cost efficiency of our operations through such programs as Lean Six Sigma, the level of pricing pressures on our products and services, the proportion of high-end as opposed to low-end equipment sales, the trend in our post-sale revenue growth and our ability to successfully complete information technology initiatives. If any of these factors adversely materialize or if we are unable to achieve productivity improvements through design efficiency, supplier and manufacturing cost improvements and information technology initiatives, our ability to offset labor cost inflation, potential materials cost increases and competitive price pressures would be impaired, all of which could materially adversely affect our results of operations and financial condition.</w:t>
      </w:r>
    </w:p>
    <w:p>
      <w:pPr>
        <w:spacing w:after="0" w:line="13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1269BC"/>
        </w:rPr>
        <w:t>We have outsourced a significant portion of our overall worldwide manufacturing operations and face the risks associated with relying on third party manufacturers and external suppliers.</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outsourced a significant portion of our overall worldwide manufacturing operations to third parties and various service providers. To the extent that we rely on third party manufacturing relationships, we face the risk that those manufacturers may not be able to develop manufacturing methods appropriate for our products, they may not be able to quickly respond to changes in customer demand for our products, they may not be able to obtain supplies and materials necessary for the manufacturing process, they may experience labor shortages and/or disruptions, manufacturing costs could be higher than planned and the reliability of our products could decline. If any of these risks were to be realized, and assuming similar third-party manufacturing relationships could not be established, we could experience interruptions in supply or increases in costs that might result in our being unable to meet customer demand for our products, damage our relationships with our customers and reduce our market share, all of which could materially adversely affect our results of operations and financial condition.</w:t>
      </w:r>
    </w:p>
    <w:p>
      <w:pPr>
        <w:spacing w:after="0" w:line="134"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i w:val="1"/>
          <w:iCs w:val="1"/>
          <w:color w:val="1269BC"/>
        </w:rPr>
        <w:t>Our business, results of operations and financial condition may be negatively impacted by economic conditions abroad, including fluctuating foreign currencies and shifting regulatory schemes.</w:t>
      </w:r>
    </w:p>
    <w:p>
      <w:pPr>
        <w:spacing w:after="0" w:line="135"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A significant portion of our revenues are generated from operations outside the United States. In addition, we manufacture or acquire many of our products and/or their components from, and maintain significant operations, outside the United States. Our future revenues, costs and results of operations could be significantly affected by changes in foreign currency exchange rates, as well as by a number of other factors, including changes in economic conditions from country to country, changes in a country’s political conditions, trade protection measures, licensing requirements, local tax issues, capitalization and other related legal matters. We generally hedge foreign currency denominated assets, liabilities and anticipated transactions primarily through the use of currency derivative contracts. The use of derivative contracts is intended to mitigate or reduce transactional level volatility in the results of foreign operations, but does not completely eliminate volatility. We do not hedge the translation effect of international revenues and expenses, which are denominated in currencies other than our U.S. parent functional currency, within our consolidated financial statements. If our future revenues, costs and results of operations are significantly affected by economic conditions abroad and we are unable to effectively hedge these risks, they could materially adversely affect our results of operations and financial condition.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Our operating results may be negatively impacted by lower equipment placements and revenue trends.</w:t>
      </w:r>
    </w:p>
    <w:p>
      <w:pPr>
        <w:spacing w:after="0" w:line="178"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Our ability to maintain a consistent trend of revenue growth over the intermediate to longer term is largely dependent upon expansion of our worldwide equipment placements, as well as sales of services and supplies occurring after the initial equipment placement (post sale revenue) in the key growth markets of digital printing, color and multifunction systems. We expect that revenue growth can be further enhanced through our document management and consulting services in the areas of personalized and product life cycle communications, enterprise managed print services and document content and imaging. The ability to achieve growth in our equipment placements is subject to the successful implementation of our initiatives to provide advanced systems, industry-oriented global solutions and services for major customers, improve direct and indirect sales productivity and expand our indirect distribution channels in the face of global competition and pricing pressures. Our ability to increase post sale revenue is largely dependent on our ability to increase the volume of pages printed, the mix of color pages, equipment utilization and color adoption, as well as our ability to retain a high level of supplies sales in unbundled contracts. Equipment placements typically occur through leases with original terms of three to five years. There will be a lag between the increase in equipment placement and an increase in post sale revenues. The ability to grow our customers’ usage of our products may continue to be adversely impacted by the movement toward distributed printing and electronic substitutes and the impact of lower equipment placements in prior periods. If we are unable to maintain a consistent trend of revenue growth, it could materially adversely affect our results of operations and financial condition.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We need to develop and expand the use of color printing and copying.</w:t>
      </w:r>
    </w:p>
    <w:p>
      <w:pPr>
        <w:spacing w:after="0" w:line="17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Increasing the proportion of pages which are printed in color and transitioning color pages currently produced on offset devices to Xerox technology represent key growth opportunities. A significant part of our strategy and ultimate success in this changing market is our ability to develop and market technology that produces color prints and copies quickly, easily, with high quality and at reduced cost. Our continuing success in this strategy depends on our ability to make the investments and commit the necessary resources in this highly competitive market, as well as the pace of color adoption by our existing and prospective customers. If we are unable to develop and market advanced and competitive color technologies or the pace of color adoption by our existing and prospective customers is less than anticipated, or the price of color pages declines at a greater rate and faster pace than we anticipate, we may be unable to capture these opportunities and it could materially adversely affect our results of operations and financial condition.</w:t>
      </w:r>
    </w:p>
    <w:p>
      <w:pPr>
        <w:spacing w:after="0" w:line="13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1269BC"/>
        </w:rPr>
        <w:t>Our ability to fund our customer financing activities at economically competitive levels depends on our ability to borrow and the cost of borrowing in the credit markets.</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long-term viability and profitability of our customer financing activities is dependent, in part, on our ability to borrow and the cost of borrowing in the credit markets. This ability and cost, in turn, is dependent on our credit ratings and is subject to credit market volatility. We are currently funding our customer financing activity through a combination of cash generated from operations, cash on hand, capital market offerings, other borrowings and, to a lesser degree, third-party funding arrangements. Our ability to continue to offer customer financing and be successful in the placement of equipment with customers is largely dependent on our ability to obtain funding at a reasonable cost. If we are unable to continue to offer customer financing, it could materially adversely affect our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Our significant debt could adversely affect our financial health and pose challenges for conducting our business.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have and will continue to have a significant amount of debt and other obligations, primarily to support our customer financing activities. As of December 31, 2009, we had $9.3 billion of total debt and a $649 million liability to a subsidiary trust issuing preferred securities. The total value of finance assets, shown on the balance sheet as Finance receivables and On-lease equipment, was $7.6 billion at December 31, 2009. The total cash and cash equivalents was $3.8 billion at December 31, 2009. Our total debt and cash at December 31, 2009 reflects the $2.0 billion Senior Notes issued in December 2009 which were used to fund the acquisition of ACS in February 2010. Our substantial debt and other obligations could have important consequences. For example, it could (i) increase our vulnerability to general adverse economic and industry conditions; (ii) limit our ability to obtain additional financing for future working capital, capital expenditures, acquisitions and other general corporate requirements;</w:t>
      </w:r>
    </w:p>
    <w:p>
      <w:pPr>
        <w:spacing w:after="0" w:line="1" w:lineRule="exact"/>
        <w:rPr>
          <w:sz w:val="20"/>
          <w:szCs w:val="20"/>
          <w:color w:val="auto"/>
        </w:rPr>
      </w:pPr>
    </w:p>
    <w:p>
      <w:pPr>
        <w:ind w:right="200" w:firstLine="8"/>
        <w:spacing w:after="0" w:line="264" w:lineRule="auto"/>
        <w:tabs>
          <w:tab w:leader="none" w:pos="2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 our vulnerability to interest rate fluctuations because a portion of our debt has variable interest rates; (iv) require us to dedicate a substantial portion of our cash flows from operations to service debt and other obligations thereby reducing the availability of our cash flows from operations for other purposes; (v) limit our flexibility in planning for, or reacting to, changes in our business and the industry in which we operate;</w:t>
      </w:r>
    </w:p>
    <w:p>
      <w:pPr>
        <w:ind w:right="160" w:firstLine="8"/>
        <w:spacing w:after="0" w:line="239" w:lineRule="auto"/>
        <w:tabs>
          <w:tab w:leader="none" w:pos="2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 (vii) become due and payable upon a change in control. If new debt is added to our current debt levels, these related risks could increase.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i w:val="1"/>
          <w:iCs w:val="1"/>
          <w:color w:val="1269BC"/>
        </w:rPr>
        <w:t>We need to maintain adequate liquidity in order to have sufficient cash to meet operating cash flow requirements, repay maturing debt and meet other financial obligations, such as payment of dividends to the extent declared by our Board of Directors. If we fail to comply with the covenants contained in our various borrowing agreements, it may adversely affect our liquidity, results of operations and financial condition.</w:t>
      </w:r>
    </w:p>
    <w:p>
      <w:pPr>
        <w:spacing w:after="0" w:line="15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liquidity is a function of our ability to successfully generate cash flows from a combination of efficient operations and improvement therein, access to capital markets, securitizations, funding from third parties and borrowings secured by our finance receivables portfolios. As of December 31, 2009, total cash and cash equivalents was $3.8 billion, and our borrowing capacity under our Credit Facility was $2.0 billion, reflecting no outstanding borrowings or letters of credit. Cash and cash equivalents at December 31, 2009 included net proceeds from the $2.0 billion Senior Notes issued in December 2009 which were used to fund the acquisition of ACS in February 2010. We believe our liquidity (including operating and other cash flows that we expect to generate) will be sufficient to meet operating requirements as they occur; however, our ability to maintain sufficient liquidity going forward depends on our ability to generate cash from operations and access to the capital markets, secured borrowings, securitizations and funding from third parties, all of which are subject to general economic, financial, competitive, legislative, regulatory and other market factors that are beyond our control.</w:t>
      </w:r>
    </w:p>
    <w:p>
      <w:pPr>
        <w:spacing w:after="0" w:line="161"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Credit Facility contains affirmative and negative covenants including limitations on: (i) liens of Xerox and certain of our subsidiaries securing debt; (ii) certain fundamental changes to corporate structure; (iii) changes in nature of business and (iv) limitations on debt incurred by certain subsidiaries. The Credit Facility contains financial maintenance covenants, including maximum leverage (debt for borrowed money divided by consolidated EBITDA, as defined) and a minimum interest coverage ratio (consolidated EBITDA divided by consolidated interest expense, as defined). The indentures governing our outstanding senior notes contain affirmative and negative covenants including limitations on: issuance of secured debt and preferred stock; investments and acquisitions; mergers; certain transactions with affiliates; creation of liens; asset transfers; hedging transactions; payment of dividends and certain other payments. They do not, however, contain any financial maintenance covenants, except the fixed charge coverage ratio applicable to certain types of payments. Some of the covenants under our senior notes are suspended while we are rated investment grade.</w:t>
      </w:r>
    </w:p>
    <w:p>
      <w:pPr>
        <w:spacing w:after="0" w:line="16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At December 31, 2009, we were in full compliance with the covenants and other provisions of the Credit Facility and the senior notes. Failure to comply with material provisions of or covenants in the Credit Facility or the senior notes could have a material adverse effect on our liquidity, results of operations and financial condition.</w:t>
      </w:r>
    </w:p>
    <w:p>
      <w:pPr>
        <w:spacing w:after="0" w:line="13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1269BC"/>
        </w:rPr>
        <w:t>We need to successfully execute the transition of Affiliated Computer Services, Inc. in order to realize all of the anticipated benefits from the transaction.</w:t>
      </w:r>
    </w:p>
    <w:p>
      <w:pPr>
        <w:spacing w:after="0" w:line="1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ability to realize the anticipated benefits of the Affiliated Computer Services, Inc. (“ACS”) acquisition is subject to certain risks including, but not limited to, the risks that: the future business operations of ACS will not be successful; customer retention, cost synergies and revenue expansion goals for the ACS transaction will not be met; and disruptions from the ACS transaction will harm relationships with customers, employees and suppliers.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Our business, results of operations and financial condition may be negatively impacted by legal and regulatory matters.</w:t>
      </w:r>
    </w:p>
    <w:p>
      <w:pPr>
        <w:spacing w:after="0" w:line="17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various contingent liabilities that are not reflected on our balance sheet, including those arising as a result of being involved in a variety of claims, lawsuits, investigations and proceedings concerning securities law, intellectual property law, environmental law, employment law and the Employee Retirement Income Security Act (“ERISA”), as discussed in the “Contingencies” note in the Consolidated Financial Statements. Should developments in any of these matters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15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operations and our products are subject to environmental regulations in each of the jurisdictions in which we conduct our business and sell our products. Some of our manufacturing operations use, and some of our products contain, substances that are regulated in various jurisdictions. For example, various countries and jurisdictions have adopted or are expected to adopt restrictions on the types and amounts of chemicals that may be present in electronic equipment or other items that we use or sell. If we do not comply with applicable rules and regulations in connection with the use of such substances and the sale of products containing such substances, then we could be subject to liability and could be prohibited from selling our products, which could have a material adverse effect on our results of operations and financial condition. Further, various countries and jurisdictions have adopted or are expected to adopt, programs that make producers of electrical goods, including computers and printers, responsible for certain labeling, collection, recycling, treatment and disposal of these recovered products. If we are unable to collect, recycle, treat and dispose of our products in a cost-effective manner and in accordance with applicable requirements, it could materially adversely affect our results of operations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and financial condition. Other potentially relevant initiatives throughout the world include proposals for more extensive chemical registration requirements and/or possible bans on the use of certain chemicals, various efforts to limit energy use in products, and other environmentally related programs impacting products and operations, such as those associated with climate change accords, agreements and regulations. For example, the European Union’s Energy-Using Products Directive (“EUP”) is expected to lead to the adoption of “implementing measures” intended to require certain classes of products to achieve certain design and/or performance standards, in connection with energy use and potentially other environmental parameters and impacts. It is possible that some or all of our products may be required to comply with EUP implementing measures. Another example is the European Union “REACH” Regulation (Registration, Evaluation, Authorization and Restriction of Chemicals), a broad initiative that will require parties throughout the supply chain to register, assess and disclose information regarding many chemicals in their products. Depending on the types, applications, forms and uses of chemical substances in various products, REACH could lead to restrictions and/or bans on certain chemical usage. Xerox continues its efforts toward monitoring and evaluating the applicability of these and numerous other regulatory initiatives in an effort to develop compliance strategies. As these and similar initiatives and programs become regulatory requirements throughout the world and/or are adopted as public or private procurement requirements, we must comply or potentially face market access limitations that could have a material adverse affect on our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Our ability to recover capital investments in connection with our contracts is subject to risk.</w:t>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order to attract and retain large outsourcing contracts, we sometimes make significant capital investments to perform our services under the contract, such as purchases of information technology equipment and costs incurred to develop and implement software. The net book value of such assets recorded, including a portion of our intangible assets, could be impaired, and our earnings and cash flow could be materially adversely affected in the event of the early termination of all or a part of such a contract or the reduction in volumes and services thereunder for reasons such as, among other things, a customer’s or client’s merger or acquisition, divestiture of assets or businesses, business failure or deterioration, or a customer’s or client’s exercise of contract termination rights.</w:t>
      </w:r>
    </w:p>
    <w:p>
      <w:pPr>
        <w:spacing w:after="0" w:line="13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1269BC"/>
        </w:rPr>
        <w:t>We rely to a significant extent on third party providers, such as subcontractors, a relatively small number of primary software vendors, utility providers and network providers, and could be materially adversely affected if they cannot deliver or perform as expected or if our relationships with them are terminated or otherwise change.</w:t>
      </w:r>
    </w:p>
    <w:p>
      <w:pPr>
        <w:spacing w:after="0" w:line="14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ability to service our customers and clients and deliver and implement solutions depends to a large extent on third party providers such as subcontractors, a relatively small number of primary software vendors and utility providers and network providers meeting their obligations to us and our expectations in a timely, quality manner. Our business, revenues, profitability and cash flows could be materially and adversely affected and we might incur significant additional liabilities if these third party providers do not meet these obligations or our expectations or if they terminate or refuse to renew their relationships with us or were to offer their products to us with less advantageous prices and other terms than we previously had. In addition, a number of our facilities are located in jurisdictions outside of the United States where the provision of utility services, including electricity and water, may not be consistently reliable and, while there are backup systems in many of our operating facilities, an extended outage of utility or network services could have a material adverse effect on our operations, revenues, cash flow and profitability.</w:t>
      </w:r>
    </w:p>
    <w:p>
      <w:pPr>
        <w:spacing w:after="0" w:line="11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1269BC"/>
        </w:rPr>
        <w:t>Our government contracts are subject to termination rights, audits and investigations, which, if exercised, could negatively impact our reputation and reduce our ability to compete for new contracts.</w:t>
      </w:r>
    </w:p>
    <w:p>
      <w:pPr>
        <w:spacing w:after="0" w:line="135"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A significant portion of our revenues are derived from contracts with U.S. federal, state and local governments and their agencies, as well as international governments and their agencies. Governments and their agencies may have the right to terminate many of these contracts at any time without cause. These contracts, upon their expiration or termination, are typically subject to a bidding process in which Xerox may not be successful. Also, our contracts with governmental entities are generally subject to the approval of annual appropriations by the United States Congress or other legislative/governing bodies to fund the expenditures of the governmental entities under those contracts. Additionally, government contracts are generally subject to audits and investigations by government agencies. If the government finds that we improperly charged any costs to a contract, the costs are not reimbursable or, if already reimbursed, the cost must be refunded to the government. If the government discovers improper or illegal activities in the course of audits or investigations, we may be subject to various civil and criminal penalties and administrative sanctions, which may include termination of contracts, forfeiture of profits, suspension of payments, fines and suspensions or debarment from doing business with the government. Any resulting penalties or sanctions could have a material adverse effect on our business, financial condition, results of operations and cash flows. Further, the negative publicity that arises from findings in such audits, investigations or the penalties or sanctions therefore could have an adverse effect on our reputation in the industry and reduce our ability to compete for new contracts and may also have a material adverse effect on our business, financial condition, results of operations and cash flow.</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1269BC"/>
        </w:rPr>
        <w:t>We are subject to United States and foreign jurisdiction laws relating to individually identifiable information, and failure to comply with those laws, whether or not inadvertent, could subject us to legal actions and negatively impact our operations.</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process, transmit and store information relating to identifiable individuals, both in our role as a service provider and as an employer. As a result, we are subject to numerous United States (both federal and state) and foreign jurisdiction laws and regulations designed to protect individually identifiable information, including social security numbers, financial and health information. For example, in 1996, Congress passed the Health Insurance Portability and Accountability Act and as required therein, the Department of Health and Human Services established regulations governing, among other things, the privacy, security and electronic transmission of individually identifiable health information. We have taken measures to comply with each of those regulations on or before the required dates. Another example is the European Union Directive on Data Protection, entitled “Directive 95/46/EC of the European Parliament and of the Council of 24 October 1995 on the protection of individuals with regard to the processing of personal data and on the free movement of such data.” We have also taken steps to address the requirements of that Directive. Other United States (both federal and state) and foreign jurisdiction laws apply to the processing of individually identifiable information as well and additional legislation may be enacted at any time. Failure to comply with these types of laws may subject us to, among other things, liability for monetary damages, fines and/or criminal prosecution, unfavorable publicity, restrictions on our ability to process information and allegations by our customers and clients that we have not performed our contractual obligations, any of which may have a material adverse effect on our profitability and cash flow.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We are subject to breach of our security systems.</w:t>
      </w:r>
    </w:p>
    <w:p>
      <w:pPr>
        <w:spacing w:after="0" w:line="17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have implemented security systems with the intent of maintaining the physical security of our facilities and protecting our, our customers’ and clients’ and our suppliers’ confidential information and information related to identifiable individuals against unauthorized access through our information systems or by other electronic transmission or through the misdirection, theft or loss of physical media. These include, for example, the appropriate encryption of information. Despite such efforts, we are subject to breach of security systems which may result in unauthorized access to our facilities and/or the information we are trying to protect. If unauthorized parties gain physical access to one of our facilities or electronic access to our information systems or such information is misdirected, lost or stolen during transmission or transport, any theft or misuse of such information could result in, among other things, unfavorable publicity, governmental inquiry and oversight, difficulty in marketing our services, allegations by our customers and clients that we have not performed our contractual obligations, litigation by affected parties and possible financial obligations for damages related to the theft or misuse of such information, any of which could have a material adverse effect on our profitability and cash flow.</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1B. UNRESOLVED STAFF COMMENTS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1269BC"/>
        </w:rPr>
        <w:t>ITEM 2.</w:t>
      </w:r>
      <w:r>
        <w:rPr>
          <w:sz w:val="20"/>
          <w:szCs w:val="20"/>
          <w:color w:val="auto"/>
        </w:rPr>
        <w:tab/>
      </w:r>
      <w:r>
        <w:rPr>
          <w:rFonts w:ascii="Arial" w:cs="Arial" w:eastAsia="Arial" w:hAnsi="Arial"/>
          <w:sz w:val="21"/>
          <w:szCs w:val="21"/>
          <w:b w:val="1"/>
          <w:bCs w:val="1"/>
          <w:color w:val="1269BC"/>
        </w:rPr>
        <w:t>PROPERTIES</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own several manufacturing, engineering and research facilities and lease other facilities. Our principal manufacturing and engineering facilities, located in New York, California, Oklahoma, Canada, U.K., Ireland and the Netherlands, are used jointly by the Production and Office Segments. We own an additional facility located in Oregon that is used by the Office Segment. Our principal research facilities are located in California, New York, Canada, France and the U.K. The research activities in our principal research centers benefit all of our operating segments.</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we have implemented our restructuring programs, (refer to Note 9—Restructuring and Asset Impairment Charges in the Consolidated Financial Statements of our Annual Report, incorporated by reference), several leased and owned properties became surplus. As of December 31, 2009, the surplus portions of our Dundalk, Ireland and Oklahoma City, OK manufacturing plants are still being marketed for sale. We are obligated to maintain our leased surplus properties through required contractual periods. With respect to United States properties, as of December 31, 2009, we are marketing 17 surplus leased facilities totaling 538,940 square feet.</w:t>
      </w:r>
    </w:p>
    <w:p>
      <w:pPr>
        <w:spacing w:after="0" w:line="15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2002, we entered into a joint venture (“Xerox Capital Services”) with General Electric to manage our administrative billing, credit and collection functions. In 2009, 460 Xerox Capital Service Employees transferred to Xerox and the amount of space licensed to Xerox Capital Services was reduced from 292,814 square feet to 195,801 square feet. Our three principal Xerox Capital Services administrative facilities are located in Texas, Illinois and New York.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also own or lease numerous facilities globally, which house general offices, sales offices, service locations and distribution centers. It is our opinion that our properties have been well maintained, are in sound operating condition and contain all the necessary equipment and facilities to perform their functions. We believe that our current facilities are suitable and adequate for our current business.</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February 2010, we acquired Affiliated Computer Services, Inc. (“ACS”). As a result of our acquisition of ACS, our real estate portfolio has increased by 334 locations in the United States including an owned facility in Dallas, Texas. We also added 106 locations in 28 other countries. In addition, we have employees in client-owned locations. We have added approximately 1.1 million square feet of owned real estate and 9 million square feet of leased space. The leases have terms through 2021 and we do not anticipate any significant difficulty in obtaining lease renewals or alternate space. ACS’s headquarter is located in Dallas, Texas at an owned facility of approximately 630,000 square feet, which also houses a host data center and other operations. We are reviewing our consolidated Xerox and ACS real estate portfolio for consolidation and reduction opportunities.</w:t>
      </w: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1269BC"/>
        </w:rPr>
        <w:t>ITEM 3.</w:t>
      </w:r>
      <w:r>
        <w:rPr>
          <w:sz w:val="20"/>
          <w:szCs w:val="20"/>
          <w:color w:val="auto"/>
        </w:rPr>
        <w:tab/>
      </w:r>
      <w:r>
        <w:rPr>
          <w:rFonts w:ascii="Arial" w:cs="Arial" w:eastAsia="Arial" w:hAnsi="Arial"/>
          <w:sz w:val="21"/>
          <w:szCs w:val="21"/>
          <w:b w:val="1"/>
          <w:bCs w:val="1"/>
          <w:color w:val="1269BC"/>
        </w:rPr>
        <w:t>LEGAL PROCEEDINGS</w:t>
      </w:r>
    </w:p>
    <w:p>
      <w:pPr>
        <w:spacing w:after="0" w:line="10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information set forth under the “Contingencies” note in the Consolidated Financial Statements, of the Xerox Corporation 2009 Annual Report is hereby incorporated by reference.</w:t>
      </w: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1269BC"/>
        </w:rPr>
        <w:t>ITEM 4.</w:t>
      </w:r>
      <w:r>
        <w:rPr>
          <w:sz w:val="20"/>
          <w:szCs w:val="20"/>
          <w:color w:val="auto"/>
        </w:rPr>
        <w:tab/>
      </w:r>
      <w:r>
        <w:rPr>
          <w:rFonts w:ascii="Arial" w:cs="Arial" w:eastAsia="Arial" w:hAnsi="Arial"/>
          <w:sz w:val="21"/>
          <w:szCs w:val="21"/>
          <w:b w:val="1"/>
          <w:bCs w:val="1"/>
          <w:color w:val="1269BC"/>
        </w:rPr>
        <w:t>SUBMISSION OF MATTERS TO A VOTE OF SECURITY 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2"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PART II</w:t>
      </w:r>
    </w:p>
    <w:p>
      <w:pPr>
        <w:spacing w:after="0" w:line="90" w:lineRule="exact"/>
        <w:rPr>
          <w:sz w:val="20"/>
          <w:szCs w:val="20"/>
          <w:color w:val="auto"/>
        </w:rPr>
      </w:pPr>
    </w:p>
    <w:p>
      <w:pPr>
        <w:ind w:left="1040" w:right="380" w:hanging="1025"/>
        <w:spacing w:after="0" w:line="261" w:lineRule="auto"/>
        <w:tabs>
          <w:tab w:leader="none" w:pos="1020" w:val="left"/>
        </w:tabs>
        <w:rPr>
          <w:sz w:val="20"/>
          <w:szCs w:val="20"/>
          <w:color w:val="auto"/>
        </w:rPr>
      </w:pPr>
      <w:r>
        <w:rPr>
          <w:rFonts w:ascii="Arial" w:cs="Arial" w:eastAsia="Arial" w:hAnsi="Arial"/>
          <w:sz w:val="22"/>
          <w:szCs w:val="22"/>
          <w:b w:val="1"/>
          <w:bCs w:val="1"/>
          <w:color w:val="1269BC"/>
        </w:rPr>
        <w:t>ITEM 5.</w:t>
        <w:tab/>
        <w:t>MARKET FOR THE REGISTRANT’S COMMON EQUITY, RELATED STOCKHOLDER MATTERS AND ISSUER PURCHASES OF EQUITY SECURITIES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(a)  Market Information, Holders and Dividends</w:t>
      </w:r>
    </w:p>
    <w:p>
      <w:pPr>
        <w:spacing w:after="0" w:line="107" w:lineRule="exact"/>
        <w:rPr>
          <w:sz w:val="20"/>
          <w:szCs w:val="20"/>
          <w:color w:val="auto"/>
        </w:rPr>
      </w:pPr>
    </w:p>
    <w:p>
      <w:pPr>
        <w:ind w:left="460" w:right="160"/>
        <w:spacing w:after="0" w:line="239" w:lineRule="auto"/>
        <w:rPr>
          <w:sz w:val="20"/>
          <w:szCs w:val="20"/>
          <w:color w:val="auto"/>
        </w:rPr>
      </w:pPr>
      <w:r>
        <w:rPr>
          <w:rFonts w:ascii="Arial" w:cs="Arial" w:eastAsia="Arial" w:hAnsi="Arial"/>
          <w:sz w:val="18"/>
          <w:szCs w:val="18"/>
          <w:color w:val="auto"/>
        </w:rPr>
        <w:t>The information set forth under the following captions of the Xerox Corporation 2009 Annual Report to Shareholders is hereby incorporated by reference:</w:t>
      </w:r>
    </w:p>
    <w:p>
      <w:pPr>
        <w:spacing w:after="0" w:line="7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Stock Listed and Traded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Xerox Common Stock Prices and Dividends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Five Years in Review – Common Shareholders of Record at Year-End</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(b)  Sales of Unregistered Securities During the Quarter ended December 31, 2009</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quarter ended December 31, 2009, Registrant issued the following securities in transactions that were not registered under the</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Act of 1933, as amended (the “Act”):</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1269BC"/>
        </w:rPr>
        <w:t>Dividend Equivalents:</w:t>
      </w:r>
    </w:p>
    <w:p>
      <w:pPr>
        <w:spacing w:after="0" w:line="99" w:lineRule="exact"/>
        <w:rPr>
          <w:sz w:val="20"/>
          <w:szCs w:val="20"/>
          <w:color w:val="auto"/>
        </w:rPr>
      </w:pPr>
    </w:p>
    <w:p>
      <w:pPr>
        <w:ind w:left="900" w:right="20" w:hanging="446"/>
        <w:spacing w:after="0" w:line="23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issued on October 31, 2009: Registrant issued 1,822 deferred stock units (“DSU”), representing the right to receive shares of Common Stock, par value $1 per share, at a future date.</w:t>
      </w:r>
    </w:p>
    <w:p>
      <w:pPr>
        <w:spacing w:after="0" w:line="73" w:lineRule="exact"/>
        <w:rPr>
          <w:rFonts w:ascii="Arial" w:cs="Arial" w:eastAsia="Arial" w:hAnsi="Arial"/>
          <w:sz w:val="18"/>
          <w:szCs w:val="18"/>
          <w:color w:val="auto"/>
        </w:rPr>
      </w:pPr>
    </w:p>
    <w:p>
      <w:pPr>
        <w:jc w:val="both"/>
        <w:ind w:left="900" w:right="240" w:hanging="446"/>
        <w:spacing w:after="0" w:line="23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underwriters participated. The shares were issued to each of the non-employee Directors of Registrant: Glenn A. Britt, Richard J. Harrington, William Curt Hunter, Robert A. McDonald, N. J. Nicholas, Jr., Charles Prince, Ann N. Reese and Mary Agnes Wilderotter and to a retired Director, Vernon E. Jordan, Jr.</w:t>
      </w:r>
    </w:p>
    <w:p>
      <w:pPr>
        <w:spacing w:after="0" w:line="72" w:lineRule="exact"/>
        <w:rPr>
          <w:rFonts w:ascii="Arial" w:cs="Arial" w:eastAsia="Arial" w:hAnsi="Arial"/>
          <w:sz w:val="18"/>
          <w:szCs w:val="18"/>
          <w:color w:val="auto"/>
        </w:rPr>
      </w:pPr>
    </w:p>
    <w:p>
      <w:pPr>
        <w:jc w:val="both"/>
        <w:ind w:left="900" w:right="100" w:hanging="446"/>
        <w:spacing w:after="0" w:line="23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DSUs were issued at a deemed purchase price of $7.90 per DSU (aggregate price $14,394), based upon the market value of our Common Stock on the date of record, in payment of the dividend equivalents due to DSU holders pursuant to Registrant’s 2004 Equity Compensation Plan for Non-Employee Directors.</w:t>
      </w:r>
    </w:p>
    <w:p>
      <w:pPr>
        <w:spacing w:after="0" w:line="72"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Exemption from registration under the Act was claimed based upon Section 4(2) as a sale by an issuer not involving a public offering.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460" w:right="60" w:hanging="452"/>
        <w:spacing w:after="0" w:line="261" w:lineRule="auto"/>
        <w:tabs>
          <w:tab w:leader="none" w:pos="460" w:val="left"/>
        </w:tabs>
        <w:numPr>
          <w:ilvl w:val="0"/>
          <w:numId w:val="23"/>
        </w:numPr>
        <w:rPr>
          <w:rFonts w:ascii="Arial" w:cs="Arial" w:eastAsia="Arial" w:hAnsi="Arial"/>
          <w:sz w:val="22"/>
          <w:szCs w:val="22"/>
          <w:b w:val="1"/>
          <w:bCs w:val="1"/>
          <w:color w:val="1269BC"/>
        </w:rPr>
      </w:pPr>
      <w:r>
        <w:rPr>
          <w:rFonts w:ascii="Arial" w:cs="Arial" w:eastAsia="Arial" w:hAnsi="Arial"/>
          <w:sz w:val="22"/>
          <w:szCs w:val="22"/>
          <w:b w:val="1"/>
          <w:bCs w:val="1"/>
          <w:color w:val="1269BC"/>
        </w:rPr>
        <w:t>Issuer Purchases of Equity Securities during the Quarter ended December 31, 2009 Repurchases of Xerox Common Stock, par value $1.00 per Share</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1269BC"/>
        </w:rPr>
        <w:t>Board Authorized Share Repurchase Programs: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purchase Common stock during the fourth quarter 2009.</w:t>
      </w:r>
    </w:p>
    <w:p>
      <w:pPr>
        <w:spacing w:after="0" w:line="77" w:lineRule="exact"/>
        <w:rPr>
          <w:sz w:val="20"/>
          <w:szCs w:val="20"/>
          <w:color w:val="auto"/>
        </w:rPr>
      </w:pPr>
    </w:p>
    <w:p>
      <w:pPr>
        <w:ind w:left="460"/>
        <w:spacing w:after="0" w:line="237" w:lineRule="auto"/>
        <w:rPr>
          <w:sz w:val="20"/>
          <w:szCs w:val="20"/>
          <w:color w:val="auto"/>
        </w:rPr>
      </w:pPr>
      <w:r>
        <w:rPr>
          <w:rFonts w:ascii="Arial" w:cs="Arial" w:eastAsia="Arial" w:hAnsi="Arial"/>
          <w:sz w:val="18"/>
          <w:szCs w:val="18"/>
          <w:color w:val="auto"/>
        </w:rPr>
        <w:t>Of the cumulative $4.5 billion of share repurchase authority previously granted by our Board of Directors, exclusive of fees and expenses, approximately $2.9 billion has been used through December 31, 2009. Repurchases may be made on the open market, or through derivative or negotiated transactions. Open-market repurchases will be made in compliance with the SEC’s Rule 10b-18, and are subject to market conditions, as well as applicable legal and other considerations.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1269BC"/>
        </w:rPr>
        <w:t xml:space="preserve">Repurchases Related to Stock Compensation Programs </w:t>
      </w:r>
      <w:r>
        <w:rPr>
          <w:rFonts w:ascii="Arial" w:cs="Arial" w:eastAsia="Arial" w:hAnsi="Arial"/>
          <w:sz w:val="11"/>
          <w:szCs w:val="11"/>
          <w:b w:val="1"/>
          <w:bCs w:val="1"/>
          <w:color w:val="1269BC"/>
        </w:rPr>
        <w:t>(1)</w:t>
      </w:r>
      <w:r>
        <w:rPr>
          <w:rFonts w:ascii="Arial" w:cs="Arial" w:eastAsia="Arial" w:hAnsi="Arial"/>
          <w:sz w:val="18"/>
          <w:szCs w:val="18"/>
          <w:b w:val="1"/>
          <w:bCs w:val="1"/>
          <w:color w:val="1269BC"/>
        </w:rPr>
        <w:t>:</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(or</w:t>
            </w:r>
          </w:p>
        </w:tc>
      </w:tr>
      <w:tr>
        <w:trPr>
          <w:trHeight w:val="149"/>
        </w:trPr>
        <w:tc>
          <w:tcPr>
            <w:tcW w:w="3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Approximate Dollar</w:t>
            </w:r>
          </w:p>
        </w:tc>
      </w:tr>
      <w:tr>
        <w:trPr>
          <w:trHeight w:val="149"/>
        </w:trPr>
        <w:tc>
          <w:tcPr>
            <w:tcW w:w="3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 Shares</w:t>
            </w:r>
          </w:p>
        </w:tc>
        <w:tc>
          <w:tcPr>
            <w:tcW w:w="6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 of Shares That</w:t>
            </w:r>
          </w:p>
        </w:tc>
      </w:tr>
      <w:tr>
        <w:trPr>
          <w:trHeight w:val="149"/>
        </w:trPr>
        <w:tc>
          <w:tcPr>
            <w:tcW w:w="3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Purchased as Part of</w:t>
            </w:r>
          </w:p>
        </w:tc>
        <w:tc>
          <w:tcPr>
            <w:tcW w:w="6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r>
      <w:tr>
        <w:trPr>
          <w:trHeight w:val="138"/>
        </w:trPr>
        <w:tc>
          <w:tcPr>
            <w:tcW w:w="3140" w:type="dxa"/>
            <w:vAlign w:val="bottom"/>
          </w:tcPr>
          <w:p>
            <w:pPr>
              <w:spacing w:after="0"/>
              <w:rPr>
                <w:sz w:val="12"/>
                <w:szCs w:val="12"/>
                <w:color w:val="auto"/>
              </w:rPr>
            </w:pPr>
          </w:p>
        </w:tc>
        <w:tc>
          <w:tcPr>
            <w:tcW w:w="1860" w:type="dxa"/>
            <w:vAlign w:val="bottom"/>
            <w:gridSpan w:val="3"/>
          </w:tcPr>
          <w:p>
            <w:pPr>
              <w:jc w:val="center"/>
              <w:ind w:right="680"/>
              <w:spacing w:after="0" w:line="139" w:lineRule="exact"/>
              <w:rPr>
                <w:sz w:val="20"/>
                <w:szCs w:val="20"/>
                <w:color w:val="auto"/>
              </w:rPr>
            </w:pPr>
            <w:r>
              <w:rPr>
                <w:rFonts w:ascii="Arial" w:cs="Arial" w:eastAsia="Arial" w:hAnsi="Arial"/>
                <w:sz w:val="14"/>
                <w:szCs w:val="14"/>
                <w:b w:val="1"/>
                <w:bCs w:val="1"/>
                <w:color w:val="auto"/>
                <w:w w:val="94"/>
              </w:rPr>
              <w:t>Total Number of</w:t>
            </w:r>
          </w:p>
        </w:tc>
        <w:tc>
          <w:tcPr>
            <w:tcW w:w="190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Average Price Paid</w:t>
            </w:r>
          </w:p>
        </w:tc>
        <w:tc>
          <w:tcPr>
            <w:tcW w:w="15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Publicly Announced</w:t>
            </w:r>
          </w:p>
        </w:tc>
        <w:tc>
          <w:tcPr>
            <w:tcW w:w="660" w:type="dxa"/>
            <w:vAlign w:val="bottom"/>
          </w:tcPr>
          <w:p>
            <w:pPr>
              <w:spacing w:after="0"/>
              <w:rPr>
                <w:sz w:val="12"/>
                <w:szCs w:val="12"/>
                <w:color w:val="auto"/>
              </w:rPr>
            </w:pPr>
          </w:p>
        </w:tc>
        <w:tc>
          <w:tcPr>
            <w:tcW w:w="14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Purchased under the</w:t>
            </w:r>
          </w:p>
        </w:tc>
      </w:tr>
      <w:tr>
        <w:trPr>
          <w:trHeight w:val="176"/>
        </w:trPr>
        <w:tc>
          <w:tcPr>
            <w:tcW w:w="3140" w:type="dxa"/>
            <w:vAlign w:val="bottom"/>
          </w:tcPr>
          <w:p>
            <w:pPr>
              <w:spacing w:after="0"/>
              <w:rPr>
                <w:sz w:val="15"/>
                <w:szCs w:val="15"/>
                <w:color w:val="auto"/>
              </w:rPr>
            </w:pPr>
          </w:p>
        </w:tc>
        <w:tc>
          <w:tcPr>
            <w:tcW w:w="18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6"/>
              </w:rPr>
              <w:t>Shares Purchased</w:t>
            </w:r>
          </w:p>
        </w:tc>
        <w:tc>
          <w:tcPr>
            <w:tcW w:w="180" w:type="dxa"/>
            <w:vAlign w:val="bottom"/>
          </w:tcPr>
          <w:p>
            <w:pPr>
              <w:spacing w:after="0"/>
              <w:rPr>
                <w:sz w:val="15"/>
                <w:szCs w:val="15"/>
                <w:color w:val="auto"/>
              </w:rPr>
            </w:pPr>
          </w:p>
        </w:tc>
        <w:tc>
          <w:tcPr>
            <w:tcW w:w="1720" w:type="dxa"/>
            <w:vAlign w:val="bottom"/>
            <w:gridSpan w:val="2"/>
          </w:tcPr>
          <w:p>
            <w:pPr>
              <w:ind w:left="60"/>
              <w:spacing w:after="0" w:line="176" w:lineRule="exact"/>
              <w:rPr>
                <w:sz w:val="20"/>
                <w:szCs w:val="20"/>
                <w:color w:val="auto"/>
              </w:rPr>
            </w:pPr>
            <w:r>
              <w:rPr>
                <w:rFonts w:ascii="Arial" w:cs="Arial" w:eastAsia="Arial" w:hAnsi="Arial"/>
                <w:sz w:val="13"/>
                <w:szCs w:val="13"/>
                <w:b w:val="1"/>
                <w:bCs w:val="1"/>
                <w:color w:val="auto"/>
              </w:rPr>
              <w:t>per Share</w:t>
            </w:r>
            <w:r>
              <w:rPr>
                <w:rFonts w:ascii="Arial" w:cs="Arial" w:eastAsia="Arial" w:hAnsi="Arial"/>
                <w:sz w:val="20"/>
                <w:szCs w:val="20"/>
                <w:b w:val="1"/>
                <w:bCs w:val="1"/>
                <w:color w:val="auto"/>
                <w:vertAlign w:val="superscript"/>
              </w:rPr>
              <w:t>(2)</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Plans or Programs</w:t>
            </w:r>
          </w:p>
        </w:tc>
        <w:tc>
          <w:tcPr>
            <w:tcW w:w="6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Plans or Programs</w:t>
            </w:r>
          </w:p>
        </w:tc>
      </w:tr>
      <w:tr>
        <w:trPr>
          <w:trHeight w:val="196"/>
        </w:trPr>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October 1 through 31</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ind w:left="599"/>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n/a</w:t>
            </w:r>
          </w:p>
        </w:tc>
        <w:tc>
          <w:tcPr>
            <w:tcW w:w="660" w:type="dxa"/>
            <w:vAlign w:val="bottom"/>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n/a</w:t>
            </w: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November 1 through 30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5,273</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7.86</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rPr>
              <w:t>n/a</w:t>
            </w:r>
          </w:p>
        </w:tc>
        <w:tc>
          <w:tcPr>
            <w:tcW w:w="6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5"/>
              </w:rPr>
              <w:t>n/a</w:t>
            </w: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1 through 31</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12,260</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8.00</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n/a</w:t>
            </w:r>
          </w:p>
        </w:tc>
        <w:tc>
          <w:tcPr>
            <w:tcW w:w="66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n/a</w:t>
            </w:r>
          </w:p>
        </w:tc>
      </w:tr>
      <w:tr>
        <w:trPr>
          <w:trHeight w:val="210"/>
        </w:trPr>
        <w:tc>
          <w:tcPr>
            <w:tcW w:w="3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17,533</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66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w:t>
            </w:r>
          </w:p>
        </w:tc>
      </w:tr>
      <w:tr>
        <w:trPr>
          <w:trHeight w:val="20"/>
        </w:trPr>
        <w:tc>
          <w:tcPr>
            <w:tcW w:w="3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65" w:lineRule="exact"/>
        <w:rPr>
          <w:sz w:val="20"/>
          <w:szCs w:val="20"/>
          <w:color w:val="auto"/>
        </w:rPr>
      </w:pPr>
    </w:p>
    <w:p>
      <w:pPr>
        <w:ind w:left="460" w:hanging="452"/>
        <w:spacing w:after="0" w:line="211"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These repurchases are made under provisions in our restricted stock compensation programs for the indirect repurchase of shares through a net-settlement feature upon the vesting of shares in order to satisfy minimum statutory tax-withholding requirements.</w:t>
      </w:r>
    </w:p>
    <w:p>
      <w:pPr>
        <w:ind w:left="460" w:hanging="452"/>
        <w:spacing w:after="0" w:line="200"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Exclusive of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(d)  Performance Graph</w:t>
      </w:r>
    </w:p>
    <w:p>
      <w:pPr>
        <w:spacing w:after="0" w:line="85"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b w:val="1"/>
          <w:bCs w:val="1"/>
          <w:color w:val="auto"/>
        </w:rPr>
        <w:t>Comparison of five-year cumulative total returns among Xerox Corporation, S&amp;P 500 Index and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83185</wp:posOffset>
            </wp:positionV>
            <wp:extent cx="5831840" cy="3627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3184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0" w:type="dxa"/>
            <w:vAlign w:val="bottom"/>
            <w:gridSpan w:val="2"/>
          </w:tcPr>
          <w:p>
            <w:pPr>
              <w:spacing w:after="0"/>
              <w:rPr>
                <w:sz w:val="20"/>
                <w:szCs w:val="20"/>
                <w:color w:val="auto"/>
              </w:rPr>
            </w:pPr>
            <w:r>
              <w:rPr>
                <w:rFonts w:ascii="Arial" w:cs="Arial" w:eastAsia="Arial" w:hAnsi="Arial"/>
                <w:sz w:val="18"/>
                <w:szCs w:val="18"/>
                <w:color w:val="auto"/>
              </w:rPr>
              <w:t>SOURCE:</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Standard &amp; Poor’s Investment Services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02"/>
        </w:trPr>
        <w:tc>
          <w:tcPr>
            <w:tcW w:w="920" w:type="dxa"/>
            <w:vAlign w:val="bottom"/>
            <w:gridSpan w:val="2"/>
          </w:tcPr>
          <w:p>
            <w:pPr>
              <w:spacing w:after="0"/>
              <w:rPr>
                <w:sz w:val="20"/>
                <w:szCs w:val="20"/>
                <w:color w:val="auto"/>
              </w:rPr>
            </w:pPr>
            <w:r>
              <w:rPr>
                <w:rFonts w:ascii="Arial" w:cs="Arial" w:eastAsia="Arial" w:hAnsi="Arial"/>
                <w:sz w:val="18"/>
                <w:szCs w:val="18"/>
                <w:color w:val="auto"/>
              </w:rPr>
              <w:t>NOTES:</w:t>
            </w:r>
          </w:p>
        </w:tc>
        <w:tc>
          <w:tcPr>
            <w:tcW w:w="10340" w:type="dxa"/>
            <w:vAlign w:val="bottom"/>
            <w:gridSpan w:val="17"/>
          </w:tcPr>
          <w:p>
            <w:pPr>
              <w:ind w:left="100"/>
              <w:spacing w:after="0"/>
              <w:rPr>
                <w:sz w:val="20"/>
                <w:szCs w:val="20"/>
                <w:color w:val="auto"/>
              </w:rPr>
            </w:pPr>
            <w:r>
              <w:rPr>
                <w:rFonts w:ascii="Arial" w:cs="Arial" w:eastAsia="Arial" w:hAnsi="Arial"/>
                <w:sz w:val="18"/>
                <w:szCs w:val="18"/>
                <w:color w:val="auto"/>
                <w:w w:val="97"/>
              </w:rPr>
              <w:t>Graph assumes $100 invested on December 31, 2004 in Xerox Corp., the S&amp;P 500 Index, and the S&amp;P 500 Information Technology</w:t>
            </w:r>
          </w:p>
        </w:tc>
      </w:tr>
      <w:tr>
        <w:trPr>
          <w:trHeight w:val="211"/>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8"/>
              </w:rPr>
              <w:t>Index respectively, and assumes dividends are reinvested.</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40"/>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Dec 2004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Dec 2005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Dec 2006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Dec 2007</w:t>
            </w:r>
          </w:p>
        </w:tc>
        <w:tc>
          <w:tcPr>
            <w:tcW w:w="30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Dec 2008</w:t>
            </w:r>
          </w:p>
        </w:tc>
        <w:tc>
          <w:tcPr>
            <w:tcW w:w="30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Dec 2009</w:t>
            </w:r>
          </w:p>
        </w:tc>
        <w:tc>
          <w:tcPr>
            <w:tcW w:w="3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1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Xerox Corporation</w:t>
            </w:r>
          </w:p>
        </w:tc>
        <w:tc>
          <w:tcPr>
            <w:tcW w:w="8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5"/>
              </w:rPr>
              <w:t>$100.00</w:t>
            </w: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$ 86.13</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$ 99.65</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$ 95.43</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$ 47.69</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$ 51.97</w:t>
            </w:r>
          </w:p>
        </w:tc>
        <w:tc>
          <w:tcPr>
            <w:tcW w:w="300" w:type="dxa"/>
            <w:vAlign w:val="bottom"/>
          </w:tcPr>
          <w:p>
            <w:pPr>
              <w:spacing w:after="0"/>
              <w:rPr>
                <w:sz w:val="17"/>
                <w:szCs w:val="17"/>
                <w:color w:val="auto"/>
              </w:rPr>
            </w:pPr>
          </w:p>
        </w:tc>
      </w:tr>
      <w:tr>
        <w:trPr>
          <w:trHeight w:val="203"/>
        </w:trPr>
        <w:tc>
          <w:tcPr>
            <w:tcW w:w="1180" w:type="dxa"/>
            <w:vAlign w:val="bottom"/>
            <w:gridSpan w:val="3"/>
          </w:tcPr>
          <w:p>
            <w:pPr>
              <w:ind w:left="460"/>
              <w:spacing w:after="0" w:line="202" w:lineRule="exact"/>
              <w:rPr>
                <w:sz w:val="20"/>
                <w:szCs w:val="20"/>
                <w:color w:val="auto"/>
              </w:rPr>
            </w:pPr>
            <w:r>
              <w:rPr>
                <w:rFonts w:ascii="Arial" w:cs="Arial" w:eastAsia="Arial" w:hAnsi="Arial"/>
                <w:sz w:val="18"/>
                <w:szCs w:val="18"/>
                <w:color w:val="auto"/>
                <w:w w:val="98"/>
              </w:rPr>
              <w:t>S&amp;P 500</w:t>
            </w:r>
          </w:p>
        </w:tc>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Index</w:t>
            </w: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100.00</w:t>
            </w:r>
          </w:p>
        </w:tc>
        <w:tc>
          <w:tcPr>
            <w:tcW w:w="9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104.91</w:t>
            </w:r>
          </w:p>
        </w:tc>
        <w:tc>
          <w:tcPr>
            <w:tcW w:w="9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121.48</w:t>
            </w:r>
          </w:p>
        </w:tc>
        <w:tc>
          <w:tcPr>
            <w:tcW w:w="11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128.16</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80.74</w:t>
            </w:r>
          </w:p>
        </w:tc>
        <w:tc>
          <w:tcPr>
            <w:tcW w:w="12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102.11</w:t>
            </w:r>
          </w:p>
        </w:tc>
      </w:tr>
      <w:tr>
        <w:trPr>
          <w:trHeight w:val="203"/>
        </w:trPr>
        <w:tc>
          <w:tcPr>
            <w:tcW w:w="460" w:type="dxa"/>
            <w:vAlign w:val="bottom"/>
          </w:tcPr>
          <w:p>
            <w:pPr>
              <w:spacing w:after="0"/>
              <w:rPr>
                <w:sz w:val="17"/>
                <w:szCs w:val="17"/>
                <w:color w:val="auto"/>
              </w:rPr>
            </w:pPr>
          </w:p>
        </w:tc>
        <w:tc>
          <w:tcPr>
            <w:tcW w:w="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8"/>
              </w:rPr>
              <w:t>S&amp;P 500</w:t>
            </w:r>
          </w:p>
        </w:tc>
        <w:tc>
          <w:tcPr>
            <w:tcW w:w="4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Information Technology Index</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100.00</w:t>
            </w:r>
          </w:p>
        </w:tc>
        <w:tc>
          <w:tcPr>
            <w:tcW w:w="9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100.99</w:t>
            </w:r>
          </w:p>
        </w:tc>
        <w:tc>
          <w:tcPr>
            <w:tcW w:w="9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109.49</w:t>
            </w:r>
          </w:p>
        </w:tc>
        <w:tc>
          <w:tcPr>
            <w:tcW w:w="11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127.35</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72.41</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117.11</w:t>
            </w:r>
          </w:p>
        </w:tc>
        <w:tc>
          <w:tcPr>
            <w:tcW w:w="300" w:type="dxa"/>
            <w:vAlign w:val="bottom"/>
          </w:tcPr>
          <w:p>
            <w:pPr>
              <w:spacing w:after="0"/>
              <w:rPr>
                <w:sz w:val="17"/>
                <w:szCs w:val="17"/>
                <w:color w:val="auto"/>
              </w:rPr>
            </w:pPr>
          </w:p>
        </w:tc>
      </w:tr>
    </w:tbl>
    <w:p>
      <w:pPr>
        <w:spacing w:after="0" w:line="165" w:lineRule="exact"/>
        <w:rPr>
          <w:sz w:val="20"/>
          <w:szCs w:val="20"/>
          <w:color w:val="auto"/>
        </w:rPr>
      </w:pPr>
    </w:p>
    <w:p>
      <w:pPr>
        <w:ind w:left="460"/>
        <w:spacing w:after="0" w:line="299" w:lineRule="auto"/>
        <w:rPr>
          <w:sz w:val="20"/>
          <w:szCs w:val="20"/>
          <w:color w:val="auto"/>
        </w:rPr>
      </w:pPr>
      <w:r>
        <w:rPr>
          <w:rFonts w:ascii="Arial" w:cs="Arial" w:eastAsia="Arial" w:hAnsi="Arial"/>
          <w:sz w:val="16"/>
          <w:szCs w:val="16"/>
          <w:color w:val="auto"/>
        </w:rPr>
        <w:t>The graph and other information furnished under this Part II Item 5(d) of this Form 10-K shall not be deemed to be ‘soliciting material’ or to be ‘filed’ with the Commission or subject to Regulation 14A or 14C, or to the liabilities of Section 18 of the Exchange Act of 1934, as amended.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SELECTED FINANCIAL DATA</w:t>
      </w:r>
    </w:p>
    <w:p>
      <w:pPr>
        <w:spacing w:after="0" w:line="10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The following selected financial data for the five years ended December 31, 2009, as set forth and included under the caption “Five Years in Review,” of the Xerox Corporation 2009 Annual Report to Shareholders, is incorporated by reference in this Form 10-K.</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w:t>
      </w:r>
    </w:p>
    <w:p>
      <w:pPr>
        <w:ind w:left="460"/>
        <w:spacing w:after="0" w:line="234" w:lineRule="auto"/>
        <w:rPr>
          <w:sz w:val="20"/>
          <w:szCs w:val="20"/>
          <w:color w:val="auto"/>
        </w:rPr>
      </w:pPr>
      <w:r>
        <w:rPr>
          <w:rFonts w:ascii="Arial" w:cs="Arial" w:eastAsia="Arial" w:hAnsi="Arial"/>
          <w:sz w:val="18"/>
          <w:szCs w:val="18"/>
          <w:color w:val="auto"/>
        </w:rPr>
        <w:t>Income from continuing operations</w:t>
      </w:r>
    </w:p>
    <w:p>
      <w:pPr>
        <w:ind w:left="460"/>
        <w:spacing w:after="0" w:line="235" w:lineRule="auto"/>
        <w:rPr>
          <w:sz w:val="20"/>
          <w:szCs w:val="20"/>
          <w:color w:val="auto"/>
        </w:rPr>
      </w:pPr>
      <w:r>
        <w:rPr>
          <w:rFonts w:ascii="Arial" w:cs="Arial" w:eastAsia="Arial" w:hAnsi="Arial"/>
          <w:sz w:val="18"/>
          <w:szCs w:val="18"/>
          <w:color w:val="auto"/>
        </w:rPr>
        <w:t>Per-Share Data:</w:t>
      </w:r>
    </w:p>
    <w:p>
      <w:pPr>
        <w:ind w:left="900"/>
        <w:spacing w:after="0" w:line="235" w:lineRule="auto"/>
        <w:rPr>
          <w:sz w:val="20"/>
          <w:szCs w:val="20"/>
          <w:color w:val="auto"/>
        </w:rPr>
      </w:pPr>
      <w:r>
        <w:rPr>
          <w:rFonts w:ascii="Arial" w:cs="Arial" w:eastAsia="Arial" w:hAnsi="Arial"/>
          <w:sz w:val="18"/>
          <w:szCs w:val="18"/>
          <w:color w:val="auto"/>
        </w:rPr>
        <w:t>Income from continuing operations - Basic and Diluted</w:t>
      </w:r>
    </w:p>
    <w:p>
      <w:pPr>
        <w:ind w:left="900"/>
        <w:spacing w:after="0" w:line="235" w:lineRule="auto"/>
        <w:rPr>
          <w:sz w:val="20"/>
          <w:szCs w:val="20"/>
          <w:color w:val="auto"/>
        </w:rPr>
      </w:pPr>
      <w:r>
        <w:rPr>
          <w:rFonts w:ascii="Arial" w:cs="Arial" w:eastAsia="Arial" w:hAnsi="Arial"/>
          <w:sz w:val="18"/>
          <w:szCs w:val="18"/>
          <w:color w:val="auto"/>
        </w:rPr>
        <w:t>Earnings - Basic and Diluted</w:t>
      </w:r>
    </w:p>
    <w:p>
      <w:pPr>
        <w:ind w:left="460"/>
        <w:spacing w:after="0" w:line="235" w:lineRule="auto"/>
        <w:rPr>
          <w:sz w:val="20"/>
          <w:szCs w:val="20"/>
          <w:color w:val="auto"/>
        </w:rPr>
      </w:pPr>
      <w:r>
        <w:rPr>
          <w:rFonts w:ascii="Arial" w:cs="Arial" w:eastAsia="Arial" w:hAnsi="Arial"/>
          <w:sz w:val="18"/>
          <w:szCs w:val="18"/>
          <w:color w:val="auto"/>
        </w:rPr>
        <w:t>Common stock dividends</w:t>
      </w:r>
    </w:p>
    <w:p>
      <w:pPr>
        <w:ind w:left="460"/>
        <w:spacing w:after="0" w:line="235" w:lineRule="auto"/>
        <w:rPr>
          <w:sz w:val="20"/>
          <w:szCs w:val="20"/>
          <w:color w:val="auto"/>
        </w:rPr>
      </w:pPr>
      <w:r>
        <w:rPr>
          <w:rFonts w:ascii="Arial" w:cs="Arial" w:eastAsia="Arial" w:hAnsi="Arial"/>
          <w:sz w:val="18"/>
          <w:szCs w:val="18"/>
          <w:color w:val="auto"/>
        </w:rPr>
        <w:t>Total Assets</w:t>
      </w:r>
    </w:p>
    <w:p>
      <w:pPr>
        <w:ind w:left="460"/>
        <w:spacing w:after="0" w:line="235" w:lineRule="auto"/>
        <w:rPr>
          <w:sz w:val="20"/>
          <w:szCs w:val="20"/>
          <w:color w:val="auto"/>
        </w:rPr>
      </w:pPr>
      <w:r>
        <w:rPr>
          <w:rFonts w:ascii="Arial" w:cs="Arial" w:eastAsia="Arial" w:hAnsi="Arial"/>
          <w:sz w:val="18"/>
          <w:szCs w:val="18"/>
          <w:color w:val="auto"/>
        </w:rPr>
        <w:t>Long-term debt</w:t>
      </w:r>
    </w:p>
    <w:p>
      <w:pPr>
        <w:ind w:left="460"/>
        <w:spacing w:after="0" w:line="235" w:lineRule="auto"/>
        <w:rPr>
          <w:sz w:val="20"/>
          <w:szCs w:val="20"/>
          <w:color w:val="auto"/>
        </w:rPr>
      </w:pPr>
      <w:r>
        <w:rPr>
          <w:rFonts w:ascii="Arial" w:cs="Arial" w:eastAsia="Arial" w:hAnsi="Arial"/>
          <w:sz w:val="18"/>
          <w:szCs w:val="18"/>
          <w:color w:val="auto"/>
        </w:rPr>
        <w:t>Liabilities to subsidiary trusts issuing preferred securities</w:t>
      </w:r>
    </w:p>
    <w:p>
      <w:pPr>
        <w:ind w:left="460"/>
        <w:spacing w:after="0"/>
        <w:rPr>
          <w:sz w:val="20"/>
          <w:szCs w:val="20"/>
          <w:color w:val="auto"/>
        </w:rPr>
      </w:pPr>
      <w:r>
        <w:rPr>
          <w:rFonts w:ascii="Arial" w:cs="Arial" w:eastAsia="Arial" w:hAnsi="Arial"/>
          <w:sz w:val="18"/>
          <w:szCs w:val="18"/>
          <w:color w:val="auto"/>
        </w:rPr>
        <w:t>Series C mandatory convertible preferred stock</w:t>
      </w:r>
    </w:p>
    <w:p>
      <w:pPr>
        <w:spacing w:after="0" w:line="244" w:lineRule="exact"/>
        <w:rPr>
          <w:sz w:val="20"/>
          <w:szCs w:val="20"/>
          <w:color w:val="auto"/>
        </w:rPr>
      </w:pPr>
    </w:p>
    <w:p>
      <w:pPr>
        <w:ind w:left="1040" w:right="720" w:hanging="1025"/>
        <w:spacing w:after="0" w:line="261" w:lineRule="auto"/>
        <w:tabs>
          <w:tab w:leader="none" w:pos="1020" w:val="left"/>
        </w:tabs>
        <w:rPr>
          <w:sz w:val="20"/>
          <w:szCs w:val="20"/>
          <w:color w:val="auto"/>
        </w:rPr>
      </w:pPr>
      <w:r>
        <w:rPr>
          <w:rFonts w:ascii="Arial" w:cs="Arial" w:eastAsia="Arial" w:hAnsi="Arial"/>
          <w:sz w:val="22"/>
          <w:szCs w:val="22"/>
          <w:b w:val="1"/>
          <w:bCs w:val="1"/>
          <w:color w:val="1269BC"/>
        </w:rPr>
        <w:t>ITEM 7.</w:t>
        <w:tab/>
        <w:t>MANAGEMENT’S DISCUSSION AND ANALYSIS OF FINANCIAL CONDITION AND RESULTS OF OPERATIONS</w:t>
      </w:r>
    </w:p>
    <w:p>
      <w:pPr>
        <w:spacing w:after="0" w:line="53"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information set forth under the caption “Management’s Discussion and Analysis of Financial Condition and Results of Operations,” of the Xerox Corporation 2009 Annual Report is hereby incorporated by reference.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7A. QUANTITATIVE AND QUALITATIVE DISCLOSURES ABOUT MARKET RISK</w:t>
      </w:r>
    </w:p>
    <w:p>
      <w:pPr>
        <w:spacing w:after="0" w:line="10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information set forth under the caption “Financial Risk Management,” in the Xerox Corporation 2009 Annual Report is hereby incorporated by reference.</w:t>
      </w: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1269BC"/>
        </w:rPr>
        <w:t>ITEM 8.</w:t>
      </w:r>
      <w:r>
        <w:rPr>
          <w:sz w:val="20"/>
          <w:szCs w:val="20"/>
          <w:color w:val="auto"/>
        </w:rPr>
        <w:tab/>
      </w:r>
      <w:r>
        <w:rPr>
          <w:rFonts w:ascii="Arial" w:cs="Arial" w:eastAsia="Arial" w:hAnsi="Arial"/>
          <w:sz w:val="21"/>
          <w:szCs w:val="21"/>
          <w:b w:val="1"/>
          <w:bCs w:val="1"/>
          <w:color w:val="1269BC"/>
        </w:rPr>
        <w:t>FINANCIAL STATEMENTS AND SUPPLEMENTARY DATA</w:t>
      </w:r>
    </w:p>
    <w:p>
      <w:pPr>
        <w:spacing w:after="0" w:line="10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The consolidated financial statements, together with the report thereon of PricewaterhouseCoopers LLP, included in the Xerox Corporation 2009 Annual Report, are incorporated by reference in this Form 10-K. With the exception of the aforementioned information and the information incorporated in Items 1, 3, 5, 6, 7, 7A and 8, the Xerox Corporation 2009 Annual Report is not to be deemed filed as part of this Form 10-K.</w:t>
      </w:r>
    </w:p>
    <w:p>
      <w:pPr>
        <w:spacing w:after="0" w:line="12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quarterly financial data included under the caption “Quarterly Results of Operations (Unaudited)” of the Xerox Corporation 2009 Annual Report is incorporated by reference in this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 schedule required herein is filed as referenced in Item 15 of this Form 10-K.</w:t>
      </w:r>
    </w:p>
    <w:p>
      <w:pPr>
        <w:spacing w:after="0" w:line="244" w:lineRule="exact"/>
        <w:rPr>
          <w:sz w:val="20"/>
          <w:szCs w:val="20"/>
          <w:color w:val="auto"/>
        </w:rPr>
      </w:pPr>
    </w:p>
    <w:p>
      <w:pPr>
        <w:ind w:left="1040" w:right="560" w:hanging="1025"/>
        <w:spacing w:after="0" w:line="261" w:lineRule="auto"/>
        <w:tabs>
          <w:tab w:leader="none" w:pos="1020" w:val="left"/>
        </w:tabs>
        <w:rPr>
          <w:sz w:val="20"/>
          <w:szCs w:val="20"/>
          <w:color w:val="auto"/>
        </w:rPr>
      </w:pPr>
      <w:r>
        <w:rPr>
          <w:rFonts w:ascii="Arial" w:cs="Arial" w:eastAsia="Arial" w:hAnsi="Arial"/>
          <w:sz w:val="22"/>
          <w:szCs w:val="22"/>
          <w:b w:val="1"/>
          <w:bCs w:val="1"/>
          <w:color w:val="1269BC"/>
        </w:rPr>
        <w:t>ITEM 9.</w:t>
        <w:tab/>
        <w:t>CHANGES IN AND DISAGREEMENTS WITH ACCOUNTANTS ON ACCOUNTING AND FINANCIAL DISCLOSURE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9A.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Management’s Responsibility for Financial Statements</w:t>
      </w:r>
    </w:p>
    <w:p>
      <w:pPr>
        <w:spacing w:after="0" w:line="10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management is responsible for the integrity and objectivity of all information presented in this annual report.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Audit Committee of the Board of Directors, which is composed solely of independent directors, meets regularly with the independent auditors,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auditors. The independent auditors and internal auditors have access to the Audit Committee.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Disclosure Controls and Procedures</w:t>
      </w:r>
    </w:p>
    <w:p>
      <w:pPr>
        <w:spacing w:after="0" w:line="10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have established disclosure controls and procedures to ensure that material information relating to the Company, including its consolidated subsidiaries, is made known to the officers who certify the Company’s financial reports and to other members of senior management and the Board of Directors. Based on their evaluation as of December 31, 2009, our principal executive officer and principal financial officer have concluded that the Company’s disclosure controls and procedures (as defined in Rules 13a-15(e) and 15d-15(e) under the Securities Exchange Act of 1934) were effective to ensure that the information required to be disclosed by the Company in the reports that it files or submits under the Securities Exchange Act of 1934 is recorded, processed, summarized and reported within the time periods specified in the Securities and Exchange Commission’s rules and forms and was accumulated and communicated to the Company’s Management, including the principal executive officer and principal financial officer, or persons performing similar functions, as appropriate to allow timely decisions regarding required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Management’s Report on Internal Control over Financial Reporting</w:t>
      </w:r>
    </w:p>
    <w:p>
      <w:pPr>
        <w:spacing w:after="0" w:line="10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the rules promulgated under the Securities Exchange Act of 1934. Under the supervision and with the participation of our management, including our principal executive, financial and accounting officers, we have conducted an evaluation of the effectiveness of our internal control over financial reporting based on the framework in “Internal Control - Integrated Framework” issued by the Committee of Sponsoring Organizations of the Treadway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Based on the above evaluation, management concluded that our internal control over financial reporting was effective as of December 31, 2009.</w:t>
      </w:r>
    </w:p>
    <w:p>
      <w:pPr>
        <w:spacing w:after="0" w:line="18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effectiveness of our internal control over financial reporting as of December 31, 2009 has been audited by PricewaterhouseCoopers LLP, an independent registered public accounting firm, as stated in their report which appears in our 2009 Annual Report to Shareholders which is incorporated by reference in this Form 10-K.</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Changes in Internal Control over Financial Reporting</w:t>
      </w:r>
    </w:p>
    <w:p>
      <w:pPr>
        <w:spacing w:after="0" w:line="107"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In connection with the evaluation required by paragraph (d) of Rule 13a-15 under the Exchange Act, there was no change identified in our internal control over financial reporting that occurred during the last fiscal quarter that has materially affected, or is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9B. OTHER INFORMATION</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February 25, 2010, the Compensation Committee of the Board of Directors of the Company took the following actions: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2009 and 2010 Annual Performance Incentive Plan (“APIP”)</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Compensation Committee approved the payments of cash awards under the Xerox 2004 Performance Incentive Plan (“2004 PIP”), as amended, for the second half of 2009 APIP. The Compensation Committee had previously approved the awards for the first half of 2009 at its July 2009 meeting. The measures on which awards are based for the second half of 2009 are set out on Exhibit 10(e)(19) attached hereto. The Compensation Committee approved the payment of cash awards for both the first half and second half of 2009 under the 2004 PIP to Ursula M. Burns, Chief Executive Officer; Anne M. Mulcahy, Chairman of the Board; Lawrence A. Zimmerman, Vice Chairman and Chief Financial Officer; and certain other officers, including James A. Firestone and Jean-Noel Machon, our next two most highly compensated executive officers for fiscal year 2009 (collectively, the “Named Executive Officers”). The Compensation Committee approved a second half 2009 cash award of $1,181,250 to Ms. Burns, $1,093,750 to Mrs. Mulcahy, $624,750 to Mr. Zimmerman, $624,750 to Mr. Firestone, and $491,417 to Mr. Machon. These awards, combined with previously approved cash awards for the first half of 2009, result in combined cash awards of $1,884,375 to Ms. Burns, $2,331,250 to Mrs. Mulcahy, $1,071,000 to Mr. Zimmerman, $1,071,000 to Mr. Firestone, and $842,428 to Mr. Machon for full fiscal 2009.</w:t>
      </w:r>
    </w:p>
    <w:p>
      <w:pPr>
        <w:spacing w:after="0" w:line="133"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The Compensation Committee approved the measures for APIP awards for fiscal year 2010, which are set out on Exhibit 10(e)(20) attached hereto.</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Base Salary</w:t>
      </w:r>
    </w:p>
    <w:p>
      <w:pPr>
        <w:spacing w:after="0" w:line="10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Effective April 1, 2010, the Compensation Committee set the annualized base salary for Ms. Burns at $1,100,000 from $900,000. Ms. Burns did not receive a base salary increase upon her election to Chief Executive Officer in 2009; this increase reflects her increased scope of responsibility as Chief Executive Officer.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2007 E-LTIP Awards</w:t>
      </w:r>
    </w:p>
    <w:p>
      <w:pPr>
        <w:spacing w:after="0" w:line="1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Compensation Committee determined that 80% of the original grant amount awarded under the 2007 Executive Long-Term Incentive Program (“2007 E-LTIP”) was earned based on the Company’s three-year cumulative 2007, 2008 and 2009 performance against the three-year cumulative targets established for Earnings Per Share and Core Cash Flow from Operations. A description of the targets is set out on Exhibit 10(e)(4). The total number of shares earned for the three-year cumulative performance period ended December 31, 2009 that shall vest on July 1, 2010 for each Named Executive Officer is as follows: Ms. Burns, 110,880 shares; Mrs. Mulcahy, 390,080 shares; Mr. Zimmerman, 118,160 shares; Mr. Firestone, 88,720 shares; and Mr. Machon, 38,850 shares. Included in these share amounts are shares that were previously earned for having met the annual targets established under the 2007 E-LTIP and previously disclosed for each Named Executive Officer as follows: Ms. Burns, 46,200 shares in 2007 and 18,480 shares in 2008; Mrs. Mulcahy, 162,533 shares in 2007 and 65,013 shares in 2008; Mr. Zimmerman, 49,232 shares in 2007 and 19,693 shares in 2008; Mr. Firestone, 36,966 shares in 2007 and 14,787 shares in 2008; and Mr. Machon, 18,500 shares 2007 and 7,400 shares in 2008.</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2008 E-LTIP Awards</w:t>
      </w:r>
    </w:p>
    <w:p>
      <w:pPr>
        <w:spacing w:after="0" w:line="10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Compensation Committee determined that 13.33% of the performance shares granted under the 2008 Executive Long-Term Incentive Program (“2008 E-LTIP”) were earned based on the Company’s 2009 performance against the annual targets established for Earnings Per Share and Core Cash Flow from Operations. A description of the targets is set out on Exhibit 10(e)(8). The number of shares earned for 2009 for each Named Executive Officer is as follows: Ms. Burns, 39,982 shares; Mrs. Mulcahy, 91,955 shares; Mr. Zimmerman, 15,994 shares; Mr. Firestone, 19,991 shares; and Mr. Machon, 4,998 shares. No performance shares were earned in 2008 based on the Company’s 2008 performance against the annual targets. Earned shares vest three years from their grant date.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2009 E-LTIP Awards</w:t>
      </w:r>
    </w:p>
    <w:p>
      <w:pPr>
        <w:spacing w:after="0" w:line="18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lieu of performance shares, 2009 E-LTIP awards were made in the form of Restricted Stock Units (RSUs) with a performance feature based on the price of Xerox common stock over a three-year period. The number of shares of stock that can be earned range between 80% and 120% of the original RSU award, based on the increase or decrease in the price of Xerox common stock over the three-year vesting period. No action is required by the Compensation Committee until these awards vest in 2012. In lieu of 2009 E-LTIP equity awards for Mrs. Mulcahy and</w:t>
      </w:r>
    </w:p>
    <w:p>
      <w:pPr>
        <w:spacing w:after="0" w:line="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Mr. Zimmerman, the Compensation Committee approved long-term cash incentive awards with terms similar to the RSU awards under the 2009 E-LTIP to allow for maximum flexibility with respect to vesting.</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2010 E-LTIP Awards</w:t>
      </w:r>
    </w:p>
    <w:p>
      <w:pPr>
        <w:spacing w:after="0" w:line="10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2010 E-LTIP awards made to Named Executive Officers reflect their leadership role in the Company, their historical and future contributions, and competitive award levels. The purpose of the 2010 E-LTIP is to provide the necessary incentives to retain and reward executives for sustained performance improvements over the next three-year period. Awards under the 2010 E-LTIP for Named Executive Officers are comprised entirely of performance shares that may be earned based on achieving annual performance targets and three-year cumulative performance between threshold and maximum as determined by the Compensation Committee. All performance shares that are earned vest in 2013. Named Executive Officers who retire, are involuntarily terminated (without cause) or voluntarily terminate due to a reduction in force prior to the end of the three-year performance cycle will vest in a portion of the performance shares earned on a pro rata basis.</w:t>
      </w:r>
    </w:p>
    <w:p>
      <w:pPr>
        <w:spacing w:after="0" w:line="15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Performance metrics for the 2010 E-LTIP are Earnings Per Share (weighted 60%) and Cash Flow from Operations (weighted 40%). Earnings Per Share and Cash Flow from Operations are defined in Exhibit 10(e)(21) attached hereto. The Compensation Committee has established annual and cumulative targets. Based on annual or cumulative performance versus targets, the number of performance shares earned by Named Executive Officers under the 2010 E-LTIP may vary from 0% to 150% of the initial number of shares subject to the grant. The form of award agreement pursuant to which such grants were made is attached hereto as Exhibit 10(e)(22).</w:t>
      </w:r>
    </w:p>
    <w:p>
      <w:pPr>
        <w:spacing w:after="0" w:line="157"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In lieu of a performance share award that vests over a three-year period, the Compensation Committee approved a performance share award for Mr. Zimmerman that vests one year from the grant date if 2010 annual performance targets are achieved. Performance metrics are the same as those developed for the first year of the three-year 2010 E-LTIP performance share award.</w:t>
      </w:r>
    </w:p>
    <w:p>
      <w:pPr>
        <w:spacing w:after="0" w:line="15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Participants in the 2010 E-LTIP are subject to meaningful ownership requirements and mandatory share holding requirements of 50% of the net vested shares until their ownership requirements have been met.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2010 Other Awards</w:t>
      </w:r>
    </w:p>
    <w:p>
      <w:pPr>
        <w:spacing w:after="0" w:line="10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recognition of their outstanding contributions on the Affiliated Computer Services, Inc. acquisition, the Compensation Committee approved the following awards: Mr. Firestone will receive Restricted Stock Units valued at $300,000 on March 1, 2010 with vesting three years from date of grant; and Mr. Zimmerman will receive a cash payment of $350,000 payable in early April 2010.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10. DIRECTORS, EXECUTIVE OFFICERS AND CORPORATE GOVERNANCE</w:t>
      </w:r>
    </w:p>
    <w:p>
      <w:pPr>
        <w:spacing w:after="0" w:line="10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information regarding directors is incorporated herein by reference to the section entitled “Proposal 1 - Election of Directors” in our definitive Proxy Statement (“2010 Proxy Statement”) to be filed pursuant to Regulation 14A of the Securities Exchange Act of 1934, as amended, for our Annual Meeting of Stockholders to be held on May 20, 2010. The Proxy Statement will be filed within 120 days after the end of our fiscal year ended December 31, 2009.</w:t>
      </w:r>
    </w:p>
    <w:p>
      <w:pPr>
        <w:spacing w:after="0" w:line="15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information regarding compliance with Section 16(a) of the Securities and Exchange Act of 1934 is incorporated herein by reference to the section entitled “Section 16(a) Beneficial Ownership Reporting Compliance” of our 2010 Proxy Statement.</w:t>
      </w:r>
    </w:p>
    <w:p>
      <w:pPr>
        <w:spacing w:after="0" w:line="155"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information regarding the Audit Committee, its members and the Audit Committee financial experts is incorporated by reference herein from the subsection entitled “Committee Functions, Membership and Meetings” in the section entitled “Proposal 1 - Election of Directors” in our 2010 Proxy Statement.</w:t>
      </w:r>
    </w:p>
    <w:p>
      <w:pPr>
        <w:spacing w:after="0" w:line="154" w:lineRule="exact"/>
        <w:rPr>
          <w:sz w:val="20"/>
          <w:szCs w:val="20"/>
          <w:color w:val="auto"/>
        </w:rPr>
      </w:pPr>
    </w:p>
    <w:p>
      <w:pPr>
        <w:ind w:right="600"/>
        <w:spacing w:after="0" w:line="299" w:lineRule="auto"/>
        <w:rPr>
          <w:sz w:val="20"/>
          <w:szCs w:val="20"/>
          <w:color w:val="auto"/>
        </w:rPr>
      </w:pPr>
      <w:r>
        <w:rPr>
          <w:rFonts w:ascii="Arial" w:cs="Arial" w:eastAsia="Arial" w:hAnsi="Arial"/>
          <w:sz w:val="16"/>
          <w:szCs w:val="16"/>
          <w:color w:val="auto"/>
        </w:rPr>
        <w:t>We have adopted a code of ethics applicable to our principal executive officer, principal financial officer and principal accounting officer. The Finance Code of Conduct can be found on our website at: http://www.xerox.com/investor and then clicking on Corporate Governance.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Officers of Xerox</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the executive officers of Xerox, their current ages, their present positions and the year appointed to their present positions.</w:t>
      </w:r>
    </w:p>
    <w:p>
      <w:pPr>
        <w:spacing w:after="0" w:line="18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Each officer is elected to hold office until the meeting of the Board of Directors held on the day of the next annual meeting of shareholders, subject to the provisions of the By-Laws.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Appointed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w:t>
            </w:r>
          </w:p>
        </w:tc>
        <w:tc>
          <w:tcPr>
            <w:tcW w:w="1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Xerox</w:t>
            </w: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Present</w:t>
            </w:r>
          </w:p>
        </w:tc>
        <w:tc>
          <w:tcPr>
            <w:tcW w:w="1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Officer</w:t>
            </w:r>
          </w:p>
        </w:tc>
      </w:tr>
      <w:tr>
        <w:trPr>
          <w:trHeight w:val="178"/>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20" w:type="dxa"/>
            <w:vAlign w:val="bottom"/>
          </w:tcPr>
          <w:p>
            <w:pPr>
              <w:spacing w:after="0"/>
              <w:rPr>
                <w:sz w:val="15"/>
                <w:szCs w:val="15"/>
                <w:color w:val="auto"/>
              </w:rPr>
            </w:pPr>
          </w:p>
        </w:tc>
        <w:tc>
          <w:tcPr>
            <w:tcW w:w="466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Present Position</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Position</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Since</w:t>
            </w: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Anne M. Mulcahy*</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57</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Chairman of the Board</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2002</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1992</w:t>
            </w:r>
          </w:p>
        </w:tc>
      </w:tr>
      <w:tr>
        <w:trPr>
          <w:trHeight w:val="311"/>
        </w:trPr>
        <w:tc>
          <w:tcPr>
            <w:tcW w:w="4920" w:type="dxa"/>
            <w:vAlign w:val="bottom"/>
          </w:tcPr>
          <w:p>
            <w:pPr>
              <w:spacing w:after="0"/>
              <w:rPr>
                <w:sz w:val="20"/>
                <w:szCs w:val="20"/>
                <w:color w:val="auto"/>
              </w:rPr>
            </w:pPr>
            <w:r>
              <w:rPr>
                <w:rFonts w:ascii="Arial" w:cs="Arial" w:eastAsia="Arial" w:hAnsi="Arial"/>
                <w:sz w:val="18"/>
                <w:szCs w:val="18"/>
                <w:color w:val="auto"/>
              </w:rPr>
              <w:t>Ursula M. Burns*</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51</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2009</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1997</w:t>
            </w:r>
          </w:p>
        </w:tc>
      </w:tr>
      <w:tr>
        <w:trPr>
          <w:trHeight w:val="302"/>
        </w:trPr>
        <w:tc>
          <w:tcPr>
            <w:tcW w:w="4920" w:type="dxa"/>
            <w:vAlign w:val="bottom"/>
          </w:tcPr>
          <w:p>
            <w:pPr>
              <w:spacing w:after="0"/>
              <w:rPr>
                <w:sz w:val="20"/>
                <w:szCs w:val="20"/>
                <w:color w:val="auto"/>
              </w:rPr>
            </w:pPr>
            <w:r>
              <w:rPr>
                <w:rFonts w:ascii="Arial" w:cs="Arial" w:eastAsia="Arial" w:hAnsi="Arial"/>
                <w:sz w:val="18"/>
                <w:szCs w:val="18"/>
                <w:color w:val="auto"/>
              </w:rPr>
              <w:t>Lawrence A. Zimmerman</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67</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Vice Chairman and</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2009</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2002</w:t>
            </w:r>
          </w:p>
        </w:tc>
      </w:tr>
      <w:tr>
        <w:trPr>
          <w:trHeight w:val="211"/>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Lynn R. Blodgett</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55</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2010</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2010</w:t>
            </w:r>
          </w:p>
        </w:tc>
      </w:t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President and Chief Executive Officer,</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1"/>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Affiliated Computer Services, Inc.</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James A. Firestone</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55</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2008</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1998</w:t>
            </w:r>
          </w:p>
        </w:tc>
      </w:tr>
      <w:tr>
        <w:trPr>
          <w:trHeight w:val="211"/>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President, Corporate Operations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Armando Zagalo de Lima</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51</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2010</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2000</w:t>
            </w:r>
          </w:p>
        </w:tc>
      </w:tr>
      <w:tr>
        <w:trPr>
          <w:trHeight w:val="211"/>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President, Xerox Global Customer Operations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Willem Appelo</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45</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Senior Vice President;</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2008</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2004</w:t>
            </w:r>
          </w:p>
        </w:tc>
      </w:tr>
      <w:tr>
        <w:trPr>
          <w:trHeight w:val="211"/>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President, Xerox Global Business and Services Group</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Michael Stephen Cronin</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56</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Senior Vice President;</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2008</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2004</w:t>
            </w:r>
          </w:p>
        </w:tc>
      </w:tr>
      <w:tr>
        <w:trPr>
          <w:trHeight w:val="211"/>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President, Xerox Global Services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Don H. Liu</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48</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Senior Vice President;</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2007</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2007</w:t>
            </w:r>
          </w:p>
        </w:tc>
      </w:tr>
      <w:tr>
        <w:trPr>
          <w:trHeight w:val="211"/>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General Counsel and Secretary</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Russell Peacock</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51</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Senior Vice President;</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2010</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2007</w:t>
            </w:r>
          </w:p>
        </w:tc>
      </w:tr>
      <w:tr>
        <w:trPr>
          <w:trHeight w:val="211"/>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President, Xerox North America</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6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2"/>
          </w:tcPr>
          <w:p>
            <w:pPr>
              <w:jc w:val="right"/>
              <w:ind w:right="417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49"/>
        </w:trPr>
        <w:tc>
          <w:tcPr>
            <w:tcW w:w="2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Appointed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9"/>
        </w:trPr>
        <w:tc>
          <w:tcPr>
            <w:tcW w:w="2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w:t>
            </w:r>
          </w:p>
        </w:tc>
        <w:tc>
          <w:tcPr>
            <w:tcW w:w="1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Xerox</w:t>
            </w:r>
          </w:p>
        </w:tc>
      </w:tr>
      <w:tr>
        <w:trPr>
          <w:trHeight w:val="149"/>
        </w:trPr>
        <w:tc>
          <w:tcPr>
            <w:tcW w:w="2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Present</w:t>
            </w:r>
          </w:p>
        </w:tc>
        <w:tc>
          <w:tcPr>
            <w:tcW w:w="1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Officer</w:t>
            </w:r>
          </w:p>
        </w:tc>
      </w:tr>
      <w:tr>
        <w:trPr>
          <w:trHeight w:val="178"/>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20" w:type="dxa"/>
            <w:vAlign w:val="bottom"/>
          </w:tcPr>
          <w:p>
            <w:pPr>
              <w:spacing w:after="0"/>
              <w:rPr>
                <w:sz w:val="15"/>
                <w:szCs w:val="15"/>
                <w:color w:val="auto"/>
              </w:rPr>
            </w:pPr>
          </w:p>
        </w:tc>
        <w:tc>
          <w:tcPr>
            <w:tcW w:w="466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Present Position</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Position</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Since</w:t>
            </w:r>
          </w:p>
        </w:tc>
      </w:tr>
      <w:tr>
        <w:trPr>
          <w:trHeight w:val="200"/>
        </w:trPr>
        <w:tc>
          <w:tcPr>
            <w:tcW w:w="4920" w:type="dxa"/>
            <w:vAlign w:val="bottom"/>
            <w:gridSpan w:val="2"/>
          </w:tcPr>
          <w:p>
            <w:pPr>
              <w:spacing w:after="0" w:line="200" w:lineRule="exact"/>
              <w:rPr>
                <w:sz w:val="20"/>
                <w:szCs w:val="20"/>
                <w:color w:val="auto"/>
              </w:rPr>
            </w:pPr>
            <w:r>
              <w:rPr>
                <w:rFonts w:ascii="Arial" w:cs="Arial" w:eastAsia="Arial" w:hAnsi="Arial"/>
                <w:sz w:val="18"/>
                <w:szCs w:val="18"/>
                <w:color w:val="auto"/>
              </w:rPr>
              <w:t>Eric Armour</w:t>
            </w:r>
          </w:p>
        </w:tc>
        <w:tc>
          <w:tcPr>
            <w:tcW w:w="380" w:type="dxa"/>
            <w:vAlign w:val="bottom"/>
            <w:gridSpan w:val="2"/>
          </w:tcPr>
          <w:p>
            <w:pPr>
              <w:jc w:val="center"/>
              <w:ind w:left="52"/>
              <w:spacing w:after="0" w:line="200" w:lineRule="exact"/>
              <w:rPr>
                <w:sz w:val="20"/>
                <w:szCs w:val="20"/>
                <w:color w:val="auto"/>
              </w:rPr>
            </w:pPr>
            <w:r>
              <w:rPr>
                <w:rFonts w:ascii="Arial" w:cs="Arial" w:eastAsia="Arial" w:hAnsi="Arial"/>
                <w:sz w:val="18"/>
                <w:szCs w:val="18"/>
                <w:color w:val="auto"/>
                <w:w w:val="99"/>
              </w:rPr>
              <w:t>51</w:t>
            </w:r>
          </w:p>
        </w:tc>
        <w:tc>
          <w:tcPr>
            <w:tcW w:w="120" w:type="dxa"/>
            <w:vAlign w:val="bottom"/>
          </w:tcPr>
          <w:p>
            <w:pPr>
              <w:spacing w:after="0"/>
              <w:rPr>
                <w:sz w:val="17"/>
                <w:szCs w:val="17"/>
                <w:color w:val="auto"/>
              </w:rPr>
            </w:pPr>
          </w:p>
        </w:tc>
        <w:tc>
          <w:tcPr>
            <w:tcW w:w="4660" w:type="dxa"/>
            <w:vAlign w:val="bottom"/>
          </w:tcPr>
          <w:p>
            <w:pPr>
              <w:spacing w:after="0" w:line="200" w:lineRule="exact"/>
              <w:rPr>
                <w:sz w:val="20"/>
                <w:szCs w:val="20"/>
                <w:color w:val="auto"/>
              </w:rPr>
            </w:pPr>
            <w:r>
              <w:rPr>
                <w:rFonts w:ascii="Arial" w:cs="Arial" w:eastAsia="Arial" w:hAnsi="Arial"/>
                <w:sz w:val="18"/>
                <w:szCs w:val="18"/>
                <w:color w:val="auto"/>
              </w:rPr>
              <w:t>Vice President</w:t>
            </w:r>
          </w:p>
        </w:tc>
        <w:tc>
          <w:tcPr>
            <w:tcW w:w="780" w:type="dxa"/>
            <w:vAlign w:val="bottom"/>
            <w:gridSpan w:val="2"/>
          </w:tcPr>
          <w:p>
            <w:pPr>
              <w:jc w:val="center"/>
              <w:ind w:left="32"/>
              <w:spacing w:after="0" w:line="200" w:lineRule="exact"/>
              <w:rPr>
                <w:sz w:val="20"/>
                <w:szCs w:val="20"/>
                <w:color w:val="auto"/>
              </w:rPr>
            </w:pPr>
            <w:r>
              <w:rPr>
                <w:rFonts w:ascii="Arial" w:cs="Arial" w:eastAsia="Arial" w:hAnsi="Arial"/>
                <w:sz w:val="18"/>
                <w:szCs w:val="18"/>
                <w:color w:val="auto"/>
                <w:w w:val="94"/>
              </w:rPr>
              <w:t>2009</w:t>
            </w:r>
          </w:p>
        </w:tc>
        <w:tc>
          <w:tcPr>
            <w:tcW w:w="560" w:type="dxa"/>
            <w:vAlign w:val="bottom"/>
            <w:gridSpan w:val="2"/>
          </w:tcPr>
          <w:p>
            <w:pPr>
              <w:jc w:val="center"/>
              <w:ind w:left="32"/>
              <w:spacing w:after="0" w:line="200" w:lineRule="exact"/>
              <w:rPr>
                <w:sz w:val="20"/>
                <w:szCs w:val="20"/>
                <w:color w:val="auto"/>
              </w:rPr>
            </w:pPr>
            <w:r>
              <w:rPr>
                <w:rFonts w:ascii="Arial" w:cs="Arial" w:eastAsia="Arial" w:hAnsi="Arial"/>
                <w:sz w:val="18"/>
                <w:szCs w:val="18"/>
                <w:color w:val="auto"/>
                <w:w w:val="99"/>
              </w:rPr>
              <w:t>2007</w:t>
            </w:r>
          </w:p>
        </w:tc>
      </w:tr>
      <w:tr>
        <w:trPr>
          <w:trHeight w:val="211"/>
        </w:trPr>
        <w:tc>
          <w:tcPr>
            <w:tcW w:w="2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President, Global Business Group</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16"/>
        </w:trPr>
        <w:tc>
          <w:tcPr>
            <w:tcW w:w="4920" w:type="dxa"/>
            <w:vAlign w:val="bottom"/>
            <w:gridSpan w:val="2"/>
          </w:tcPr>
          <w:p>
            <w:pPr>
              <w:spacing w:after="0"/>
              <w:rPr>
                <w:sz w:val="20"/>
                <w:szCs w:val="20"/>
                <w:color w:val="auto"/>
              </w:rPr>
            </w:pPr>
            <w:r>
              <w:rPr>
                <w:rFonts w:ascii="Arial" w:cs="Arial" w:eastAsia="Arial" w:hAnsi="Arial"/>
                <w:sz w:val="18"/>
                <w:szCs w:val="18"/>
                <w:color w:val="auto"/>
              </w:rPr>
              <w:t>Richard M. Dastin</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50</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Vice President;</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2009</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2008</w:t>
            </w:r>
          </w:p>
        </w:tc>
      </w:tr>
      <w:tr>
        <w:trPr>
          <w:trHeight w:val="211"/>
        </w:trPr>
        <w:tc>
          <w:tcPr>
            <w:tcW w:w="2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President, Global Product Delivery Group</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16"/>
        </w:trPr>
        <w:tc>
          <w:tcPr>
            <w:tcW w:w="4920" w:type="dxa"/>
            <w:vAlign w:val="bottom"/>
            <w:gridSpan w:val="2"/>
          </w:tcPr>
          <w:p>
            <w:pPr>
              <w:spacing w:after="0"/>
              <w:rPr>
                <w:sz w:val="20"/>
                <w:szCs w:val="20"/>
                <w:color w:val="auto"/>
              </w:rPr>
            </w:pPr>
            <w:r>
              <w:rPr>
                <w:rFonts w:ascii="Arial" w:cs="Arial" w:eastAsia="Arial" w:hAnsi="Arial"/>
                <w:sz w:val="18"/>
                <w:szCs w:val="18"/>
                <w:color w:val="auto"/>
              </w:rPr>
              <w:t>Jacques Guers</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54</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Vice President;</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2009</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2009</w:t>
            </w:r>
          </w:p>
        </w:tc>
      </w:tr>
      <w:tr>
        <w:trPr>
          <w:trHeight w:val="211"/>
        </w:trPr>
        <w:tc>
          <w:tcPr>
            <w:tcW w:w="2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President, Developing Markets Operations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Gary R. Kabureck</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56</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Vice President and Chief Accounting Officer</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2003</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2000</w:t>
            </w:r>
          </w:p>
        </w:tc>
      </w:tr>
      <w:tr>
        <w:trPr>
          <w:trHeight w:val="302"/>
        </w:trPr>
        <w:tc>
          <w:tcPr>
            <w:tcW w:w="4920" w:type="dxa"/>
            <w:vAlign w:val="bottom"/>
            <w:gridSpan w:val="2"/>
          </w:tcPr>
          <w:p>
            <w:pPr>
              <w:spacing w:after="0"/>
              <w:rPr>
                <w:sz w:val="20"/>
                <w:szCs w:val="20"/>
                <w:color w:val="auto"/>
              </w:rPr>
            </w:pPr>
            <w:r>
              <w:rPr>
                <w:rFonts w:ascii="Arial" w:cs="Arial" w:eastAsia="Arial" w:hAnsi="Arial"/>
                <w:sz w:val="18"/>
                <w:szCs w:val="18"/>
                <w:color w:val="auto"/>
              </w:rPr>
              <w:t>James H. Lesko</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58</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Vice President;</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2004</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1993</w:t>
            </w:r>
          </w:p>
        </w:tc>
      </w:tr>
      <w:tr>
        <w:trPr>
          <w:trHeight w:val="211"/>
        </w:trPr>
        <w:tc>
          <w:tcPr>
            <w:tcW w:w="2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Vice President, Investor Relations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16"/>
        </w:trPr>
        <w:tc>
          <w:tcPr>
            <w:tcW w:w="4920" w:type="dxa"/>
            <w:vAlign w:val="bottom"/>
            <w:gridSpan w:val="2"/>
          </w:tcPr>
          <w:p>
            <w:pPr>
              <w:spacing w:after="0"/>
              <w:rPr>
                <w:sz w:val="20"/>
                <w:szCs w:val="20"/>
                <w:color w:val="auto"/>
              </w:rPr>
            </w:pPr>
            <w:r>
              <w:rPr>
                <w:rFonts w:ascii="Arial" w:cs="Arial" w:eastAsia="Arial" w:hAnsi="Arial"/>
                <w:sz w:val="18"/>
                <w:szCs w:val="18"/>
                <w:color w:val="auto"/>
              </w:rPr>
              <w:t>Doug Lord</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59</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Vice President;</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2008</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2007</w:t>
            </w:r>
          </w:p>
        </w:tc>
      </w:tr>
      <w:tr>
        <w:trPr>
          <w:trHeight w:val="211"/>
        </w:trPr>
        <w:tc>
          <w:tcPr>
            <w:tcW w:w="2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President, North American Solutions Group</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24"/>
        </w:trPr>
        <w:tc>
          <w:tcPr>
            <w:tcW w:w="4920" w:type="dxa"/>
            <w:vAlign w:val="bottom"/>
            <w:gridSpan w:val="2"/>
          </w:tcPr>
          <w:p>
            <w:pPr>
              <w:spacing w:after="0"/>
              <w:rPr>
                <w:sz w:val="20"/>
                <w:szCs w:val="20"/>
                <w:color w:val="auto"/>
              </w:rPr>
            </w:pPr>
            <w:r>
              <w:rPr>
                <w:rFonts w:ascii="Arial" w:cs="Arial" w:eastAsia="Arial" w:hAnsi="Arial"/>
                <w:sz w:val="18"/>
                <w:szCs w:val="18"/>
                <w:color w:val="auto"/>
              </w:rPr>
              <w:t>Rhonda L. Seegal</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59</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Vice President and Treasurer</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2003</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2003</w:t>
            </w:r>
          </w:p>
        </w:tc>
      </w:tr>
      <w:tr>
        <w:trPr>
          <w:trHeight w:val="311"/>
        </w:trPr>
        <w:tc>
          <w:tcPr>
            <w:tcW w:w="4920" w:type="dxa"/>
            <w:vAlign w:val="bottom"/>
            <w:gridSpan w:val="2"/>
          </w:tcPr>
          <w:p>
            <w:pPr>
              <w:spacing w:after="0"/>
              <w:rPr>
                <w:sz w:val="20"/>
                <w:szCs w:val="20"/>
                <w:color w:val="auto"/>
              </w:rPr>
            </w:pPr>
            <w:r>
              <w:rPr>
                <w:rFonts w:ascii="Arial" w:cs="Arial" w:eastAsia="Arial" w:hAnsi="Arial"/>
                <w:sz w:val="18"/>
                <w:szCs w:val="18"/>
                <w:color w:val="auto"/>
              </w:rPr>
              <w:t>Leslie F. Varon</w:t>
            </w:r>
          </w:p>
        </w:tc>
        <w:tc>
          <w:tcPr>
            <w:tcW w:w="3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53</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Vice President and Controller</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2006</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2001</w:t>
            </w:r>
          </w:p>
        </w:tc>
      </w:tr>
      <w:tr>
        <w:trPr>
          <w:trHeight w:val="97"/>
        </w:trPr>
        <w:tc>
          <w:tcPr>
            <w:tcW w:w="298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35"/>
        </w:trPr>
        <w:tc>
          <w:tcPr>
            <w:tcW w:w="4920" w:type="dxa"/>
            <w:vAlign w:val="bottom"/>
            <w:gridSpan w:val="2"/>
          </w:tcPr>
          <w:p>
            <w:pPr>
              <w:spacing w:after="0"/>
              <w:rPr>
                <w:sz w:val="20"/>
                <w:szCs w:val="20"/>
                <w:color w:val="auto"/>
              </w:rPr>
            </w:pPr>
            <w:r>
              <w:rPr>
                <w:rFonts w:ascii="Arial" w:cs="Arial" w:eastAsia="Arial" w:hAnsi="Arial"/>
                <w:sz w:val="18"/>
                <w:szCs w:val="18"/>
                <w:color w:val="auto"/>
              </w:rPr>
              <w:t>*  Member of Xerox Board of Directors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15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Each officer named above, with the exception of Lynn R. Blodgett, Don H. Liu and Eric Armour, has been an officer or an executive of Xerox or its subsidiaries for at least the past five years.</w:t>
      </w:r>
    </w:p>
    <w:p>
      <w:pPr>
        <w:spacing w:after="0" w:line="15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Prior to joining Xerox in 2010 through our acquisition of Affiliated Computer Services, Inc. (“ACS”), Mr. Blodgett had been President and Chief Executive Officer of ACS since 2006. Prior to that he served as Executive Vice President and Chief Operating Officer of ACS from 2005-2006 and before that he served as Executive Vice President and Group President – Commercial Solutions of ACS since July 1999.</w:t>
      </w:r>
    </w:p>
    <w:p>
      <w:pPr>
        <w:spacing w:after="0" w:line="15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Prior to joining Xerox in 2007, Mr. Liu had been with Toll Brothers where he was Senior Vice President, General Counsel and Corporate Compliance Officer from 2005 to 2007. Prior to that, he was General Counsel, Corporate Secretary and Corporate Compliance Officer for IKON Office Solutions from 1999 to 2005. Prior to that, he was Vice President and Deputy Chief Legal Officer for Aetna U.S. Healthcare from 1992 to 1999.</w:t>
      </w:r>
    </w:p>
    <w:p>
      <w:pPr>
        <w:spacing w:after="0" w:line="15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Prior to joining Xerox in 2007, Mr. Armour was an industrial partner at the investment firm RHJ International from 2006 to 2007. Prior to that, he was President and General Manager from 2003–2006 at The Gillette Company’s BRAUN global business division. From 1990–2003, he was a partner with Marakon Associates, a consulting firm in the consumer products, financial services, pharmaceuticals, aerospace and other industries.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11. EXECUTIVE COMPENSATION</w:t>
      </w:r>
    </w:p>
    <w:p>
      <w:pPr>
        <w:spacing w:after="0" w:line="10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information included under the following captions under “Proposal 1-Election of Directors” in our 2010 definitive Proxy Statement is incorporated herein by reference: “Compensation Discussion and Analysis”, “Summary Compensation Table”, “Grants of Plan-Based Awards in 2009”, “Outstanding Equity Awards at 2009 Fiscal Year-End”, “Option Exercises and Stock Vested in 2009”, “Pension Benefits for the 2009 Fiscal Year”, “Nonqualified Deferred Compensation”, “Potential Payments upon Termination or Change in Control”, “Summary of Director Annual Compensation for the Fiscal Year” and “Compensation Committee”. The information included under the heading “Compensation Committee Report” in our 2010 definitive Proxy Statement is incorporated herein by reference; however, this information shall not be deemed to be “soliciting material” or to be “filed” with the Commission or subject to Regulation 14A or 14C, or to the liabilities of Section 18 of the Exchange Act of 1934, as amended.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12. SECURITY OWNERSHIP OF CERTAIN BENEFICIAL OWNERS AND MANAGEMENT</w:t>
      </w:r>
    </w:p>
    <w:p>
      <w:pPr>
        <w:spacing w:after="0" w:line="10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Information regarding security ownership of certain beneficial owners and management and securities authorized for issuance under equity compensation plans is incorporated herein by reference to the subsections entitled “Ownership of Company Securities,” and “Equity Compensation Plan Information” under “Proposal 1– Election of Directors” in our 2010 definitive Proxy Statement.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13. CERTAIN RELATIONSHIPS, RELATED TRANSACTIONS AND DIRECTOR</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1269BC"/>
        </w:rPr>
        <w:t>INDEPENDENCE</w:t>
      </w:r>
    </w:p>
    <w:p>
      <w:pPr>
        <w:spacing w:after="0" w:line="8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Information regarding certain relationships and related transactions is incorporated herein by reference to the subsection entitled “Certain Relationships and Related Person Transactions” under “Proposal 1– Election of Directors” in our 2010 definitive Proxy Statement. The information regarding director independence is incorporated herein by reference to the subsections entitled “Corporate Governance” and “Director Independence” in the section entitled “Proposal 1 – Election of Directors” in our 2010 definitive Proxy Statement.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14. PRINCIPAL AUDITOR FEES AND SERVICES</w:t>
      </w:r>
    </w:p>
    <w:p>
      <w:pPr>
        <w:spacing w:after="0" w:line="10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information regarding principal auditor fees and services is incorporated herein by reference to the section entitled “Proposal 2 –Ratification of Election of Independent Registered Public Accounting Firm” in our 2010 definitive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15. EXHIBITS AND FINANCIAL STATEMENT SCHEDULES</w:t>
      </w:r>
    </w:p>
    <w:p>
      <w:pPr>
        <w:spacing w:after="0" w:line="228" w:lineRule="exact"/>
        <w:rPr>
          <w:sz w:val="20"/>
          <w:szCs w:val="20"/>
          <w:color w:val="auto"/>
        </w:rPr>
      </w:pPr>
    </w:p>
    <w:p>
      <w:pPr>
        <w:ind w:left="700" w:right="1340" w:hanging="692"/>
        <w:spacing w:after="0" w:line="360" w:lineRule="auto"/>
        <w:tabs>
          <w:tab w:leader="none" w:pos="3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(1) Index to Financial Statements and Financial Statement Schedule, incorporated by reference or filed as part of this report: Report of Independent Registered Public Accounting Firm;</w:t>
      </w:r>
    </w:p>
    <w:p>
      <w:pPr>
        <w:ind w:left="700" w:right="2240"/>
        <w:spacing w:after="0" w:line="360" w:lineRule="auto"/>
        <w:rPr>
          <w:rFonts w:ascii="Arial" w:cs="Arial" w:eastAsia="Arial" w:hAnsi="Arial"/>
          <w:sz w:val="18"/>
          <w:szCs w:val="18"/>
          <w:color w:val="auto"/>
        </w:rPr>
      </w:pPr>
      <w:r>
        <w:rPr>
          <w:rFonts w:ascii="Arial" w:cs="Arial" w:eastAsia="Arial" w:hAnsi="Arial"/>
          <w:sz w:val="18"/>
          <w:szCs w:val="18"/>
          <w:color w:val="auto"/>
        </w:rPr>
        <w:t>Consolidated Statements of Income for each of the years in the three-year period ended December 31, 2009; Consolidated Balance Sheets as of December 31, 2009 and 2008;</w:t>
      </w:r>
    </w:p>
    <w:p>
      <w:pPr>
        <w:ind w:left="700" w:right="1180"/>
        <w:spacing w:after="0" w:line="360" w:lineRule="auto"/>
        <w:rPr>
          <w:rFonts w:ascii="Arial" w:cs="Arial" w:eastAsia="Arial" w:hAnsi="Arial"/>
          <w:sz w:val="18"/>
          <w:szCs w:val="18"/>
          <w:color w:val="auto"/>
        </w:rPr>
      </w:pPr>
      <w:r>
        <w:rPr>
          <w:rFonts w:ascii="Arial" w:cs="Arial" w:eastAsia="Arial" w:hAnsi="Arial"/>
          <w:sz w:val="18"/>
          <w:szCs w:val="18"/>
          <w:color w:val="auto"/>
        </w:rPr>
        <w:t>Consolidated Statements of Cash Flows for each of the years in the three-year period ended December 31, 2009; Consolidated Statements of Shareholders’ Equity for each of the years in the three-year period ended December 31, 2009; Notes to Consolidated Financial Statements;</w:t>
      </w:r>
    </w:p>
    <w:p>
      <w:pPr>
        <w:ind w:left="700" w:right="3020"/>
        <w:spacing w:after="0" w:line="405" w:lineRule="auto"/>
        <w:rPr>
          <w:sz w:val="20"/>
          <w:szCs w:val="20"/>
          <w:color w:val="auto"/>
        </w:rPr>
      </w:pPr>
      <w:r>
        <w:rPr>
          <w:rFonts w:ascii="Arial" w:cs="Arial" w:eastAsia="Arial" w:hAnsi="Arial"/>
          <w:sz w:val="16"/>
          <w:szCs w:val="16"/>
          <w:color w:val="auto"/>
        </w:rPr>
        <w:t>Report of Independent Registered Public Accounting Firm on Financial Statement Schedule; Schedule II –Valuation and Qualifying Accounts for the three years ended December 31, 2009; and</w:t>
      </w:r>
    </w:p>
    <w:p>
      <w:pPr>
        <w:ind w:left="700" w:right="440"/>
        <w:spacing w:after="0" w:line="239" w:lineRule="auto"/>
        <w:rPr>
          <w:sz w:val="20"/>
          <w:szCs w:val="20"/>
          <w:color w:val="auto"/>
        </w:rPr>
      </w:pPr>
      <w:r>
        <w:rPr>
          <w:rFonts w:ascii="Arial" w:cs="Arial" w:eastAsia="Arial" w:hAnsi="Arial"/>
          <w:sz w:val="18"/>
          <w:szCs w:val="18"/>
          <w:color w:val="auto"/>
        </w:rPr>
        <w:t>All other schedules are omitted as they are not applicable, or the information required is included in the financial statements or notes thereto.</w:t>
      </w:r>
    </w:p>
    <w:p>
      <w:pPr>
        <w:spacing w:after="0" w:line="101" w:lineRule="exact"/>
        <w:rPr>
          <w:sz w:val="20"/>
          <w:szCs w:val="20"/>
          <w:color w:val="auto"/>
        </w:rPr>
      </w:pPr>
    </w:p>
    <w:p>
      <w:pPr>
        <w:ind w:left="700" w:hanging="341"/>
        <w:spacing w:after="0"/>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Supplementary Data:</w:t>
      </w:r>
    </w:p>
    <w:p>
      <w:pPr>
        <w:spacing w:after="0" w:line="103" w:lineRule="exact"/>
        <w:rPr>
          <w:rFonts w:ascii="Arial" w:cs="Arial" w:eastAsia="Arial" w:hAnsi="Arial"/>
          <w:sz w:val="18"/>
          <w:szCs w:val="18"/>
          <w:color w:val="auto"/>
        </w:rPr>
      </w:pPr>
    </w:p>
    <w:p>
      <w:pPr>
        <w:ind w:left="700" w:right="6920"/>
        <w:spacing w:after="0" w:line="360" w:lineRule="auto"/>
        <w:rPr>
          <w:rFonts w:ascii="Arial" w:cs="Arial" w:eastAsia="Arial" w:hAnsi="Arial"/>
          <w:sz w:val="18"/>
          <w:szCs w:val="18"/>
          <w:color w:val="auto"/>
        </w:rPr>
      </w:pPr>
      <w:r>
        <w:rPr>
          <w:rFonts w:ascii="Arial" w:cs="Arial" w:eastAsia="Arial" w:hAnsi="Arial"/>
          <w:sz w:val="18"/>
          <w:szCs w:val="18"/>
          <w:color w:val="auto"/>
        </w:rPr>
        <w:t>Quarterly Results of Operations (unaudited); and Five Years in Review.</w:t>
      </w:r>
    </w:p>
    <w:p>
      <w:pPr>
        <w:ind w:left="700" w:hanging="341"/>
        <w:spacing w:after="0"/>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exhibits filed herewith or incorporated herein by reference are set forth in the Index of Exhibits included herein.</w:t>
      </w:r>
    </w:p>
    <w:p>
      <w:pPr>
        <w:spacing w:after="0" w:line="103" w:lineRule="exact"/>
        <w:rPr>
          <w:rFonts w:ascii="Arial" w:cs="Arial" w:eastAsia="Arial" w:hAnsi="Arial"/>
          <w:sz w:val="18"/>
          <w:szCs w:val="18"/>
          <w:color w:val="auto"/>
        </w:rPr>
      </w:pPr>
    </w:p>
    <w:p>
      <w:pPr>
        <w:ind w:left="700" w:hanging="692"/>
        <w:spacing w:after="0" w:line="299"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management contracts or compensatory plans or arrangements listed in the “Index of Exhibits” that are applicable to the executive officers named in the Summary Compensation Table which appears in Registrant’s 2010 Proxy Statement are preceded by an asterisk (*).</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XEROX CORPORATION</w:t>
      </w:r>
    </w:p>
    <w:p>
      <w:pPr>
        <w:spacing w:after="0" w:line="2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U</w:t>
      </w:r>
      <w:r>
        <w:rPr>
          <w:rFonts w:ascii="Arial" w:cs="Arial" w:eastAsia="Arial" w:hAnsi="Arial"/>
          <w:sz w:val="14"/>
          <w:szCs w:val="14"/>
          <w:color w:val="auto"/>
        </w:rPr>
        <w:t>RSULA</w:t>
      </w:r>
      <w:r>
        <w:rPr>
          <w:rFonts w:ascii="Arial" w:cs="Arial" w:eastAsia="Arial" w:hAnsi="Arial"/>
          <w:sz w:val="18"/>
          <w:szCs w:val="18"/>
          <w:color w:val="auto"/>
        </w:rPr>
        <w:t xml:space="preserve"> M. B</w:t>
      </w:r>
      <w:r>
        <w:rPr>
          <w:rFonts w:ascii="Arial" w:cs="Arial" w:eastAsia="Arial" w:hAnsi="Arial"/>
          <w:sz w:val="14"/>
          <w:szCs w:val="14"/>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Ursula M. Burns</w:t>
      </w:r>
    </w:p>
    <w:p>
      <w:pPr>
        <w:spacing w:after="0" w:line="225" w:lineRule="auto"/>
        <w:rPr>
          <w:sz w:val="20"/>
          <w:szCs w:val="20"/>
          <w:color w:val="auto"/>
        </w:rPr>
      </w:pPr>
      <w:r>
        <w:rPr>
          <w:rFonts w:ascii="Arial" w:cs="Arial" w:eastAsia="Arial" w:hAnsi="Arial"/>
          <w:sz w:val="14"/>
          <w:szCs w:val="14"/>
          <w:b w:val="1"/>
          <w:bCs w:val="1"/>
          <w:color w:val="auto"/>
        </w:rPr>
        <w:t>Chief Executive Officer</w:t>
      </w:r>
    </w:p>
    <w:p>
      <w:pPr>
        <w:spacing w:after="0"/>
        <w:rPr>
          <w:sz w:val="20"/>
          <w:szCs w:val="20"/>
          <w:color w:val="auto"/>
        </w:rPr>
      </w:pPr>
      <w:r>
        <w:rPr>
          <w:rFonts w:ascii="Arial" w:cs="Arial" w:eastAsia="Arial" w:hAnsi="Arial"/>
          <w:sz w:val="14"/>
          <w:szCs w:val="14"/>
          <w:b w:val="1"/>
          <w:bCs w:val="1"/>
          <w:color w:val="auto"/>
        </w:rPr>
        <w:t>February 26, 2010</w:t>
      </w:r>
    </w:p>
    <w:p>
      <w:pPr>
        <w:spacing w:after="0" w:line="16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560" w:type="dxa"/>
            <w:vAlign w:val="bottom"/>
          </w:tcPr>
          <w:p>
            <w:pPr>
              <w:spacing w:after="0"/>
              <w:rPr>
                <w:sz w:val="15"/>
                <w:szCs w:val="15"/>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r>
      <w:tr>
        <w:trPr>
          <w:trHeight w:val="316"/>
        </w:trPr>
        <w:tc>
          <w:tcPr>
            <w:tcW w:w="4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Principal Executive Officer:</w:t>
            </w:r>
          </w:p>
        </w:tc>
        <w:tc>
          <w:tcPr>
            <w:tcW w:w="56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407"/>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RSULA</w:t>
            </w:r>
            <w:r>
              <w:rPr>
                <w:rFonts w:ascii="Arial" w:cs="Arial" w:eastAsia="Arial" w:hAnsi="Arial"/>
                <w:sz w:val="18"/>
                <w:szCs w:val="18"/>
                <w:color w:val="auto"/>
              </w:rPr>
              <w:t xml:space="preserve"> M. B</w:t>
            </w:r>
            <w:r>
              <w:rPr>
                <w:rFonts w:ascii="Arial" w:cs="Arial" w:eastAsia="Arial" w:hAnsi="Arial"/>
                <w:sz w:val="14"/>
                <w:szCs w:val="14"/>
                <w:color w:val="auto"/>
              </w:rPr>
              <w:t>URNS</w:t>
            </w:r>
          </w:p>
        </w:tc>
        <w:tc>
          <w:tcPr>
            <w:tcW w:w="5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17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Ursula M. Burns</w:t>
            </w:r>
          </w:p>
        </w:tc>
        <w:tc>
          <w:tcPr>
            <w:tcW w:w="56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306"/>
        </w:trPr>
        <w:tc>
          <w:tcPr>
            <w:tcW w:w="4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Principal Financial Officer:</w:t>
            </w:r>
          </w:p>
        </w:tc>
        <w:tc>
          <w:tcPr>
            <w:tcW w:w="56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407"/>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AWRENCE</w:t>
            </w:r>
            <w:r>
              <w:rPr>
                <w:rFonts w:ascii="Arial" w:cs="Arial" w:eastAsia="Arial" w:hAnsi="Arial"/>
                <w:sz w:val="18"/>
                <w:szCs w:val="18"/>
                <w:color w:val="auto"/>
              </w:rPr>
              <w:t xml:space="preserve"> A. Z</w:t>
            </w:r>
            <w:r>
              <w:rPr>
                <w:rFonts w:ascii="Arial" w:cs="Arial" w:eastAsia="Arial" w:hAnsi="Arial"/>
                <w:sz w:val="14"/>
                <w:szCs w:val="14"/>
                <w:color w:val="auto"/>
              </w:rPr>
              <w:t>IMMERMAN</w:t>
            </w:r>
          </w:p>
        </w:tc>
        <w:tc>
          <w:tcPr>
            <w:tcW w:w="5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Vice Chairman and Chief Financial Officer</w:t>
            </w:r>
          </w:p>
        </w:tc>
      </w:tr>
      <w:tr>
        <w:trPr>
          <w:trHeight w:val="17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Lawrence A. Zimmerman</w:t>
            </w:r>
          </w:p>
        </w:tc>
        <w:tc>
          <w:tcPr>
            <w:tcW w:w="56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306"/>
        </w:trPr>
        <w:tc>
          <w:tcPr>
            <w:tcW w:w="4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Principal Accounting Officer:</w:t>
            </w:r>
          </w:p>
        </w:tc>
        <w:tc>
          <w:tcPr>
            <w:tcW w:w="56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407"/>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R. K</w:t>
            </w:r>
            <w:r>
              <w:rPr>
                <w:rFonts w:ascii="Arial" w:cs="Arial" w:eastAsia="Arial" w:hAnsi="Arial"/>
                <w:sz w:val="14"/>
                <w:szCs w:val="14"/>
                <w:color w:val="auto"/>
              </w:rPr>
              <w:t>ABURECK</w:t>
            </w:r>
          </w:p>
        </w:tc>
        <w:tc>
          <w:tcPr>
            <w:tcW w:w="5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Vice President and Chief Accounting Officer</w:t>
            </w:r>
          </w:p>
        </w:tc>
      </w:tr>
      <w:tr>
        <w:trPr>
          <w:trHeight w:val="17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Gary R. Kabureck</w:t>
            </w:r>
          </w:p>
        </w:tc>
        <w:tc>
          <w:tcPr>
            <w:tcW w:w="56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403"/>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NNE</w:t>
            </w:r>
            <w:r>
              <w:rPr>
                <w:rFonts w:ascii="Arial" w:cs="Arial" w:eastAsia="Arial" w:hAnsi="Arial"/>
                <w:sz w:val="18"/>
                <w:szCs w:val="18"/>
                <w:color w:val="auto"/>
              </w:rPr>
              <w:t xml:space="preserve"> M. M</w:t>
            </w:r>
            <w:r>
              <w:rPr>
                <w:rFonts w:ascii="Arial" w:cs="Arial" w:eastAsia="Arial" w:hAnsi="Arial"/>
                <w:sz w:val="14"/>
                <w:szCs w:val="14"/>
                <w:color w:val="auto"/>
              </w:rPr>
              <w:t>ULCAHY</w:t>
            </w:r>
          </w:p>
        </w:tc>
        <w:tc>
          <w:tcPr>
            <w:tcW w:w="5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Chairman of the Board and Director</w:t>
            </w:r>
          </w:p>
        </w:tc>
      </w:tr>
      <w:tr>
        <w:trPr>
          <w:trHeight w:val="17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Anne M. Mulcahy</w:t>
            </w:r>
          </w:p>
        </w:tc>
        <w:tc>
          <w:tcPr>
            <w:tcW w:w="56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403"/>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LENN</w:t>
            </w:r>
            <w:r>
              <w:rPr>
                <w:rFonts w:ascii="Arial" w:cs="Arial" w:eastAsia="Arial" w:hAnsi="Arial"/>
                <w:sz w:val="18"/>
                <w:szCs w:val="18"/>
                <w:color w:val="auto"/>
              </w:rPr>
              <w:t xml:space="preserve"> A. B</w:t>
            </w:r>
            <w:r>
              <w:rPr>
                <w:rFonts w:ascii="Arial" w:cs="Arial" w:eastAsia="Arial" w:hAnsi="Arial"/>
                <w:sz w:val="14"/>
                <w:szCs w:val="14"/>
                <w:color w:val="auto"/>
              </w:rPr>
              <w:t>RITT</w:t>
            </w:r>
          </w:p>
        </w:tc>
        <w:tc>
          <w:tcPr>
            <w:tcW w:w="5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17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Glenn A. Britt</w:t>
            </w:r>
          </w:p>
        </w:tc>
        <w:tc>
          <w:tcPr>
            <w:tcW w:w="56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403"/>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J. H</w:t>
            </w:r>
            <w:r>
              <w:rPr>
                <w:rFonts w:ascii="Arial" w:cs="Arial" w:eastAsia="Arial" w:hAnsi="Arial"/>
                <w:sz w:val="14"/>
                <w:szCs w:val="14"/>
                <w:color w:val="auto"/>
              </w:rPr>
              <w:t>ARRINGTON</w:t>
            </w:r>
          </w:p>
        </w:tc>
        <w:tc>
          <w:tcPr>
            <w:tcW w:w="5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17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Richard J. Harrington</w:t>
            </w:r>
          </w:p>
        </w:tc>
        <w:tc>
          <w:tcPr>
            <w:tcW w:w="56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403"/>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C</w:t>
            </w:r>
            <w:r>
              <w:rPr>
                <w:rFonts w:ascii="Arial" w:cs="Arial" w:eastAsia="Arial" w:hAnsi="Arial"/>
                <w:sz w:val="14"/>
                <w:szCs w:val="14"/>
                <w:color w:val="auto"/>
              </w:rPr>
              <w:t>URT</w:t>
            </w:r>
            <w:r>
              <w:rPr>
                <w:rFonts w:ascii="Arial" w:cs="Arial" w:eastAsia="Arial" w:hAnsi="Arial"/>
                <w:sz w:val="18"/>
                <w:szCs w:val="18"/>
                <w:color w:val="auto"/>
              </w:rPr>
              <w:t xml:space="preserve"> H</w:t>
            </w:r>
            <w:r>
              <w:rPr>
                <w:rFonts w:ascii="Arial" w:cs="Arial" w:eastAsia="Arial" w:hAnsi="Arial"/>
                <w:sz w:val="14"/>
                <w:szCs w:val="14"/>
                <w:color w:val="auto"/>
              </w:rPr>
              <w:t>UNTER</w:t>
            </w:r>
          </w:p>
        </w:tc>
        <w:tc>
          <w:tcPr>
            <w:tcW w:w="5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17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William Curt Hunter</w:t>
            </w:r>
          </w:p>
        </w:tc>
        <w:tc>
          <w:tcPr>
            <w:tcW w:w="56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403"/>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A. 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ONALD</w:t>
            </w:r>
          </w:p>
        </w:tc>
        <w:tc>
          <w:tcPr>
            <w:tcW w:w="5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17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Robert A. McDonald</w:t>
            </w:r>
          </w:p>
        </w:tc>
        <w:tc>
          <w:tcPr>
            <w:tcW w:w="56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403"/>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 J. N</w:t>
            </w:r>
            <w:r>
              <w:rPr>
                <w:rFonts w:ascii="Arial" w:cs="Arial" w:eastAsia="Arial" w:hAnsi="Arial"/>
                <w:sz w:val="14"/>
                <w:szCs w:val="14"/>
                <w:color w:val="auto"/>
              </w:rPr>
              <w:t>ICHOLAS</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17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N. J. Nicholas, Jr.</w:t>
            </w:r>
          </w:p>
        </w:tc>
        <w:tc>
          <w:tcPr>
            <w:tcW w:w="56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403"/>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HARLES</w:t>
            </w:r>
            <w:r>
              <w:rPr>
                <w:rFonts w:ascii="Arial" w:cs="Arial" w:eastAsia="Arial" w:hAnsi="Arial"/>
                <w:sz w:val="18"/>
                <w:szCs w:val="18"/>
                <w:color w:val="auto"/>
              </w:rPr>
              <w:t xml:space="preserve"> P</w:t>
            </w:r>
            <w:r>
              <w:rPr>
                <w:rFonts w:ascii="Arial" w:cs="Arial" w:eastAsia="Arial" w:hAnsi="Arial"/>
                <w:sz w:val="14"/>
                <w:szCs w:val="14"/>
                <w:color w:val="auto"/>
              </w:rPr>
              <w:t>RINCE</w:t>
            </w:r>
          </w:p>
        </w:tc>
        <w:tc>
          <w:tcPr>
            <w:tcW w:w="5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17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Charles Prince</w:t>
            </w:r>
          </w:p>
        </w:tc>
        <w:tc>
          <w:tcPr>
            <w:tcW w:w="56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403"/>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w:t>
            </w:r>
            <w:r>
              <w:rPr>
                <w:rFonts w:ascii="Arial" w:cs="Arial" w:eastAsia="Arial" w:hAnsi="Arial"/>
                <w:sz w:val="18"/>
                <w:szCs w:val="18"/>
                <w:color w:val="auto"/>
              </w:rPr>
              <w:t xml:space="preserve"> N. R</w:t>
            </w:r>
            <w:r>
              <w:rPr>
                <w:rFonts w:ascii="Arial" w:cs="Arial" w:eastAsia="Arial" w:hAnsi="Arial"/>
                <w:sz w:val="14"/>
                <w:szCs w:val="14"/>
                <w:color w:val="auto"/>
              </w:rPr>
              <w:t>EESE</w:t>
            </w:r>
          </w:p>
        </w:tc>
        <w:tc>
          <w:tcPr>
            <w:tcW w:w="5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17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Ann N. Reese</w:t>
            </w:r>
          </w:p>
        </w:tc>
        <w:tc>
          <w:tcPr>
            <w:tcW w:w="56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403"/>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ARY</w:t>
            </w:r>
            <w:r>
              <w:rPr>
                <w:rFonts w:ascii="Arial" w:cs="Arial" w:eastAsia="Arial" w:hAnsi="Arial"/>
                <w:sz w:val="18"/>
                <w:szCs w:val="18"/>
                <w:color w:val="auto"/>
              </w:rPr>
              <w:t xml:space="preserve"> A</w:t>
            </w:r>
            <w:r>
              <w:rPr>
                <w:rFonts w:ascii="Arial" w:cs="Arial" w:eastAsia="Arial" w:hAnsi="Arial"/>
                <w:sz w:val="14"/>
                <w:szCs w:val="14"/>
                <w:color w:val="auto"/>
              </w:rPr>
              <w:t>GNES</w:t>
            </w:r>
            <w:r>
              <w:rPr>
                <w:rFonts w:ascii="Arial" w:cs="Arial" w:eastAsia="Arial" w:hAnsi="Arial"/>
                <w:sz w:val="18"/>
                <w:szCs w:val="18"/>
                <w:color w:val="auto"/>
              </w:rPr>
              <w:t xml:space="preserve"> W</w:t>
            </w:r>
            <w:r>
              <w:rPr>
                <w:rFonts w:ascii="Arial" w:cs="Arial" w:eastAsia="Arial" w:hAnsi="Arial"/>
                <w:sz w:val="14"/>
                <w:szCs w:val="14"/>
                <w:color w:val="auto"/>
              </w:rPr>
              <w:t>ILDEROTTER</w:t>
            </w:r>
          </w:p>
        </w:tc>
        <w:tc>
          <w:tcPr>
            <w:tcW w:w="56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172"/>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Mary Agnes Wilderotter</w:t>
            </w:r>
          </w:p>
        </w:tc>
        <w:tc>
          <w:tcPr>
            <w:tcW w:w="56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346"/>
        </w:trPr>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180" w:type="dxa"/>
            <w:vAlign w:val="bottom"/>
            <w:gridSpan w:val="2"/>
          </w:tcPr>
          <w:p>
            <w:pPr>
              <w:jc w:val="right"/>
              <w:ind w:right="5514"/>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Report of Independent Registered Public Accounting Firm on Financial Statement Schedule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Xerox Corporation:</w:t>
      </w:r>
    </w:p>
    <w:p>
      <w:pPr>
        <w:spacing w:after="0" w:line="7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audits of the consolidated financial statements and of the effectiveness of internal control over financial reporting referred to in our report dated February 26, 2010 appearing in the 2009 Annual Report to Shareholders of Xerox Corporation (which report and consolidated financial statements are incorporated by reference in this Annual Report on Form 10-K) also included an audit of the financial statement schedule listed in Item 15(a)(1) of this Form 10-K. In our opinion, this financial statement schedule presents fairly, in all material respects, the information set forth therein when read in conjunction with the related consolidated financial statements.</w:t>
      </w:r>
    </w:p>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PricewaterhouseCoopers LLP</w:t>
      </w:r>
    </w:p>
    <w:p>
      <w:pPr>
        <w:spacing w:after="0" w:line="225" w:lineRule="auto"/>
        <w:rPr>
          <w:sz w:val="20"/>
          <w:szCs w:val="20"/>
          <w:color w:val="auto"/>
        </w:rPr>
      </w:pPr>
      <w:r>
        <w:rPr>
          <w:rFonts w:ascii="Arial" w:cs="Arial" w:eastAsia="Arial" w:hAnsi="Arial"/>
          <w:sz w:val="14"/>
          <w:szCs w:val="14"/>
          <w:b w:val="1"/>
          <w:bCs w:val="1"/>
          <w:color w:val="auto"/>
        </w:rPr>
        <w:t>Stamford, Connecticut</w:t>
      </w:r>
    </w:p>
    <w:p>
      <w:pPr>
        <w:spacing w:after="0"/>
        <w:rPr>
          <w:sz w:val="20"/>
          <w:szCs w:val="20"/>
          <w:color w:val="auto"/>
        </w:rPr>
      </w:pPr>
      <w:r>
        <w:rPr>
          <w:rFonts w:ascii="Arial" w:cs="Arial" w:eastAsia="Arial" w:hAnsi="Arial"/>
          <w:sz w:val="14"/>
          <w:szCs w:val="14"/>
          <w:b w:val="1"/>
          <w:bCs w:val="1"/>
          <w:color w:val="auto"/>
        </w:rPr>
        <w:t>February 26, 2010</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SCHEDULE II</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VALUATION AND QUALIFYING ACCOUNTS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Year ended December 31, 2009, 2008 and 2007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Amounts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(credited)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Additions</w:t>
            </w:r>
          </w:p>
        </w:tc>
        <w:tc>
          <w:tcPr>
            <w:tcW w:w="22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charged to</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rPr>
              <w:t>Balance</w:t>
            </w:r>
          </w:p>
        </w:tc>
        <w:tc>
          <w:tcPr>
            <w:tcW w:w="46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charged to</w:t>
            </w:r>
          </w:p>
        </w:tc>
        <w:tc>
          <w:tcPr>
            <w:tcW w:w="2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income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7"/>
              </w:rPr>
              <w:t>Deductions</w:t>
            </w:r>
          </w:p>
        </w:tc>
        <w:tc>
          <w:tcPr>
            <w:tcW w:w="2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Balance</w:t>
            </w:r>
          </w:p>
        </w:tc>
      </w:tr>
      <w:tr>
        <w:trPr>
          <w:trHeight w:val="13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3"/>
              </w:rPr>
              <w:t>at beginning</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9"/>
              </w:rPr>
              <w:t>bad debt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20"/>
              <w:spacing w:after="0" w:line="139" w:lineRule="exact"/>
              <w:rPr>
                <w:sz w:val="20"/>
                <w:szCs w:val="20"/>
                <w:color w:val="auto"/>
              </w:rPr>
            </w:pPr>
            <w:r>
              <w:rPr>
                <w:rFonts w:ascii="Arial" w:cs="Arial" w:eastAsia="Arial" w:hAnsi="Arial"/>
                <w:sz w:val="14"/>
                <w:szCs w:val="14"/>
                <w:b w:val="1"/>
                <w:bCs w:val="1"/>
                <w:color w:val="auto"/>
                <w:w w:val="96"/>
              </w:rPr>
              <w:t>statement</w:t>
            </w:r>
          </w:p>
        </w:tc>
        <w:tc>
          <w:tcPr>
            <w:tcW w:w="240" w:type="dxa"/>
            <w:vAlign w:val="bottom"/>
          </w:tcPr>
          <w:p>
            <w:pPr>
              <w:spacing w:after="0"/>
              <w:rPr>
                <w:sz w:val="12"/>
                <w:szCs w:val="12"/>
                <w:color w:val="auto"/>
              </w:rPr>
            </w:pPr>
          </w:p>
        </w:tc>
        <w:tc>
          <w:tcPr>
            <w:tcW w:w="1340" w:type="dxa"/>
            <w:vAlign w:val="bottom"/>
            <w:gridSpan w:val="3"/>
          </w:tcPr>
          <w:p>
            <w:pPr>
              <w:jc w:val="right"/>
              <w:ind w:right="380"/>
              <w:spacing w:after="0" w:line="139" w:lineRule="exact"/>
              <w:rPr>
                <w:sz w:val="20"/>
                <w:szCs w:val="20"/>
                <w:color w:val="auto"/>
              </w:rPr>
            </w:pPr>
            <w:r>
              <w:rPr>
                <w:rFonts w:ascii="Arial" w:cs="Arial" w:eastAsia="Arial" w:hAnsi="Arial"/>
                <w:sz w:val="14"/>
                <w:szCs w:val="14"/>
                <w:b w:val="1"/>
                <w:bCs w:val="1"/>
                <w:color w:val="auto"/>
              </w:rPr>
              <w:t>and other, net</w:t>
            </w:r>
          </w:p>
        </w:tc>
        <w:tc>
          <w:tcPr>
            <w:tcW w:w="260" w:type="dxa"/>
            <w:vAlign w:val="bottom"/>
          </w:tcPr>
          <w:p>
            <w:pPr>
              <w:spacing w:after="0"/>
              <w:rPr>
                <w:sz w:val="12"/>
                <w:szCs w:val="12"/>
                <w:color w:val="auto"/>
              </w:rPr>
            </w:pPr>
          </w:p>
        </w:tc>
        <w:tc>
          <w:tcPr>
            <w:tcW w:w="580" w:type="dxa"/>
            <w:vAlign w:val="bottom"/>
            <w:gridSpan w:val="2"/>
          </w:tcPr>
          <w:p>
            <w:pPr>
              <w:jc w:val="right"/>
              <w:ind w:right="12"/>
              <w:spacing w:after="0" w:line="139" w:lineRule="exact"/>
              <w:rPr>
                <w:sz w:val="20"/>
                <w:szCs w:val="20"/>
                <w:color w:val="auto"/>
              </w:rPr>
            </w:pPr>
            <w:r>
              <w:rPr>
                <w:rFonts w:ascii="Arial" w:cs="Arial" w:eastAsia="Arial" w:hAnsi="Arial"/>
                <w:sz w:val="14"/>
                <w:szCs w:val="14"/>
                <w:b w:val="1"/>
                <w:bCs w:val="1"/>
                <w:color w:val="auto"/>
              </w:rPr>
              <w:t>at end</w:t>
            </w:r>
          </w:p>
        </w:tc>
      </w:tr>
      <w:tr>
        <w:trPr>
          <w:trHeight w:val="176"/>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of period</w:t>
            </w:r>
          </w:p>
        </w:tc>
        <w:tc>
          <w:tcPr>
            <w:tcW w:w="460" w:type="dxa"/>
            <w:vAlign w:val="bottom"/>
          </w:tcPr>
          <w:p>
            <w:pPr>
              <w:spacing w:after="0"/>
              <w:rPr>
                <w:sz w:val="15"/>
                <w:szCs w:val="15"/>
                <w:color w:val="auto"/>
              </w:rPr>
            </w:pPr>
          </w:p>
        </w:tc>
        <w:tc>
          <w:tcPr>
            <w:tcW w:w="102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provision </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1160" w:type="dxa"/>
            <w:vAlign w:val="bottom"/>
            <w:gridSpan w:val="3"/>
          </w:tcPr>
          <w:p>
            <w:pPr>
              <w:jc w:val="center"/>
              <w:ind w:right="300"/>
              <w:spacing w:after="0" w:line="176" w:lineRule="exact"/>
              <w:rPr>
                <w:sz w:val="20"/>
                <w:szCs w:val="20"/>
                <w:color w:val="auto"/>
              </w:rPr>
            </w:pPr>
            <w:r>
              <w:rPr>
                <w:rFonts w:ascii="Arial" w:cs="Arial" w:eastAsia="Arial" w:hAnsi="Arial"/>
                <w:sz w:val="13"/>
                <w:szCs w:val="13"/>
                <w:b w:val="1"/>
                <w:bCs w:val="1"/>
                <w:color w:val="auto"/>
              </w:rPr>
              <w:t xml:space="preserve">accounts </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34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 xml:space="preserve">of recoveries </w:t>
            </w:r>
            <w:r>
              <w:rPr>
                <w:rFonts w:ascii="Arial" w:cs="Arial" w:eastAsia="Arial" w:hAnsi="Arial"/>
                <w:sz w:val="20"/>
                <w:szCs w:val="20"/>
                <w:b w:val="1"/>
                <w:bCs w:val="1"/>
                <w:color w:val="auto"/>
                <w:vertAlign w:val="superscript"/>
              </w:rPr>
              <w:t>(2)</w:t>
            </w:r>
          </w:p>
        </w:tc>
        <w:tc>
          <w:tcPr>
            <w:tcW w:w="2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3"/>
              </w:rPr>
              <w:t>of period</w:t>
            </w:r>
          </w:p>
        </w:tc>
      </w:tr>
      <w:tr>
        <w:trPr>
          <w:trHeight w:val="196"/>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2009</w:t>
            </w:r>
          </w:p>
        </w:tc>
        <w:tc>
          <w:tcPr>
            <w:tcW w:w="46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r>
      <w:tr>
        <w:trPr>
          <w:trHeight w:val="203"/>
        </w:trPr>
        <w:tc>
          <w:tcPr>
            <w:tcW w:w="5320" w:type="dxa"/>
            <w:vAlign w:val="bottom"/>
            <w:gridSpan w:val="3"/>
          </w:tcPr>
          <w:p>
            <w:pPr>
              <w:spacing w:after="0" w:line="202" w:lineRule="exact"/>
              <w:rPr>
                <w:sz w:val="20"/>
                <w:szCs w:val="20"/>
                <w:color w:val="auto"/>
              </w:rPr>
            </w:pPr>
            <w:r>
              <w:rPr>
                <w:rFonts w:ascii="Arial" w:cs="Arial" w:eastAsia="Arial" w:hAnsi="Arial"/>
                <w:sz w:val="18"/>
                <w:szCs w:val="18"/>
                <w:color w:val="auto"/>
              </w:rPr>
              <w:t>Allowance for Losses on:</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5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(92)</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r>
      <w:tr>
        <w:trPr>
          <w:trHeight w:val="203"/>
        </w:trPr>
        <w:tc>
          <w:tcPr>
            <w:tcW w:w="20" w:type="dxa"/>
            <w:vAlign w:val="bottom"/>
          </w:tcPr>
          <w:p>
            <w:pPr>
              <w:spacing w:after="0"/>
              <w:rPr>
                <w:sz w:val="17"/>
                <w:szCs w:val="17"/>
                <w:color w:val="auto"/>
              </w:rPr>
            </w:pPr>
          </w:p>
        </w:tc>
        <w:tc>
          <w:tcPr>
            <w:tcW w:w="53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Finance Receivables</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w:t>
            </w:r>
          </w:p>
        </w:tc>
        <w:tc>
          <w:tcPr>
            <w:tcW w:w="5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(248)</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r>
      <w:tr>
        <w:trPr>
          <w:trHeight w:val="210"/>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2008</w:t>
            </w:r>
          </w:p>
        </w:tc>
        <w:tc>
          <w:tcPr>
            <w:tcW w:w="4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Allowance for Losses on:</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560" w:type="dxa"/>
            <w:vAlign w:val="bottom"/>
            <w:gridSpan w:val="2"/>
          </w:tcPr>
          <w:p>
            <w:pPr>
              <w:ind w:left="46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w:t>
            </w:r>
          </w:p>
        </w:tc>
        <w:tc>
          <w:tcPr>
            <w:tcW w:w="32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360" w:type="dxa"/>
            <w:vAlign w:val="bottom"/>
            <w:gridSpan w:val="2"/>
          </w:tcPr>
          <w:p>
            <w:pPr>
              <w:ind w:left="24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(69)</w:t>
            </w:r>
          </w:p>
        </w:tc>
        <w:tc>
          <w:tcPr>
            <w:tcW w:w="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Finance Receivables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331</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(201)</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03"/>
        </w:trPr>
        <w:tc>
          <w:tcPr>
            <w:tcW w:w="20" w:type="dxa"/>
            <w:vAlign w:val="bottom"/>
          </w:tcPr>
          <w:p>
            <w:pPr>
              <w:spacing w:after="0"/>
              <w:rPr>
                <w:sz w:val="17"/>
                <w:szCs w:val="17"/>
                <w:color w:val="auto"/>
              </w:rPr>
            </w:pPr>
          </w:p>
        </w:tc>
        <w:tc>
          <w:tcPr>
            <w:tcW w:w="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2007</w:t>
            </w:r>
          </w:p>
        </w:tc>
        <w:tc>
          <w:tcPr>
            <w:tcW w:w="46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r>
      <w:tr>
        <w:trPr>
          <w:trHeight w:val="203"/>
        </w:trPr>
        <w:tc>
          <w:tcPr>
            <w:tcW w:w="5320" w:type="dxa"/>
            <w:vAlign w:val="bottom"/>
            <w:gridSpan w:val="3"/>
          </w:tcPr>
          <w:p>
            <w:pPr>
              <w:spacing w:after="0" w:line="202" w:lineRule="exact"/>
              <w:rPr>
                <w:sz w:val="20"/>
                <w:szCs w:val="20"/>
                <w:color w:val="auto"/>
              </w:rPr>
            </w:pPr>
            <w:r>
              <w:rPr>
                <w:rFonts w:ascii="Arial" w:cs="Arial" w:eastAsia="Arial" w:hAnsi="Arial"/>
                <w:sz w:val="18"/>
                <w:szCs w:val="18"/>
                <w:color w:val="auto"/>
              </w:rPr>
              <w:t>Allowance for Losses on:</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c>
          <w:tcPr>
            <w:tcW w:w="5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55</w:t>
            </w:r>
          </w:p>
        </w:tc>
        <w:tc>
          <w:tcPr>
            <w:tcW w:w="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(42)</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r>
      <w:tr>
        <w:trPr>
          <w:trHeight w:val="203"/>
        </w:trPr>
        <w:tc>
          <w:tcPr>
            <w:tcW w:w="20" w:type="dxa"/>
            <w:vAlign w:val="bottom"/>
          </w:tcPr>
          <w:p>
            <w:pPr>
              <w:spacing w:after="0"/>
              <w:rPr>
                <w:sz w:val="17"/>
                <w:szCs w:val="17"/>
                <w:color w:val="auto"/>
              </w:rPr>
            </w:pPr>
          </w:p>
        </w:tc>
        <w:tc>
          <w:tcPr>
            <w:tcW w:w="53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Finance Receivables</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c>
          <w:tcPr>
            <w:tcW w:w="5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(114)</w:t>
            </w:r>
          </w:p>
        </w:tc>
        <w:tc>
          <w:tcPr>
            <w:tcW w:w="4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45" w:lineRule="exact"/>
        <w:rPr>
          <w:sz w:val="20"/>
          <w:szCs w:val="20"/>
          <w:color w:val="auto"/>
        </w:rPr>
      </w:pPr>
    </w:p>
    <w:p>
      <w:pPr>
        <w:ind w:left="460" w:right="160" w:hanging="452"/>
        <w:spacing w:after="0" w:line="23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Bad debt provisions relate to estimated losses due to credit and similar collectability issues. Other charges (credits) relate to adjustments to reserves necessary to reflect events of non-payment such as customer accommodations and contract terminations.</w:t>
      </w:r>
    </w:p>
    <w:p>
      <w:pPr>
        <w:spacing w:after="0" w:line="1" w:lineRule="exact"/>
        <w:rPr>
          <w:rFonts w:ascii="Arial" w:cs="Arial" w:eastAsia="Arial" w:hAnsi="Arial"/>
          <w:sz w:val="18"/>
          <w:szCs w:val="18"/>
          <w:color w:val="auto"/>
        </w:rPr>
      </w:pPr>
    </w:p>
    <w:p>
      <w:pPr>
        <w:ind w:left="460" w:right="200" w:hanging="452"/>
        <w:spacing w:after="0" w:line="23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Deductions and other, net of recoveries primarily relates to receivable write-offs, but also includes the impact of foreign currency translation adjustments and recoveries of previously written off receivables.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INDEX OF EXHIBITS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Document and Location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3(a)</w:t>
            </w:r>
          </w:p>
        </w:tc>
        <w:tc>
          <w:tcPr>
            <w:tcW w:w="10500" w:type="dxa"/>
            <w:vAlign w:val="bottom"/>
          </w:tcPr>
          <w:p>
            <w:pPr>
              <w:ind w:left="360"/>
              <w:spacing w:after="0"/>
              <w:rPr>
                <w:sz w:val="20"/>
                <w:szCs w:val="20"/>
                <w:color w:val="auto"/>
              </w:rPr>
            </w:pPr>
            <w:r>
              <w:rPr>
                <w:rFonts w:ascii="Arial" w:cs="Arial" w:eastAsia="Arial" w:hAnsi="Arial"/>
                <w:sz w:val="18"/>
                <w:szCs w:val="18"/>
                <w:color w:val="auto"/>
              </w:rPr>
              <w:t>Restated Certificate of Incorporation of Registrant filed with the Department of State of the State of New York on November 7,</w:t>
            </w:r>
          </w:p>
        </w:tc>
      </w:tr>
      <w:tr>
        <w:trPr>
          <w:trHeight w:val="203"/>
        </w:trPr>
        <w:tc>
          <w:tcPr>
            <w:tcW w:w="900" w:type="dxa"/>
            <w:vAlign w:val="bottom"/>
          </w:tcPr>
          <w:p>
            <w:pPr>
              <w:spacing w:after="0"/>
              <w:rPr>
                <w:sz w:val="17"/>
                <w:szCs w:val="17"/>
                <w:color w:val="auto"/>
              </w:rPr>
            </w:pPr>
          </w:p>
        </w:tc>
        <w:tc>
          <w:tcPr>
            <w:tcW w:w="10500" w:type="dxa"/>
            <w:vAlign w:val="bottom"/>
          </w:tcPr>
          <w:p>
            <w:pPr>
              <w:ind w:left="360"/>
              <w:spacing w:after="0" w:line="202" w:lineRule="exact"/>
              <w:rPr>
                <w:sz w:val="20"/>
                <w:szCs w:val="20"/>
                <w:color w:val="auto"/>
              </w:rPr>
            </w:pPr>
            <w:r>
              <w:rPr>
                <w:rFonts w:ascii="Arial" w:cs="Arial" w:eastAsia="Arial" w:hAnsi="Arial"/>
                <w:sz w:val="18"/>
                <w:szCs w:val="18"/>
                <w:color w:val="auto"/>
              </w:rPr>
              <w:t>2003, as amended by: Certificate of Amendment to Certificate of Incorporation filed with the Department of State of the State of</w:t>
            </w:r>
          </w:p>
        </w:tc>
      </w:tr>
      <w:tr>
        <w:trPr>
          <w:trHeight w:val="203"/>
        </w:trPr>
        <w:tc>
          <w:tcPr>
            <w:tcW w:w="900" w:type="dxa"/>
            <w:vAlign w:val="bottom"/>
          </w:tcPr>
          <w:p>
            <w:pPr>
              <w:spacing w:after="0"/>
              <w:rPr>
                <w:sz w:val="17"/>
                <w:szCs w:val="17"/>
                <w:color w:val="auto"/>
              </w:rPr>
            </w:pPr>
          </w:p>
        </w:tc>
        <w:tc>
          <w:tcPr>
            <w:tcW w:w="10500" w:type="dxa"/>
            <w:vAlign w:val="bottom"/>
          </w:tcPr>
          <w:p>
            <w:pPr>
              <w:ind w:left="360"/>
              <w:spacing w:after="0" w:line="202" w:lineRule="exact"/>
              <w:rPr>
                <w:sz w:val="20"/>
                <w:szCs w:val="20"/>
                <w:color w:val="auto"/>
              </w:rPr>
            </w:pPr>
            <w:r>
              <w:rPr>
                <w:rFonts w:ascii="Arial" w:cs="Arial" w:eastAsia="Arial" w:hAnsi="Arial"/>
                <w:sz w:val="18"/>
                <w:szCs w:val="18"/>
                <w:color w:val="auto"/>
                <w:w w:val="99"/>
              </w:rPr>
              <w:t>New York on August 19, 2004; Certificate of Change filed with the Department of State of the State of New York on October 31,</w:t>
            </w:r>
          </w:p>
        </w:tc>
      </w:tr>
      <w:tr>
        <w:trPr>
          <w:trHeight w:val="203"/>
        </w:trPr>
        <w:tc>
          <w:tcPr>
            <w:tcW w:w="900" w:type="dxa"/>
            <w:vAlign w:val="bottom"/>
          </w:tcPr>
          <w:p>
            <w:pPr>
              <w:spacing w:after="0"/>
              <w:rPr>
                <w:sz w:val="17"/>
                <w:szCs w:val="17"/>
                <w:color w:val="auto"/>
              </w:rPr>
            </w:pPr>
          </w:p>
        </w:tc>
        <w:tc>
          <w:tcPr>
            <w:tcW w:w="10500" w:type="dxa"/>
            <w:vAlign w:val="bottom"/>
          </w:tcPr>
          <w:p>
            <w:pPr>
              <w:ind w:left="360"/>
              <w:spacing w:after="0" w:line="202" w:lineRule="exact"/>
              <w:rPr>
                <w:sz w:val="20"/>
                <w:szCs w:val="20"/>
                <w:color w:val="auto"/>
              </w:rPr>
            </w:pPr>
            <w:r>
              <w:rPr>
                <w:rFonts w:ascii="Arial" w:cs="Arial" w:eastAsia="Arial" w:hAnsi="Arial"/>
                <w:sz w:val="18"/>
                <w:szCs w:val="18"/>
                <w:color w:val="auto"/>
              </w:rPr>
              <w:t>2007; Certificate of Amendment to Certificate of Incorporation filed with the Department of State of the State of New York on</w:t>
            </w:r>
          </w:p>
        </w:tc>
      </w:tr>
      <w:tr>
        <w:trPr>
          <w:trHeight w:val="203"/>
        </w:trPr>
        <w:tc>
          <w:tcPr>
            <w:tcW w:w="900" w:type="dxa"/>
            <w:vAlign w:val="bottom"/>
          </w:tcPr>
          <w:p>
            <w:pPr>
              <w:spacing w:after="0"/>
              <w:rPr>
                <w:sz w:val="17"/>
                <w:szCs w:val="17"/>
                <w:color w:val="auto"/>
              </w:rPr>
            </w:pPr>
          </w:p>
        </w:tc>
        <w:tc>
          <w:tcPr>
            <w:tcW w:w="10500" w:type="dxa"/>
            <w:vAlign w:val="bottom"/>
          </w:tcPr>
          <w:p>
            <w:pPr>
              <w:ind w:left="360"/>
              <w:spacing w:after="0" w:line="202" w:lineRule="exact"/>
              <w:rPr>
                <w:sz w:val="20"/>
                <w:szCs w:val="20"/>
                <w:color w:val="auto"/>
              </w:rPr>
            </w:pPr>
            <w:r>
              <w:rPr>
                <w:rFonts w:ascii="Arial" w:cs="Arial" w:eastAsia="Arial" w:hAnsi="Arial"/>
                <w:sz w:val="18"/>
                <w:szCs w:val="18"/>
                <w:color w:val="auto"/>
                <w:w w:val="98"/>
              </w:rPr>
              <w:t>May 29, 2008; Certificate of Amendment to Certificate of Incorporation filed with the Department of State of the State of New York</w:t>
            </w:r>
          </w:p>
        </w:tc>
      </w:tr>
      <w:tr>
        <w:trPr>
          <w:trHeight w:val="203"/>
        </w:trPr>
        <w:tc>
          <w:tcPr>
            <w:tcW w:w="900" w:type="dxa"/>
            <w:vAlign w:val="bottom"/>
          </w:tcPr>
          <w:p>
            <w:pPr>
              <w:spacing w:after="0"/>
              <w:rPr>
                <w:sz w:val="17"/>
                <w:szCs w:val="17"/>
                <w:color w:val="auto"/>
              </w:rPr>
            </w:pPr>
          </w:p>
        </w:tc>
        <w:tc>
          <w:tcPr>
            <w:tcW w:w="10500" w:type="dxa"/>
            <w:vAlign w:val="bottom"/>
          </w:tcPr>
          <w:p>
            <w:pPr>
              <w:ind w:left="360"/>
              <w:spacing w:after="0" w:line="202" w:lineRule="exact"/>
              <w:rPr>
                <w:sz w:val="20"/>
                <w:szCs w:val="20"/>
                <w:color w:val="auto"/>
              </w:rPr>
            </w:pPr>
            <w:r>
              <w:rPr>
                <w:rFonts w:ascii="Arial" w:cs="Arial" w:eastAsia="Arial" w:hAnsi="Arial"/>
                <w:sz w:val="18"/>
                <w:szCs w:val="18"/>
                <w:color w:val="auto"/>
                <w:w w:val="98"/>
              </w:rPr>
              <w:t>on February 13, 2009 and; Certificate of Amendment to Certificate of Incorporation filed with the Department of State of the State</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of New York on February 3, 2010.</w:t>
            </w:r>
          </w:p>
        </w:tc>
      </w:tr>
      <w:tr>
        <w:trPr>
          <w:trHeight w:val="311"/>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by reference to Exhibit 3.1 to Registrant’s Current Report on Form 8-K dated February 5, 2010.</w:t>
            </w:r>
          </w:p>
        </w:tc>
      </w:tr>
      <w:tr>
        <w:trPr>
          <w:trHeight w:val="311"/>
        </w:trPr>
        <w:tc>
          <w:tcPr>
            <w:tcW w:w="900" w:type="dxa"/>
            <w:vAlign w:val="bottom"/>
          </w:tcPr>
          <w:p>
            <w:pPr>
              <w:spacing w:after="0"/>
              <w:rPr>
                <w:sz w:val="20"/>
                <w:szCs w:val="20"/>
                <w:color w:val="auto"/>
              </w:rPr>
            </w:pPr>
            <w:r>
              <w:rPr>
                <w:rFonts w:ascii="Arial" w:cs="Arial" w:eastAsia="Arial" w:hAnsi="Arial"/>
                <w:sz w:val="18"/>
                <w:szCs w:val="18"/>
                <w:color w:val="auto"/>
              </w:rPr>
              <w:t>3(b)</w:t>
            </w:r>
          </w:p>
        </w:tc>
        <w:tc>
          <w:tcPr>
            <w:tcW w:w="10500" w:type="dxa"/>
            <w:vAlign w:val="bottom"/>
          </w:tcPr>
          <w:p>
            <w:pPr>
              <w:ind w:left="360"/>
              <w:spacing w:after="0"/>
              <w:rPr>
                <w:sz w:val="20"/>
                <w:szCs w:val="20"/>
                <w:color w:val="auto"/>
              </w:rPr>
            </w:pPr>
            <w:r>
              <w:rPr>
                <w:rFonts w:ascii="Arial" w:cs="Arial" w:eastAsia="Arial" w:hAnsi="Arial"/>
                <w:sz w:val="18"/>
                <w:szCs w:val="18"/>
                <w:color w:val="auto"/>
              </w:rPr>
              <w:t>By-Laws of Registrant, as amended through May 21, 2009.</w:t>
            </w:r>
          </w:p>
        </w:tc>
      </w:tr>
      <w:tr>
        <w:trPr>
          <w:trHeight w:val="311"/>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by reference to Exhibit 3(b) to Registrant’s Current Report on Form 8-K dated May 21, 2009 (filed May 28, 2009).</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4(a)(1)</w:t>
            </w:r>
          </w:p>
        </w:tc>
        <w:tc>
          <w:tcPr>
            <w:tcW w:w="10500" w:type="dxa"/>
            <w:vAlign w:val="bottom"/>
          </w:tcPr>
          <w:p>
            <w:pPr>
              <w:ind w:left="360"/>
              <w:spacing w:after="0"/>
              <w:rPr>
                <w:sz w:val="20"/>
                <w:szCs w:val="20"/>
                <w:color w:val="auto"/>
              </w:rPr>
            </w:pPr>
            <w:r>
              <w:rPr>
                <w:rFonts w:ascii="Arial" w:cs="Arial" w:eastAsia="Arial" w:hAnsi="Arial"/>
                <w:sz w:val="18"/>
                <w:szCs w:val="18"/>
                <w:color w:val="auto"/>
                <w:w w:val="98"/>
              </w:rPr>
              <w:t>Indenture dated as of December 1, 1991, between Registrant and Citibank, N.A., as trustee, relating to unlimited amounts of debt</w:t>
            </w:r>
          </w:p>
        </w:tc>
      </w:tr>
      <w:tr>
        <w:trPr>
          <w:trHeight w:val="203"/>
        </w:trPr>
        <w:tc>
          <w:tcPr>
            <w:tcW w:w="900" w:type="dxa"/>
            <w:vAlign w:val="bottom"/>
          </w:tcPr>
          <w:p>
            <w:pPr>
              <w:spacing w:after="0"/>
              <w:rPr>
                <w:sz w:val="17"/>
                <w:szCs w:val="17"/>
                <w:color w:val="auto"/>
              </w:rPr>
            </w:pPr>
          </w:p>
        </w:tc>
        <w:tc>
          <w:tcPr>
            <w:tcW w:w="10500" w:type="dxa"/>
            <w:vAlign w:val="bottom"/>
          </w:tcPr>
          <w:p>
            <w:pPr>
              <w:ind w:left="360"/>
              <w:spacing w:after="0" w:line="202" w:lineRule="exact"/>
              <w:rPr>
                <w:sz w:val="20"/>
                <w:szCs w:val="20"/>
                <w:color w:val="auto"/>
              </w:rPr>
            </w:pPr>
            <w:r>
              <w:rPr>
                <w:rFonts w:ascii="Arial" w:cs="Arial" w:eastAsia="Arial" w:hAnsi="Arial"/>
                <w:sz w:val="18"/>
                <w:szCs w:val="18"/>
                <w:color w:val="auto"/>
              </w:rPr>
              <w:t>securities, which may be issued from time to time by Registrant when and as authorized by or pursuant to a resolution of</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Registrant’s Board of Directors (the “December 1991 Indenture”).</w:t>
            </w:r>
          </w:p>
        </w:tc>
      </w:tr>
      <w:tr>
        <w:trPr>
          <w:trHeight w:val="311"/>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by reference to Exhibit 4(a) to Registrant’s Registration Statement Nos. 33-44597, 33-49177 and 33-54629.</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4(a)(2)</w:t>
            </w:r>
          </w:p>
        </w:tc>
        <w:tc>
          <w:tcPr>
            <w:tcW w:w="10500" w:type="dxa"/>
            <w:vAlign w:val="bottom"/>
          </w:tcPr>
          <w:p>
            <w:pPr>
              <w:ind w:left="360"/>
              <w:spacing w:after="0"/>
              <w:rPr>
                <w:sz w:val="20"/>
                <w:szCs w:val="20"/>
                <w:color w:val="auto"/>
              </w:rPr>
            </w:pPr>
            <w:r>
              <w:rPr>
                <w:rFonts w:ascii="Arial" w:cs="Arial" w:eastAsia="Arial" w:hAnsi="Arial"/>
                <w:sz w:val="18"/>
                <w:szCs w:val="18"/>
                <w:color w:val="auto"/>
              </w:rPr>
              <w:t>Instrument of Resignation, Appointment and Acceptance dated as of February 1, 2001, among Registrant, Citibank, N.A., as</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resigning trustee, and Wilmington Trust Company, as successor trustee, relating to the December 1991 Indenture.</w:t>
            </w:r>
          </w:p>
        </w:tc>
      </w:tr>
      <w:tr>
        <w:trPr>
          <w:trHeight w:val="302"/>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9"/>
              </w:rPr>
              <w:t>Incorporated by reference to Exhibit 4(a)(2) to Registrant’s Annual Report on Form 10-K for the fiscal year ended December 31,</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2000 filed on June 7, 2001.</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4(a)(3)</w:t>
            </w:r>
          </w:p>
        </w:tc>
        <w:tc>
          <w:tcPr>
            <w:tcW w:w="10500" w:type="dxa"/>
            <w:vAlign w:val="bottom"/>
          </w:tcPr>
          <w:p>
            <w:pPr>
              <w:ind w:left="360"/>
              <w:spacing w:after="0"/>
              <w:rPr>
                <w:sz w:val="20"/>
                <w:szCs w:val="20"/>
                <w:color w:val="auto"/>
              </w:rPr>
            </w:pPr>
            <w:r>
              <w:rPr>
                <w:rFonts w:ascii="Arial" w:cs="Arial" w:eastAsia="Arial" w:hAnsi="Arial"/>
                <w:sz w:val="18"/>
                <w:szCs w:val="18"/>
                <w:color w:val="auto"/>
                <w:w w:val="97"/>
              </w:rPr>
              <w:t>Instrument of Resignation, Appointment and Acceptance dated as of July 30, 2008, among Registrant, Wilmington Trust Company,</w:t>
            </w:r>
          </w:p>
        </w:tc>
      </w:tr>
      <w:tr>
        <w:trPr>
          <w:trHeight w:val="203"/>
        </w:trPr>
        <w:tc>
          <w:tcPr>
            <w:tcW w:w="900" w:type="dxa"/>
            <w:vAlign w:val="bottom"/>
          </w:tcPr>
          <w:p>
            <w:pPr>
              <w:spacing w:after="0"/>
              <w:rPr>
                <w:sz w:val="17"/>
                <w:szCs w:val="17"/>
                <w:color w:val="auto"/>
              </w:rPr>
            </w:pPr>
          </w:p>
        </w:tc>
        <w:tc>
          <w:tcPr>
            <w:tcW w:w="10500" w:type="dxa"/>
            <w:vAlign w:val="bottom"/>
          </w:tcPr>
          <w:p>
            <w:pPr>
              <w:ind w:left="360"/>
              <w:spacing w:after="0" w:line="202" w:lineRule="exact"/>
              <w:rPr>
                <w:sz w:val="20"/>
                <w:szCs w:val="20"/>
                <w:color w:val="auto"/>
              </w:rPr>
            </w:pPr>
            <w:r>
              <w:rPr>
                <w:rFonts w:ascii="Arial" w:cs="Arial" w:eastAsia="Arial" w:hAnsi="Arial"/>
                <w:sz w:val="18"/>
                <w:szCs w:val="18"/>
                <w:color w:val="auto"/>
                <w:w w:val="99"/>
              </w:rPr>
              <w:t>as prior trustee, Citibank,, N.A. as prior paying agent, registrar and issuing and paying agent, and The Bank of New York Mellon,</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as successor trustee, relating to the December 1991 Indenture.</w:t>
            </w:r>
          </w:p>
        </w:tc>
      </w:tr>
      <w:tr>
        <w:trPr>
          <w:trHeight w:val="302"/>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9"/>
              </w:rPr>
              <w:t>Incorporated by reference to Exhibit 4(a)(3) to Registrant’s Annual Report on Form 10-K for the fiscal year ended December 31,</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2008.</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4(b)(1)</w:t>
            </w:r>
          </w:p>
        </w:tc>
        <w:tc>
          <w:tcPr>
            <w:tcW w:w="10500" w:type="dxa"/>
            <w:vAlign w:val="bottom"/>
          </w:tcPr>
          <w:p>
            <w:pPr>
              <w:ind w:left="360"/>
              <w:spacing w:after="0"/>
              <w:rPr>
                <w:sz w:val="20"/>
                <w:szCs w:val="20"/>
                <w:color w:val="auto"/>
              </w:rPr>
            </w:pPr>
            <w:r>
              <w:rPr>
                <w:rFonts w:ascii="Arial" w:cs="Arial" w:eastAsia="Arial" w:hAnsi="Arial"/>
                <w:sz w:val="18"/>
                <w:szCs w:val="18"/>
                <w:color w:val="auto"/>
              </w:rPr>
              <w:t>Indenture dated as of September 20, 1996, between Registrant and Citibank, N.A., as trustee, relating to unlimited amounts of</w:t>
            </w:r>
          </w:p>
        </w:tc>
      </w:tr>
      <w:tr>
        <w:trPr>
          <w:trHeight w:val="203"/>
        </w:trPr>
        <w:tc>
          <w:tcPr>
            <w:tcW w:w="900" w:type="dxa"/>
            <w:vAlign w:val="bottom"/>
          </w:tcPr>
          <w:p>
            <w:pPr>
              <w:spacing w:after="0"/>
              <w:rPr>
                <w:sz w:val="17"/>
                <w:szCs w:val="17"/>
                <w:color w:val="auto"/>
              </w:rPr>
            </w:pPr>
          </w:p>
        </w:tc>
        <w:tc>
          <w:tcPr>
            <w:tcW w:w="10500" w:type="dxa"/>
            <w:vAlign w:val="bottom"/>
          </w:tcPr>
          <w:p>
            <w:pPr>
              <w:ind w:left="360"/>
              <w:spacing w:after="0" w:line="202" w:lineRule="exact"/>
              <w:rPr>
                <w:sz w:val="20"/>
                <w:szCs w:val="20"/>
                <w:color w:val="auto"/>
              </w:rPr>
            </w:pPr>
            <w:r>
              <w:rPr>
                <w:rFonts w:ascii="Arial" w:cs="Arial" w:eastAsia="Arial" w:hAnsi="Arial"/>
                <w:sz w:val="18"/>
                <w:szCs w:val="18"/>
                <w:color w:val="auto"/>
              </w:rPr>
              <w:t>debt securities, which may be issued from time to time by Registrant when and as authorized by or pursuant to a resolution of</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Registrant’s Board of Directors (the “September 1996 Indenture”).</w:t>
            </w:r>
          </w:p>
        </w:tc>
      </w:tr>
      <w:tr>
        <w:trPr>
          <w:trHeight w:val="311"/>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by reference to Exhibit 4(a) to Registration Statement No. 333-13179.</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4(b)(2)</w:t>
            </w:r>
          </w:p>
        </w:tc>
        <w:tc>
          <w:tcPr>
            <w:tcW w:w="10500" w:type="dxa"/>
            <w:vAlign w:val="bottom"/>
          </w:tcPr>
          <w:p>
            <w:pPr>
              <w:ind w:left="360"/>
              <w:spacing w:after="0"/>
              <w:rPr>
                <w:sz w:val="20"/>
                <w:szCs w:val="20"/>
                <w:color w:val="auto"/>
              </w:rPr>
            </w:pPr>
            <w:r>
              <w:rPr>
                <w:rFonts w:ascii="Arial" w:cs="Arial" w:eastAsia="Arial" w:hAnsi="Arial"/>
                <w:sz w:val="18"/>
                <w:szCs w:val="18"/>
                <w:color w:val="auto"/>
              </w:rPr>
              <w:t>Instrument of Resignation, Appointment and Acceptance dated as of February 1, 2001, among Registrant, Citibank, N.A., as</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resigning trustee, and Wilmington Trust Company, as successor trustee, relating to the September 1996 Indenture.</w:t>
            </w:r>
          </w:p>
        </w:tc>
      </w:tr>
      <w:tr>
        <w:trPr>
          <w:trHeight w:val="302"/>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9"/>
              </w:rPr>
              <w:t>Incorporated by reference to Exhibit 4(b)(2) to Registrant’s Annual Report on Form 10-K for the fiscal year ended December 31,</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2000 filed on June 7, 2001.</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4(b)(3)</w:t>
            </w:r>
          </w:p>
        </w:tc>
        <w:tc>
          <w:tcPr>
            <w:tcW w:w="10500" w:type="dxa"/>
            <w:vAlign w:val="bottom"/>
          </w:tcPr>
          <w:p>
            <w:pPr>
              <w:ind w:left="360"/>
              <w:spacing w:after="0"/>
              <w:rPr>
                <w:sz w:val="20"/>
                <w:szCs w:val="20"/>
                <w:color w:val="auto"/>
              </w:rPr>
            </w:pPr>
            <w:r>
              <w:rPr>
                <w:rFonts w:ascii="Arial" w:cs="Arial" w:eastAsia="Arial" w:hAnsi="Arial"/>
                <w:sz w:val="18"/>
                <w:szCs w:val="18"/>
                <w:color w:val="auto"/>
                <w:w w:val="98"/>
              </w:rPr>
              <w:t>Instrument of Resignation, Appointment and Acceptance dated as of July 30, 2008, among Registrant, Wilmington Trust, as prior</w:t>
            </w:r>
          </w:p>
        </w:tc>
      </w:tr>
      <w:tr>
        <w:trPr>
          <w:trHeight w:val="203"/>
        </w:trPr>
        <w:tc>
          <w:tcPr>
            <w:tcW w:w="900" w:type="dxa"/>
            <w:vAlign w:val="bottom"/>
          </w:tcPr>
          <w:p>
            <w:pPr>
              <w:spacing w:after="0"/>
              <w:rPr>
                <w:sz w:val="17"/>
                <w:szCs w:val="17"/>
                <w:color w:val="auto"/>
              </w:rPr>
            </w:pPr>
          </w:p>
        </w:tc>
        <w:tc>
          <w:tcPr>
            <w:tcW w:w="10500" w:type="dxa"/>
            <w:vAlign w:val="bottom"/>
          </w:tcPr>
          <w:p>
            <w:pPr>
              <w:ind w:left="360"/>
              <w:spacing w:after="0" w:line="202" w:lineRule="exact"/>
              <w:rPr>
                <w:sz w:val="20"/>
                <w:szCs w:val="20"/>
                <w:color w:val="auto"/>
              </w:rPr>
            </w:pPr>
            <w:r>
              <w:rPr>
                <w:rFonts w:ascii="Arial" w:cs="Arial" w:eastAsia="Arial" w:hAnsi="Arial"/>
                <w:sz w:val="18"/>
                <w:szCs w:val="18"/>
                <w:color w:val="auto"/>
              </w:rPr>
              <w:t>trustee, Citibank,, N.A. as prior paying agent, registrar and issuing and paying agent, and The Bank of New York Mellon, as</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successor trustee, relating to the September 1996 Indenture.</w:t>
            </w:r>
          </w:p>
        </w:tc>
      </w:tr>
      <w:tr>
        <w:trPr>
          <w:trHeight w:val="302"/>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9"/>
              </w:rPr>
              <w:t>Incorporated by reference to Exhibit 4(b)(3) to Registrant’s Annual Report on Form 10-K for the fiscal year ended December 31,</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2008.</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4(c)(1)</w:t>
            </w:r>
          </w:p>
        </w:tc>
        <w:tc>
          <w:tcPr>
            <w:tcW w:w="10500" w:type="dxa"/>
            <w:vAlign w:val="bottom"/>
          </w:tcPr>
          <w:p>
            <w:pPr>
              <w:ind w:left="360"/>
              <w:spacing w:after="0"/>
              <w:rPr>
                <w:sz w:val="20"/>
                <w:szCs w:val="20"/>
                <w:color w:val="auto"/>
              </w:rPr>
            </w:pPr>
            <w:r>
              <w:rPr>
                <w:rFonts w:ascii="Arial" w:cs="Arial" w:eastAsia="Arial" w:hAnsi="Arial"/>
                <w:sz w:val="18"/>
                <w:szCs w:val="18"/>
                <w:color w:val="auto"/>
              </w:rPr>
              <w:t>Indenture dated as of January 29, 1997, between Registrant and Bank One, National Association (as successor by merger with</w:t>
            </w:r>
          </w:p>
        </w:tc>
      </w:tr>
      <w:tr>
        <w:trPr>
          <w:trHeight w:val="203"/>
        </w:trPr>
        <w:tc>
          <w:tcPr>
            <w:tcW w:w="900" w:type="dxa"/>
            <w:vAlign w:val="bottom"/>
          </w:tcPr>
          <w:p>
            <w:pPr>
              <w:spacing w:after="0"/>
              <w:rPr>
                <w:sz w:val="17"/>
                <w:szCs w:val="17"/>
                <w:color w:val="auto"/>
              </w:rPr>
            </w:pPr>
          </w:p>
        </w:tc>
        <w:tc>
          <w:tcPr>
            <w:tcW w:w="10500" w:type="dxa"/>
            <w:vAlign w:val="bottom"/>
          </w:tcPr>
          <w:p>
            <w:pPr>
              <w:ind w:left="360"/>
              <w:spacing w:after="0" w:line="202" w:lineRule="exact"/>
              <w:rPr>
                <w:sz w:val="20"/>
                <w:szCs w:val="20"/>
                <w:color w:val="auto"/>
              </w:rPr>
            </w:pPr>
            <w:r>
              <w:rPr>
                <w:rFonts w:ascii="Arial" w:cs="Arial" w:eastAsia="Arial" w:hAnsi="Arial"/>
                <w:sz w:val="18"/>
                <w:szCs w:val="18"/>
                <w:color w:val="auto"/>
              </w:rPr>
              <w:t>The First National Bank of Chicago) (“Bank One”), as trustee (the “January 1997 Indenture”), relating to Registrant’s Junior</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Subordinated Deferrable Interest Debentures (“Junior Subordinated Debentures”).</w:t>
            </w:r>
          </w:p>
        </w:tc>
      </w:tr>
      <w:tr>
        <w:trPr>
          <w:trHeight w:val="351"/>
        </w:trPr>
        <w:tc>
          <w:tcPr>
            <w:tcW w:w="900" w:type="dxa"/>
            <w:vAlign w:val="bottom"/>
          </w:tcPr>
          <w:p>
            <w:pPr>
              <w:spacing w:after="0"/>
              <w:rPr>
                <w:sz w:val="24"/>
                <w:szCs w:val="24"/>
                <w:color w:val="auto"/>
              </w:rPr>
            </w:pPr>
          </w:p>
        </w:tc>
        <w:tc>
          <w:tcPr>
            <w:tcW w:w="10500" w:type="dxa"/>
            <w:vAlign w:val="bottom"/>
          </w:tcPr>
          <w:p>
            <w:pPr>
              <w:ind w:left="47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 w:type="dxa"/>
            <w:vAlign w:val="bottom"/>
          </w:tcPr>
          <w:p>
            <w:pPr>
              <w:spacing w:after="0"/>
              <w:rPr>
                <w:sz w:val="18"/>
                <w:szCs w:val="18"/>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Incorporated by reference to Exhibit 4.1 to Registration Statement No. 333-24193.</w:t>
            </w:r>
          </w:p>
        </w:tc>
      </w:tr>
      <w:tr>
        <w:trPr>
          <w:trHeight w:val="311"/>
        </w:trPr>
        <w:tc>
          <w:tcPr>
            <w:tcW w:w="900" w:type="dxa"/>
            <w:vAlign w:val="bottom"/>
          </w:tcPr>
          <w:p>
            <w:pPr>
              <w:spacing w:after="0"/>
              <w:rPr>
                <w:sz w:val="20"/>
                <w:szCs w:val="20"/>
                <w:color w:val="auto"/>
              </w:rPr>
            </w:pPr>
            <w:r>
              <w:rPr>
                <w:rFonts w:ascii="Arial" w:cs="Arial" w:eastAsia="Arial" w:hAnsi="Arial"/>
                <w:sz w:val="18"/>
                <w:szCs w:val="18"/>
                <w:color w:val="auto"/>
              </w:rPr>
              <w:t>4(c)(2)</w:t>
            </w:r>
          </w:p>
        </w:tc>
        <w:tc>
          <w:tcPr>
            <w:tcW w:w="10480" w:type="dxa"/>
            <w:vAlign w:val="bottom"/>
          </w:tcPr>
          <w:p>
            <w:pPr>
              <w:ind w:left="360"/>
              <w:spacing w:after="0"/>
              <w:rPr>
                <w:sz w:val="20"/>
                <w:szCs w:val="20"/>
                <w:color w:val="auto"/>
              </w:rPr>
            </w:pPr>
            <w:r>
              <w:rPr>
                <w:rFonts w:ascii="Arial" w:cs="Arial" w:eastAsia="Arial" w:hAnsi="Arial"/>
                <w:sz w:val="18"/>
                <w:szCs w:val="18"/>
                <w:color w:val="auto"/>
              </w:rPr>
              <w:t>Form of Certificate of Exchange relating to Junior Subordinated Debentures.</w:t>
            </w:r>
          </w:p>
        </w:tc>
      </w:tr>
      <w:tr>
        <w:trPr>
          <w:trHeight w:val="311"/>
        </w:trPr>
        <w:tc>
          <w:tcPr>
            <w:tcW w:w="900" w:type="dxa"/>
            <w:vAlign w:val="bottom"/>
          </w:tcPr>
          <w:p>
            <w:pPr>
              <w:spacing w:after="0"/>
              <w:rPr>
                <w:sz w:val="24"/>
                <w:szCs w:val="24"/>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Incorporated by reference to Exhibit A to Exhibit 4.1 to Registration Statement No. 333-24193.</w:t>
            </w:r>
          </w:p>
        </w:tc>
      </w:tr>
      <w:tr>
        <w:trPr>
          <w:trHeight w:val="311"/>
        </w:trPr>
        <w:tc>
          <w:tcPr>
            <w:tcW w:w="900" w:type="dxa"/>
            <w:vAlign w:val="bottom"/>
          </w:tcPr>
          <w:p>
            <w:pPr>
              <w:spacing w:after="0"/>
              <w:rPr>
                <w:sz w:val="20"/>
                <w:szCs w:val="20"/>
                <w:color w:val="auto"/>
              </w:rPr>
            </w:pPr>
            <w:r>
              <w:rPr>
                <w:rFonts w:ascii="Arial" w:cs="Arial" w:eastAsia="Arial" w:hAnsi="Arial"/>
                <w:sz w:val="18"/>
                <w:szCs w:val="18"/>
                <w:color w:val="auto"/>
              </w:rPr>
              <w:t>4(c)(3)</w:t>
            </w:r>
          </w:p>
        </w:tc>
        <w:tc>
          <w:tcPr>
            <w:tcW w:w="10480" w:type="dxa"/>
            <w:vAlign w:val="bottom"/>
          </w:tcPr>
          <w:p>
            <w:pPr>
              <w:ind w:left="360"/>
              <w:spacing w:after="0"/>
              <w:rPr>
                <w:sz w:val="20"/>
                <w:szCs w:val="20"/>
                <w:color w:val="auto"/>
              </w:rPr>
            </w:pPr>
            <w:r>
              <w:rPr>
                <w:rFonts w:ascii="Arial" w:cs="Arial" w:eastAsia="Arial" w:hAnsi="Arial"/>
                <w:sz w:val="18"/>
                <w:szCs w:val="18"/>
                <w:color w:val="auto"/>
              </w:rPr>
              <w:t>Certificate of Trust of Xerox Capital Trust I executed as of January 23, 1997.</w:t>
            </w:r>
          </w:p>
        </w:tc>
      </w:tr>
      <w:tr>
        <w:trPr>
          <w:trHeight w:val="311"/>
        </w:trPr>
        <w:tc>
          <w:tcPr>
            <w:tcW w:w="900" w:type="dxa"/>
            <w:vAlign w:val="bottom"/>
          </w:tcPr>
          <w:p>
            <w:pPr>
              <w:spacing w:after="0"/>
              <w:rPr>
                <w:sz w:val="24"/>
                <w:szCs w:val="24"/>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Incorporated by reference to Exhibit 4.3 to Registration Statement No. 333-24193.</w:t>
            </w:r>
          </w:p>
        </w:tc>
      </w:tr>
      <w:tr>
        <w:trPr>
          <w:trHeight w:val="311"/>
        </w:trPr>
        <w:tc>
          <w:tcPr>
            <w:tcW w:w="900" w:type="dxa"/>
            <w:vAlign w:val="bottom"/>
          </w:tcPr>
          <w:p>
            <w:pPr>
              <w:spacing w:after="0"/>
              <w:rPr>
                <w:sz w:val="20"/>
                <w:szCs w:val="20"/>
                <w:color w:val="auto"/>
              </w:rPr>
            </w:pPr>
            <w:r>
              <w:rPr>
                <w:rFonts w:ascii="Arial" w:cs="Arial" w:eastAsia="Arial" w:hAnsi="Arial"/>
                <w:sz w:val="18"/>
                <w:szCs w:val="18"/>
                <w:color w:val="auto"/>
              </w:rPr>
              <w:t>4(c)(4)</w:t>
            </w:r>
          </w:p>
        </w:tc>
        <w:tc>
          <w:tcPr>
            <w:tcW w:w="10480" w:type="dxa"/>
            <w:vAlign w:val="bottom"/>
          </w:tcPr>
          <w:p>
            <w:pPr>
              <w:ind w:left="360"/>
              <w:spacing w:after="0"/>
              <w:rPr>
                <w:sz w:val="20"/>
                <w:szCs w:val="20"/>
                <w:color w:val="auto"/>
              </w:rPr>
            </w:pPr>
            <w:r>
              <w:rPr>
                <w:rFonts w:ascii="Arial" w:cs="Arial" w:eastAsia="Arial" w:hAnsi="Arial"/>
                <w:sz w:val="18"/>
                <w:szCs w:val="18"/>
                <w:color w:val="auto"/>
              </w:rPr>
              <w:t>Amended and Restated Declaration of Trust of Xerox Capital Trust I dated as of January 29, 1997.</w:t>
            </w:r>
          </w:p>
        </w:tc>
      </w:tr>
      <w:tr>
        <w:trPr>
          <w:trHeight w:val="311"/>
        </w:trPr>
        <w:tc>
          <w:tcPr>
            <w:tcW w:w="900" w:type="dxa"/>
            <w:vAlign w:val="bottom"/>
          </w:tcPr>
          <w:p>
            <w:pPr>
              <w:spacing w:after="0"/>
              <w:rPr>
                <w:sz w:val="24"/>
                <w:szCs w:val="24"/>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Incorporated by reference to Exhibit 4.4 to Registration Statement No. 333-24193.</w:t>
            </w:r>
          </w:p>
        </w:tc>
      </w:tr>
      <w:tr>
        <w:trPr>
          <w:trHeight w:val="311"/>
        </w:trPr>
        <w:tc>
          <w:tcPr>
            <w:tcW w:w="900" w:type="dxa"/>
            <w:vAlign w:val="bottom"/>
          </w:tcPr>
          <w:p>
            <w:pPr>
              <w:spacing w:after="0"/>
              <w:rPr>
                <w:sz w:val="20"/>
                <w:szCs w:val="20"/>
                <w:color w:val="auto"/>
              </w:rPr>
            </w:pPr>
            <w:r>
              <w:rPr>
                <w:rFonts w:ascii="Arial" w:cs="Arial" w:eastAsia="Arial" w:hAnsi="Arial"/>
                <w:sz w:val="18"/>
                <w:szCs w:val="18"/>
                <w:color w:val="auto"/>
              </w:rPr>
              <w:t>4(c)(5)</w:t>
            </w:r>
          </w:p>
        </w:tc>
        <w:tc>
          <w:tcPr>
            <w:tcW w:w="10480" w:type="dxa"/>
            <w:vAlign w:val="bottom"/>
          </w:tcPr>
          <w:p>
            <w:pPr>
              <w:ind w:left="360"/>
              <w:spacing w:after="0"/>
              <w:rPr>
                <w:sz w:val="20"/>
                <w:szCs w:val="20"/>
                <w:color w:val="auto"/>
              </w:rPr>
            </w:pPr>
            <w:r>
              <w:rPr>
                <w:rFonts w:ascii="Arial" w:cs="Arial" w:eastAsia="Arial" w:hAnsi="Arial"/>
                <w:sz w:val="18"/>
                <w:szCs w:val="18"/>
                <w:color w:val="auto"/>
              </w:rPr>
              <w:t>Form of Exchange Capital Security Certificate for Xerox Capital Trust I.</w:t>
            </w:r>
          </w:p>
        </w:tc>
      </w:tr>
      <w:tr>
        <w:trPr>
          <w:trHeight w:val="311"/>
        </w:trPr>
        <w:tc>
          <w:tcPr>
            <w:tcW w:w="900" w:type="dxa"/>
            <w:vAlign w:val="bottom"/>
          </w:tcPr>
          <w:p>
            <w:pPr>
              <w:spacing w:after="0"/>
              <w:rPr>
                <w:sz w:val="24"/>
                <w:szCs w:val="24"/>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Incorporated by reference to Exhibit A-1 to Exhibit 4.4 to Registration Statement No. 333-24193.</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4(c)(6)</w:t>
            </w:r>
          </w:p>
        </w:tc>
        <w:tc>
          <w:tcPr>
            <w:tcW w:w="10480" w:type="dxa"/>
            <w:vAlign w:val="bottom"/>
          </w:tcPr>
          <w:p>
            <w:pPr>
              <w:ind w:left="360"/>
              <w:spacing w:after="0"/>
              <w:rPr>
                <w:sz w:val="20"/>
                <w:szCs w:val="20"/>
                <w:color w:val="auto"/>
              </w:rPr>
            </w:pPr>
            <w:r>
              <w:rPr>
                <w:rFonts w:ascii="Arial" w:cs="Arial" w:eastAsia="Arial" w:hAnsi="Arial"/>
                <w:sz w:val="18"/>
                <w:szCs w:val="18"/>
                <w:color w:val="auto"/>
              </w:rPr>
              <w:t>Series A Capital Securities Guarantee Agreement of Registrant dated as of January 29, 1997, relating to Series A Capital</w:t>
            </w:r>
          </w:p>
        </w:tc>
      </w:tr>
      <w:tr>
        <w:trPr>
          <w:trHeight w:val="211"/>
        </w:trPr>
        <w:tc>
          <w:tcPr>
            <w:tcW w:w="900" w:type="dxa"/>
            <w:vAlign w:val="bottom"/>
          </w:tcPr>
          <w:p>
            <w:pPr>
              <w:spacing w:after="0"/>
              <w:rPr>
                <w:sz w:val="18"/>
                <w:szCs w:val="18"/>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Securities of Xerox Capital Trust I.</w:t>
            </w:r>
          </w:p>
        </w:tc>
      </w:tr>
      <w:tr>
        <w:trPr>
          <w:trHeight w:val="311"/>
        </w:trPr>
        <w:tc>
          <w:tcPr>
            <w:tcW w:w="900" w:type="dxa"/>
            <w:vAlign w:val="bottom"/>
          </w:tcPr>
          <w:p>
            <w:pPr>
              <w:spacing w:after="0"/>
              <w:rPr>
                <w:sz w:val="24"/>
                <w:szCs w:val="24"/>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Incorporated by reference to Exhibit 4.6 to Registration Statement No. 333-24193.</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4(c)(7)</w:t>
            </w:r>
          </w:p>
        </w:tc>
        <w:tc>
          <w:tcPr>
            <w:tcW w:w="10480" w:type="dxa"/>
            <w:vAlign w:val="bottom"/>
          </w:tcPr>
          <w:p>
            <w:pPr>
              <w:ind w:left="360"/>
              <w:spacing w:after="0"/>
              <w:rPr>
                <w:sz w:val="20"/>
                <w:szCs w:val="20"/>
                <w:color w:val="auto"/>
              </w:rPr>
            </w:pPr>
            <w:r>
              <w:rPr>
                <w:rFonts w:ascii="Arial" w:cs="Arial" w:eastAsia="Arial" w:hAnsi="Arial"/>
                <w:sz w:val="18"/>
                <w:szCs w:val="18"/>
                <w:color w:val="auto"/>
                <w:w w:val="98"/>
              </w:rPr>
              <w:t>Registration Rights Agreement dated January 29, 1997, among Registrant, Xerox Capital Trust I and the initial purchasers named</w:t>
            </w:r>
          </w:p>
        </w:tc>
      </w:tr>
      <w:tr>
        <w:trPr>
          <w:trHeight w:val="211"/>
        </w:trPr>
        <w:tc>
          <w:tcPr>
            <w:tcW w:w="900" w:type="dxa"/>
            <w:vAlign w:val="bottom"/>
          </w:tcPr>
          <w:p>
            <w:pPr>
              <w:spacing w:after="0"/>
              <w:rPr>
                <w:sz w:val="18"/>
                <w:szCs w:val="18"/>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therein.</w:t>
            </w:r>
          </w:p>
        </w:tc>
      </w:tr>
      <w:tr>
        <w:trPr>
          <w:trHeight w:val="311"/>
        </w:trPr>
        <w:tc>
          <w:tcPr>
            <w:tcW w:w="900" w:type="dxa"/>
            <w:vAlign w:val="bottom"/>
          </w:tcPr>
          <w:p>
            <w:pPr>
              <w:spacing w:after="0"/>
              <w:rPr>
                <w:sz w:val="24"/>
                <w:szCs w:val="24"/>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Incorporated by reference to Exhibit 4.7 to Registration Statement No. 333-24193.</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4(c)(8)</w:t>
            </w:r>
          </w:p>
        </w:tc>
        <w:tc>
          <w:tcPr>
            <w:tcW w:w="10480" w:type="dxa"/>
            <w:vAlign w:val="bottom"/>
          </w:tcPr>
          <w:p>
            <w:pPr>
              <w:ind w:left="360"/>
              <w:spacing w:after="0"/>
              <w:rPr>
                <w:sz w:val="20"/>
                <w:szCs w:val="20"/>
                <w:color w:val="auto"/>
              </w:rPr>
            </w:pPr>
            <w:r>
              <w:rPr>
                <w:rFonts w:ascii="Arial" w:cs="Arial" w:eastAsia="Arial" w:hAnsi="Arial"/>
                <w:sz w:val="18"/>
                <w:szCs w:val="18"/>
                <w:color w:val="auto"/>
              </w:rPr>
              <w:t>Instrument of Resignation, Appointment and Acceptance dated as of November 30, 2001, among Registrant, Bank One as</w:t>
            </w:r>
          </w:p>
        </w:tc>
      </w:tr>
      <w:tr>
        <w:trPr>
          <w:trHeight w:val="203"/>
        </w:trPr>
        <w:tc>
          <w:tcPr>
            <w:tcW w:w="900" w:type="dxa"/>
            <w:vAlign w:val="bottom"/>
          </w:tcPr>
          <w:p>
            <w:pPr>
              <w:spacing w:after="0"/>
              <w:rPr>
                <w:sz w:val="17"/>
                <w:szCs w:val="17"/>
                <w:color w:val="auto"/>
              </w:rPr>
            </w:pPr>
          </w:p>
        </w:tc>
        <w:tc>
          <w:tcPr>
            <w:tcW w:w="10480" w:type="dxa"/>
            <w:vAlign w:val="bottom"/>
          </w:tcPr>
          <w:p>
            <w:pPr>
              <w:ind w:left="360"/>
              <w:spacing w:after="0" w:line="202" w:lineRule="exact"/>
              <w:rPr>
                <w:sz w:val="20"/>
                <w:szCs w:val="20"/>
                <w:color w:val="auto"/>
              </w:rPr>
            </w:pPr>
            <w:r>
              <w:rPr>
                <w:rFonts w:ascii="Arial" w:cs="Arial" w:eastAsia="Arial" w:hAnsi="Arial"/>
                <w:sz w:val="18"/>
                <w:szCs w:val="18"/>
                <w:color w:val="auto"/>
              </w:rPr>
              <w:t>resigning trustee, and Wells Fargo Bank Minnesota, National Association (“Wells Fargo”), as successor Trustee, relating to the</w:t>
            </w:r>
          </w:p>
        </w:tc>
      </w:tr>
      <w:tr>
        <w:trPr>
          <w:trHeight w:val="211"/>
        </w:trPr>
        <w:tc>
          <w:tcPr>
            <w:tcW w:w="900" w:type="dxa"/>
            <w:vAlign w:val="bottom"/>
          </w:tcPr>
          <w:p>
            <w:pPr>
              <w:spacing w:after="0"/>
              <w:rPr>
                <w:sz w:val="18"/>
                <w:szCs w:val="18"/>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January 1997 Indenture.</w:t>
            </w:r>
          </w:p>
        </w:tc>
      </w:tr>
      <w:tr>
        <w:trPr>
          <w:trHeight w:val="302"/>
        </w:trPr>
        <w:tc>
          <w:tcPr>
            <w:tcW w:w="900" w:type="dxa"/>
            <w:vAlign w:val="bottom"/>
          </w:tcPr>
          <w:p>
            <w:pPr>
              <w:spacing w:after="0"/>
              <w:rPr>
                <w:sz w:val="24"/>
                <w:szCs w:val="24"/>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Incorporated by reference to Exhibit (c)(8) to Registrant’s Annual Report on Form 10-K for the fiscal year ended December 31,</w:t>
            </w:r>
          </w:p>
        </w:tc>
      </w:tr>
      <w:tr>
        <w:trPr>
          <w:trHeight w:val="211"/>
        </w:trPr>
        <w:tc>
          <w:tcPr>
            <w:tcW w:w="900" w:type="dxa"/>
            <w:vAlign w:val="bottom"/>
          </w:tcPr>
          <w:p>
            <w:pPr>
              <w:spacing w:after="0"/>
              <w:rPr>
                <w:sz w:val="18"/>
                <w:szCs w:val="18"/>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2001.</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4(d)(1)</w:t>
            </w:r>
          </w:p>
        </w:tc>
        <w:tc>
          <w:tcPr>
            <w:tcW w:w="10480" w:type="dxa"/>
            <w:vAlign w:val="bottom"/>
          </w:tcPr>
          <w:p>
            <w:pPr>
              <w:ind w:left="360"/>
              <w:spacing w:after="0"/>
              <w:rPr>
                <w:sz w:val="20"/>
                <w:szCs w:val="20"/>
                <w:color w:val="auto"/>
              </w:rPr>
            </w:pPr>
            <w:r>
              <w:rPr>
                <w:rFonts w:ascii="Arial" w:cs="Arial" w:eastAsia="Arial" w:hAnsi="Arial"/>
                <w:sz w:val="18"/>
                <w:szCs w:val="18"/>
                <w:color w:val="auto"/>
                <w:w w:val="97"/>
              </w:rPr>
              <w:t>Indenture dated as of April 21, 1998, between Registrant and Bank One, as trustee, relating to $1,012,198,000 principal amount at</w:t>
            </w:r>
          </w:p>
        </w:tc>
      </w:tr>
      <w:tr>
        <w:trPr>
          <w:trHeight w:val="211"/>
        </w:trPr>
        <w:tc>
          <w:tcPr>
            <w:tcW w:w="900" w:type="dxa"/>
            <w:vAlign w:val="bottom"/>
          </w:tcPr>
          <w:p>
            <w:pPr>
              <w:spacing w:after="0"/>
              <w:rPr>
                <w:sz w:val="18"/>
                <w:szCs w:val="18"/>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maturity of Registrant’s Convertible Subordinated Debentures due 2018 (the “April 1998 Indenture”).</w:t>
            </w:r>
          </w:p>
        </w:tc>
      </w:tr>
      <w:tr>
        <w:trPr>
          <w:trHeight w:val="311"/>
        </w:trPr>
        <w:tc>
          <w:tcPr>
            <w:tcW w:w="900" w:type="dxa"/>
            <w:vAlign w:val="bottom"/>
          </w:tcPr>
          <w:p>
            <w:pPr>
              <w:spacing w:after="0"/>
              <w:rPr>
                <w:sz w:val="24"/>
                <w:szCs w:val="24"/>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Incorporated by reference to Exhibit 4(b) to Registrant’s Registration Statement No. 333-59355.</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4(d)(2)</w:t>
            </w:r>
          </w:p>
        </w:tc>
        <w:tc>
          <w:tcPr>
            <w:tcW w:w="10480" w:type="dxa"/>
            <w:vAlign w:val="bottom"/>
          </w:tcPr>
          <w:p>
            <w:pPr>
              <w:ind w:left="360"/>
              <w:spacing w:after="0"/>
              <w:rPr>
                <w:sz w:val="20"/>
                <w:szCs w:val="20"/>
                <w:color w:val="auto"/>
              </w:rPr>
            </w:pPr>
            <w:r>
              <w:rPr>
                <w:rFonts w:ascii="Arial" w:cs="Arial" w:eastAsia="Arial" w:hAnsi="Arial"/>
                <w:sz w:val="18"/>
                <w:szCs w:val="18"/>
                <w:color w:val="auto"/>
              </w:rPr>
              <w:t>Instrument of Resignation, Appointment and Acceptance dated as of July 26, 2001, among Registrant, Bank One as resigning</w:t>
            </w:r>
          </w:p>
        </w:tc>
      </w:tr>
      <w:tr>
        <w:trPr>
          <w:trHeight w:val="203"/>
        </w:trPr>
        <w:tc>
          <w:tcPr>
            <w:tcW w:w="900" w:type="dxa"/>
            <w:vAlign w:val="bottom"/>
          </w:tcPr>
          <w:p>
            <w:pPr>
              <w:spacing w:after="0"/>
              <w:rPr>
                <w:sz w:val="17"/>
                <w:szCs w:val="17"/>
                <w:color w:val="auto"/>
              </w:rPr>
            </w:pPr>
          </w:p>
        </w:tc>
        <w:tc>
          <w:tcPr>
            <w:tcW w:w="10480" w:type="dxa"/>
            <w:vAlign w:val="bottom"/>
          </w:tcPr>
          <w:p>
            <w:pPr>
              <w:ind w:left="360"/>
              <w:spacing w:after="0" w:line="202" w:lineRule="exact"/>
              <w:rPr>
                <w:sz w:val="20"/>
                <w:szCs w:val="20"/>
                <w:color w:val="auto"/>
              </w:rPr>
            </w:pPr>
            <w:r>
              <w:rPr>
                <w:rFonts w:ascii="Arial" w:cs="Arial" w:eastAsia="Arial" w:hAnsi="Arial"/>
                <w:sz w:val="18"/>
                <w:szCs w:val="18"/>
                <w:color w:val="auto"/>
              </w:rPr>
              <w:t>trustee, and Wells Fargo, as successor Trustee, relating to the April 1998 Indenture (the “April 1998 Indenture Trustee</w:t>
            </w:r>
          </w:p>
        </w:tc>
      </w:tr>
      <w:tr>
        <w:trPr>
          <w:trHeight w:val="211"/>
        </w:trPr>
        <w:tc>
          <w:tcPr>
            <w:tcW w:w="900" w:type="dxa"/>
            <w:vAlign w:val="bottom"/>
          </w:tcPr>
          <w:p>
            <w:pPr>
              <w:spacing w:after="0"/>
              <w:rPr>
                <w:sz w:val="18"/>
                <w:szCs w:val="18"/>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Assignment”).</w:t>
            </w:r>
          </w:p>
        </w:tc>
      </w:tr>
      <w:tr>
        <w:trPr>
          <w:trHeight w:val="302"/>
        </w:trPr>
        <w:tc>
          <w:tcPr>
            <w:tcW w:w="900" w:type="dxa"/>
            <w:vAlign w:val="bottom"/>
          </w:tcPr>
          <w:p>
            <w:pPr>
              <w:spacing w:after="0"/>
              <w:rPr>
                <w:sz w:val="24"/>
                <w:szCs w:val="24"/>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w w:val="99"/>
              </w:rPr>
              <w:t>Incorporated by reference to Exhibit 4(e)(2) to Registrant’s Annual Report on Form 10-K for the fiscal year ended December 31,</w:t>
            </w:r>
          </w:p>
        </w:tc>
      </w:tr>
      <w:tr>
        <w:trPr>
          <w:trHeight w:val="211"/>
        </w:trPr>
        <w:tc>
          <w:tcPr>
            <w:tcW w:w="900" w:type="dxa"/>
            <w:vAlign w:val="bottom"/>
          </w:tcPr>
          <w:p>
            <w:pPr>
              <w:spacing w:after="0"/>
              <w:rPr>
                <w:sz w:val="18"/>
                <w:szCs w:val="18"/>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2001.</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4(d)(3)</w:t>
            </w:r>
          </w:p>
        </w:tc>
        <w:tc>
          <w:tcPr>
            <w:tcW w:w="10480" w:type="dxa"/>
            <w:vAlign w:val="bottom"/>
          </w:tcPr>
          <w:p>
            <w:pPr>
              <w:ind w:left="360"/>
              <w:spacing w:after="0"/>
              <w:rPr>
                <w:sz w:val="20"/>
                <w:szCs w:val="20"/>
                <w:color w:val="auto"/>
              </w:rPr>
            </w:pPr>
            <w:r>
              <w:rPr>
                <w:rFonts w:ascii="Arial" w:cs="Arial" w:eastAsia="Arial" w:hAnsi="Arial"/>
                <w:sz w:val="18"/>
                <w:szCs w:val="18"/>
                <w:color w:val="auto"/>
                <w:w w:val="99"/>
              </w:rPr>
              <w:t>Amendment to Instrument of Resignation, Appointment and Acceptance dated as of October 22, 2001, among Registrant, Bank</w:t>
            </w:r>
          </w:p>
        </w:tc>
      </w:tr>
      <w:tr>
        <w:trPr>
          <w:trHeight w:val="211"/>
        </w:trPr>
        <w:tc>
          <w:tcPr>
            <w:tcW w:w="900" w:type="dxa"/>
            <w:vAlign w:val="bottom"/>
          </w:tcPr>
          <w:p>
            <w:pPr>
              <w:spacing w:after="0"/>
              <w:rPr>
                <w:sz w:val="18"/>
                <w:szCs w:val="18"/>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One as resigning trustee, and Wells Fargo, as successor Trustee, relating to the April 1998 Indenture Trustee Assignment.</w:t>
            </w:r>
          </w:p>
        </w:tc>
      </w:tr>
      <w:tr>
        <w:trPr>
          <w:trHeight w:val="302"/>
        </w:trPr>
        <w:tc>
          <w:tcPr>
            <w:tcW w:w="900" w:type="dxa"/>
            <w:vAlign w:val="bottom"/>
          </w:tcPr>
          <w:p>
            <w:pPr>
              <w:spacing w:after="0"/>
              <w:rPr>
                <w:sz w:val="24"/>
                <w:szCs w:val="24"/>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w w:val="99"/>
              </w:rPr>
              <w:t>Incorporated by reference to Exhibit 4(e)(3) to Registrant’s Annual Report on Form 10-K for the fiscal year ended December 31,</w:t>
            </w:r>
          </w:p>
        </w:tc>
      </w:tr>
      <w:tr>
        <w:trPr>
          <w:trHeight w:val="211"/>
        </w:trPr>
        <w:tc>
          <w:tcPr>
            <w:tcW w:w="900" w:type="dxa"/>
            <w:vAlign w:val="bottom"/>
          </w:tcPr>
          <w:p>
            <w:pPr>
              <w:spacing w:after="0"/>
              <w:rPr>
                <w:sz w:val="18"/>
                <w:szCs w:val="18"/>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2001.</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4(e)</w:t>
            </w:r>
          </w:p>
        </w:tc>
        <w:tc>
          <w:tcPr>
            <w:tcW w:w="10480" w:type="dxa"/>
            <w:vAlign w:val="bottom"/>
          </w:tcPr>
          <w:p>
            <w:pPr>
              <w:ind w:left="360"/>
              <w:spacing w:after="0"/>
              <w:rPr>
                <w:sz w:val="20"/>
                <w:szCs w:val="20"/>
                <w:color w:val="auto"/>
              </w:rPr>
            </w:pPr>
            <w:r>
              <w:rPr>
                <w:rFonts w:ascii="Arial" w:cs="Arial" w:eastAsia="Arial" w:hAnsi="Arial"/>
                <w:sz w:val="18"/>
                <w:szCs w:val="18"/>
                <w:color w:val="auto"/>
              </w:rPr>
              <w:t>Indenture dated as of October 2, 1995, between Xerox Credit Corporation (“XCC”) and State Street Bank and Trust Company</w:t>
            </w:r>
          </w:p>
        </w:tc>
      </w:tr>
      <w:tr>
        <w:trPr>
          <w:trHeight w:val="203"/>
        </w:trPr>
        <w:tc>
          <w:tcPr>
            <w:tcW w:w="900" w:type="dxa"/>
            <w:vAlign w:val="bottom"/>
          </w:tcPr>
          <w:p>
            <w:pPr>
              <w:spacing w:after="0"/>
              <w:rPr>
                <w:sz w:val="17"/>
                <w:szCs w:val="17"/>
                <w:color w:val="auto"/>
              </w:rPr>
            </w:pPr>
          </w:p>
        </w:tc>
        <w:tc>
          <w:tcPr>
            <w:tcW w:w="10480" w:type="dxa"/>
            <w:vAlign w:val="bottom"/>
          </w:tcPr>
          <w:p>
            <w:pPr>
              <w:ind w:left="360"/>
              <w:spacing w:after="0" w:line="202" w:lineRule="exact"/>
              <w:rPr>
                <w:sz w:val="20"/>
                <w:szCs w:val="20"/>
                <w:color w:val="auto"/>
              </w:rPr>
            </w:pPr>
            <w:r>
              <w:rPr>
                <w:rFonts w:ascii="Arial" w:cs="Arial" w:eastAsia="Arial" w:hAnsi="Arial"/>
                <w:sz w:val="18"/>
                <w:szCs w:val="18"/>
                <w:color w:val="auto"/>
                <w:w w:val="99"/>
              </w:rPr>
              <w:t>(“State Street”), as trustee, relating to unlimited amounts of debt securities which may be issued from time to time by XCC when</w:t>
            </w:r>
          </w:p>
        </w:tc>
      </w:tr>
      <w:tr>
        <w:trPr>
          <w:trHeight w:val="211"/>
        </w:trPr>
        <w:tc>
          <w:tcPr>
            <w:tcW w:w="900" w:type="dxa"/>
            <w:vAlign w:val="bottom"/>
          </w:tcPr>
          <w:p>
            <w:pPr>
              <w:spacing w:after="0"/>
              <w:rPr>
                <w:sz w:val="18"/>
                <w:szCs w:val="18"/>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and as authorized by XCC’s Board of Directors or Executive Committee of the Board of Directors (the “XCC Indenture”).</w:t>
            </w:r>
          </w:p>
        </w:tc>
      </w:tr>
      <w:tr>
        <w:trPr>
          <w:trHeight w:val="311"/>
        </w:trPr>
        <w:tc>
          <w:tcPr>
            <w:tcW w:w="900" w:type="dxa"/>
            <w:vAlign w:val="bottom"/>
          </w:tcPr>
          <w:p>
            <w:pPr>
              <w:spacing w:after="0"/>
              <w:rPr>
                <w:sz w:val="24"/>
                <w:szCs w:val="24"/>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Incorporated by reference to Exhibit 4(a) to XCC’s Registration Statement Nos. 33-61481 and 333-29677.</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4(f)(1)</w:t>
            </w:r>
          </w:p>
        </w:tc>
        <w:tc>
          <w:tcPr>
            <w:tcW w:w="10480" w:type="dxa"/>
            <w:vAlign w:val="bottom"/>
          </w:tcPr>
          <w:p>
            <w:pPr>
              <w:ind w:left="360"/>
              <w:spacing w:after="0"/>
              <w:rPr>
                <w:sz w:val="20"/>
                <w:szCs w:val="20"/>
                <w:color w:val="auto"/>
              </w:rPr>
            </w:pPr>
            <w:r>
              <w:rPr>
                <w:rFonts w:ascii="Arial" w:cs="Arial" w:eastAsia="Arial" w:hAnsi="Arial"/>
                <w:sz w:val="18"/>
                <w:szCs w:val="18"/>
                <w:color w:val="auto"/>
              </w:rPr>
              <w:t>Indenture, dated as of June 25, 2003, between Registrant and Wells Fargo, as trustee, relating to unlimited amounts of debt</w:t>
            </w:r>
          </w:p>
        </w:tc>
      </w:tr>
      <w:tr>
        <w:trPr>
          <w:trHeight w:val="203"/>
        </w:trPr>
        <w:tc>
          <w:tcPr>
            <w:tcW w:w="900" w:type="dxa"/>
            <w:vAlign w:val="bottom"/>
          </w:tcPr>
          <w:p>
            <w:pPr>
              <w:spacing w:after="0"/>
              <w:rPr>
                <w:sz w:val="17"/>
                <w:szCs w:val="17"/>
                <w:color w:val="auto"/>
              </w:rPr>
            </w:pPr>
          </w:p>
        </w:tc>
        <w:tc>
          <w:tcPr>
            <w:tcW w:w="10480" w:type="dxa"/>
            <w:vAlign w:val="bottom"/>
          </w:tcPr>
          <w:p>
            <w:pPr>
              <w:ind w:left="360"/>
              <w:spacing w:after="0" w:line="202" w:lineRule="exact"/>
              <w:rPr>
                <w:sz w:val="20"/>
                <w:szCs w:val="20"/>
                <w:color w:val="auto"/>
              </w:rPr>
            </w:pPr>
            <w:r>
              <w:rPr>
                <w:rFonts w:ascii="Arial" w:cs="Arial" w:eastAsia="Arial" w:hAnsi="Arial"/>
                <w:sz w:val="18"/>
                <w:szCs w:val="18"/>
                <w:color w:val="auto"/>
              </w:rPr>
              <w:t>securities which may be issued from time to time by Registrant when and as authorized by or pursuant to a resolution of</w:t>
            </w:r>
          </w:p>
        </w:tc>
      </w:tr>
      <w:tr>
        <w:trPr>
          <w:trHeight w:val="211"/>
        </w:trPr>
        <w:tc>
          <w:tcPr>
            <w:tcW w:w="900" w:type="dxa"/>
            <w:vAlign w:val="bottom"/>
          </w:tcPr>
          <w:p>
            <w:pPr>
              <w:spacing w:after="0"/>
              <w:rPr>
                <w:sz w:val="18"/>
                <w:szCs w:val="18"/>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Registrant’s Board of Directors (the “June 25, 2003 Indenture”).</w:t>
            </w:r>
          </w:p>
        </w:tc>
      </w:tr>
      <w:tr>
        <w:trPr>
          <w:trHeight w:val="351"/>
        </w:trPr>
        <w:tc>
          <w:tcPr>
            <w:tcW w:w="900" w:type="dxa"/>
            <w:vAlign w:val="bottom"/>
          </w:tcPr>
          <w:p>
            <w:pPr>
              <w:spacing w:after="0"/>
              <w:rPr>
                <w:sz w:val="24"/>
                <w:szCs w:val="24"/>
                <w:color w:val="auto"/>
              </w:rPr>
            </w:pPr>
          </w:p>
        </w:tc>
        <w:tc>
          <w:tcPr>
            <w:tcW w:w="10480" w:type="dxa"/>
            <w:vAlign w:val="bottom"/>
          </w:tcPr>
          <w:p>
            <w:pPr>
              <w:ind w:left="476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by reference to Exhibit 4.1 to Registrant’s Current Report on Form 8-K dated June 25, 2003.</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4(f)(2)</w:t>
            </w:r>
          </w:p>
        </w:tc>
        <w:tc>
          <w:tcPr>
            <w:tcW w:w="10500" w:type="dxa"/>
            <w:vAlign w:val="bottom"/>
          </w:tcPr>
          <w:p>
            <w:pPr>
              <w:ind w:left="360"/>
              <w:spacing w:after="0"/>
              <w:rPr>
                <w:sz w:val="20"/>
                <w:szCs w:val="20"/>
                <w:color w:val="auto"/>
              </w:rPr>
            </w:pPr>
            <w:r>
              <w:rPr>
                <w:rFonts w:ascii="Arial" w:cs="Arial" w:eastAsia="Arial" w:hAnsi="Arial"/>
                <w:sz w:val="18"/>
                <w:szCs w:val="18"/>
                <w:color w:val="auto"/>
                <w:w w:val="98"/>
              </w:rPr>
              <w:t>First Supplemental Indenture, dated June 25, 2003 among Registrant, the guarantors named therein and Wells Fargo, as trustee,</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to the June 25, 2003 Indenture.</w:t>
            </w:r>
          </w:p>
        </w:tc>
      </w:tr>
      <w:tr>
        <w:trPr>
          <w:trHeight w:val="311"/>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by reference to Exhibit 4.2 to Registrant’s Current Report on Form 8-K dated June 25, 2003.</w:t>
            </w:r>
          </w:p>
        </w:tc>
      </w:tr>
      <w:tr>
        <w:trPr>
          <w:trHeight w:val="311"/>
        </w:trPr>
        <w:tc>
          <w:tcPr>
            <w:tcW w:w="900" w:type="dxa"/>
            <w:vAlign w:val="bottom"/>
          </w:tcPr>
          <w:p>
            <w:pPr>
              <w:spacing w:after="0"/>
              <w:rPr>
                <w:sz w:val="20"/>
                <w:szCs w:val="20"/>
                <w:color w:val="auto"/>
              </w:rPr>
            </w:pPr>
            <w:r>
              <w:rPr>
                <w:rFonts w:ascii="Arial" w:cs="Arial" w:eastAsia="Arial" w:hAnsi="Arial"/>
                <w:sz w:val="18"/>
                <w:szCs w:val="18"/>
                <w:color w:val="auto"/>
              </w:rPr>
              <w:t>4(f)(3)</w:t>
            </w:r>
          </w:p>
        </w:tc>
        <w:tc>
          <w:tcPr>
            <w:tcW w:w="10500" w:type="dxa"/>
            <w:vAlign w:val="bottom"/>
          </w:tcPr>
          <w:p>
            <w:pPr>
              <w:ind w:left="360"/>
              <w:spacing w:after="0"/>
              <w:rPr>
                <w:sz w:val="20"/>
                <w:szCs w:val="20"/>
                <w:color w:val="auto"/>
              </w:rPr>
            </w:pPr>
            <w:r>
              <w:rPr>
                <w:rFonts w:ascii="Arial" w:cs="Arial" w:eastAsia="Arial" w:hAnsi="Arial"/>
                <w:sz w:val="18"/>
                <w:szCs w:val="18"/>
                <w:color w:val="auto"/>
              </w:rPr>
              <w:t>Form of Second Supplemental Indenture to the June 25, 2003 Indenture.</w:t>
            </w:r>
          </w:p>
        </w:tc>
      </w:tr>
      <w:tr>
        <w:trPr>
          <w:trHeight w:val="311"/>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by reference to Exhibit (4)(b)(3) to Registrant’s Registration Statement No. 333-111623.</w:t>
            </w:r>
          </w:p>
        </w:tc>
      </w:tr>
      <w:tr>
        <w:trPr>
          <w:trHeight w:val="311"/>
        </w:trPr>
        <w:tc>
          <w:tcPr>
            <w:tcW w:w="900" w:type="dxa"/>
            <w:vAlign w:val="bottom"/>
          </w:tcPr>
          <w:p>
            <w:pPr>
              <w:spacing w:after="0"/>
              <w:rPr>
                <w:sz w:val="20"/>
                <w:szCs w:val="20"/>
                <w:color w:val="auto"/>
              </w:rPr>
            </w:pPr>
            <w:r>
              <w:rPr>
                <w:rFonts w:ascii="Arial" w:cs="Arial" w:eastAsia="Arial" w:hAnsi="Arial"/>
                <w:sz w:val="18"/>
                <w:szCs w:val="18"/>
                <w:color w:val="auto"/>
              </w:rPr>
              <w:t>4(f)(4)</w:t>
            </w:r>
          </w:p>
        </w:tc>
        <w:tc>
          <w:tcPr>
            <w:tcW w:w="10500" w:type="dxa"/>
            <w:vAlign w:val="bottom"/>
          </w:tcPr>
          <w:p>
            <w:pPr>
              <w:ind w:left="360"/>
              <w:spacing w:after="0"/>
              <w:rPr>
                <w:sz w:val="20"/>
                <w:szCs w:val="20"/>
                <w:color w:val="auto"/>
              </w:rPr>
            </w:pPr>
            <w:r>
              <w:rPr>
                <w:rFonts w:ascii="Arial" w:cs="Arial" w:eastAsia="Arial" w:hAnsi="Arial"/>
                <w:sz w:val="18"/>
                <w:szCs w:val="18"/>
                <w:color w:val="auto"/>
              </w:rPr>
              <w:t>Form of Third Supplemental Indenture, dated as of March 20, 2006, to the June 25, 2003 Indenture.</w:t>
            </w:r>
          </w:p>
        </w:tc>
      </w:tr>
      <w:tr>
        <w:trPr>
          <w:trHeight w:val="311"/>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by reference to Exhibit 4(b)(6) to Registrant’s Current Report on Form 8-K dated March 20, 2006.</w:t>
            </w:r>
          </w:p>
        </w:tc>
      </w:tr>
      <w:tr>
        <w:trPr>
          <w:trHeight w:val="311"/>
        </w:trPr>
        <w:tc>
          <w:tcPr>
            <w:tcW w:w="900" w:type="dxa"/>
            <w:vAlign w:val="bottom"/>
          </w:tcPr>
          <w:p>
            <w:pPr>
              <w:spacing w:after="0"/>
              <w:rPr>
                <w:sz w:val="20"/>
                <w:szCs w:val="20"/>
                <w:color w:val="auto"/>
              </w:rPr>
            </w:pPr>
            <w:r>
              <w:rPr>
                <w:rFonts w:ascii="Arial" w:cs="Arial" w:eastAsia="Arial" w:hAnsi="Arial"/>
                <w:sz w:val="18"/>
                <w:szCs w:val="18"/>
                <w:color w:val="auto"/>
              </w:rPr>
              <w:t>4(f)(5)</w:t>
            </w:r>
          </w:p>
        </w:tc>
        <w:tc>
          <w:tcPr>
            <w:tcW w:w="10500" w:type="dxa"/>
            <w:vAlign w:val="bottom"/>
          </w:tcPr>
          <w:p>
            <w:pPr>
              <w:ind w:left="360"/>
              <w:spacing w:after="0"/>
              <w:rPr>
                <w:sz w:val="20"/>
                <w:szCs w:val="20"/>
                <w:color w:val="auto"/>
              </w:rPr>
            </w:pPr>
            <w:r>
              <w:rPr>
                <w:rFonts w:ascii="Arial" w:cs="Arial" w:eastAsia="Arial" w:hAnsi="Arial"/>
                <w:sz w:val="18"/>
                <w:szCs w:val="18"/>
                <w:color w:val="auto"/>
              </w:rPr>
              <w:t>Form of Fourth Supplemental Indenture, dated as of August 18, 2006, to the June 25, 2003 Indenture.</w:t>
            </w:r>
          </w:p>
        </w:tc>
      </w:tr>
      <w:tr>
        <w:trPr>
          <w:trHeight w:val="311"/>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by reference to Exhibit 4(b)(7) to Registrant’s Current Report on Form 8-K dated August 18, 2006.</w:t>
            </w:r>
          </w:p>
        </w:tc>
      </w:tr>
      <w:tr>
        <w:trPr>
          <w:trHeight w:val="311"/>
        </w:trPr>
        <w:tc>
          <w:tcPr>
            <w:tcW w:w="900" w:type="dxa"/>
            <w:vAlign w:val="bottom"/>
          </w:tcPr>
          <w:p>
            <w:pPr>
              <w:spacing w:after="0"/>
              <w:rPr>
                <w:sz w:val="20"/>
                <w:szCs w:val="20"/>
                <w:color w:val="auto"/>
              </w:rPr>
            </w:pPr>
            <w:r>
              <w:rPr>
                <w:rFonts w:ascii="Arial" w:cs="Arial" w:eastAsia="Arial" w:hAnsi="Arial"/>
                <w:sz w:val="18"/>
                <w:szCs w:val="18"/>
                <w:color w:val="auto"/>
              </w:rPr>
              <w:t>4(f)(6)</w:t>
            </w:r>
          </w:p>
        </w:tc>
        <w:tc>
          <w:tcPr>
            <w:tcW w:w="10500" w:type="dxa"/>
            <w:vAlign w:val="bottom"/>
          </w:tcPr>
          <w:p>
            <w:pPr>
              <w:ind w:left="360"/>
              <w:spacing w:after="0"/>
              <w:rPr>
                <w:sz w:val="20"/>
                <w:szCs w:val="20"/>
                <w:color w:val="auto"/>
              </w:rPr>
            </w:pPr>
            <w:r>
              <w:rPr>
                <w:rFonts w:ascii="Arial" w:cs="Arial" w:eastAsia="Arial" w:hAnsi="Arial"/>
                <w:sz w:val="18"/>
                <w:szCs w:val="18"/>
                <w:color w:val="auto"/>
              </w:rPr>
              <w:t>Form of Fifth Supplemental Indenture, dated as of August 18, 2006, to the June 25, 2003 Indenture.</w:t>
            </w:r>
          </w:p>
        </w:tc>
      </w:tr>
      <w:tr>
        <w:trPr>
          <w:trHeight w:val="311"/>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by reference to Exhibit 4(b)(8) to Registrant’s Current Report on Form 8-K dated August 18, 2006.</w:t>
            </w:r>
          </w:p>
        </w:tc>
      </w:tr>
      <w:tr>
        <w:trPr>
          <w:trHeight w:val="311"/>
        </w:trPr>
        <w:tc>
          <w:tcPr>
            <w:tcW w:w="900" w:type="dxa"/>
            <w:vAlign w:val="bottom"/>
          </w:tcPr>
          <w:p>
            <w:pPr>
              <w:spacing w:after="0"/>
              <w:rPr>
                <w:sz w:val="20"/>
                <w:szCs w:val="20"/>
                <w:color w:val="auto"/>
              </w:rPr>
            </w:pPr>
            <w:r>
              <w:rPr>
                <w:rFonts w:ascii="Arial" w:cs="Arial" w:eastAsia="Arial" w:hAnsi="Arial"/>
                <w:sz w:val="18"/>
                <w:szCs w:val="18"/>
                <w:color w:val="auto"/>
              </w:rPr>
              <w:t>4(f)(7)</w:t>
            </w:r>
          </w:p>
        </w:tc>
        <w:tc>
          <w:tcPr>
            <w:tcW w:w="10500" w:type="dxa"/>
            <w:vAlign w:val="bottom"/>
          </w:tcPr>
          <w:p>
            <w:pPr>
              <w:ind w:left="360"/>
              <w:spacing w:after="0"/>
              <w:rPr>
                <w:sz w:val="20"/>
                <w:szCs w:val="20"/>
                <w:color w:val="auto"/>
              </w:rPr>
            </w:pPr>
            <w:r>
              <w:rPr>
                <w:rFonts w:ascii="Arial" w:cs="Arial" w:eastAsia="Arial" w:hAnsi="Arial"/>
                <w:sz w:val="18"/>
                <w:szCs w:val="18"/>
                <w:color w:val="auto"/>
              </w:rPr>
              <w:t>Form of Sixth Supplemental Indenture, dated as of May 17, 2007 to the June 25, 2003 Indenture.</w:t>
            </w:r>
          </w:p>
        </w:tc>
      </w:tr>
      <w:tr>
        <w:trPr>
          <w:trHeight w:val="311"/>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by reference to Exhibit 4(b)(2) to Registrant’s Registration Statement No. 333-142900.</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4(g)(1)</w:t>
            </w:r>
          </w:p>
        </w:tc>
        <w:tc>
          <w:tcPr>
            <w:tcW w:w="10500" w:type="dxa"/>
            <w:vAlign w:val="bottom"/>
          </w:tcPr>
          <w:p>
            <w:pPr>
              <w:ind w:left="360"/>
              <w:spacing w:after="0"/>
              <w:rPr>
                <w:sz w:val="20"/>
                <w:szCs w:val="20"/>
                <w:color w:val="auto"/>
              </w:rPr>
            </w:pPr>
            <w:r>
              <w:rPr>
                <w:rFonts w:ascii="Arial" w:cs="Arial" w:eastAsia="Arial" w:hAnsi="Arial"/>
                <w:sz w:val="18"/>
                <w:szCs w:val="18"/>
                <w:color w:val="auto"/>
                <w:w w:val="98"/>
              </w:rPr>
              <w:t>Form of Credit Agreement dated as of April 30, 2007 between Registrant and the Initial Lenders named therein, Citibank, N.A., as</w:t>
            </w:r>
          </w:p>
        </w:tc>
      </w:tr>
      <w:tr>
        <w:trPr>
          <w:trHeight w:val="203"/>
        </w:trPr>
        <w:tc>
          <w:tcPr>
            <w:tcW w:w="900" w:type="dxa"/>
            <w:vAlign w:val="bottom"/>
          </w:tcPr>
          <w:p>
            <w:pPr>
              <w:spacing w:after="0"/>
              <w:rPr>
                <w:sz w:val="17"/>
                <w:szCs w:val="17"/>
                <w:color w:val="auto"/>
              </w:rPr>
            </w:pPr>
          </w:p>
        </w:tc>
        <w:tc>
          <w:tcPr>
            <w:tcW w:w="10500" w:type="dxa"/>
            <w:vAlign w:val="bottom"/>
          </w:tcPr>
          <w:p>
            <w:pPr>
              <w:ind w:left="360"/>
              <w:spacing w:after="0" w:line="202" w:lineRule="exact"/>
              <w:rPr>
                <w:sz w:val="20"/>
                <w:szCs w:val="20"/>
                <w:color w:val="auto"/>
              </w:rPr>
            </w:pPr>
            <w:r>
              <w:rPr>
                <w:rFonts w:ascii="Arial" w:cs="Arial" w:eastAsia="Arial" w:hAnsi="Arial"/>
                <w:sz w:val="18"/>
                <w:szCs w:val="18"/>
                <w:color w:val="auto"/>
              </w:rPr>
              <w:t>Administrative Agent, and Citigroup Global Markets Inc. and J.P. Morgan Securities Inc., as Joint Lead Arrangers and Joint</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Bookrunners (the “Credit Agreement”).</w:t>
            </w:r>
          </w:p>
        </w:tc>
      </w:tr>
      <w:tr>
        <w:trPr>
          <w:trHeight w:val="311"/>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by reference to Exhibit 10(j) to Registrant’s Current Report on Form 8-K dated April 30, 2007.</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4(g)(2)</w:t>
            </w:r>
          </w:p>
        </w:tc>
        <w:tc>
          <w:tcPr>
            <w:tcW w:w="10500" w:type="dxa"/>
            <w:vAlign w:val="bottom"/>
          </w:tcPr>
          <w:p>
            <w:pPr>
              <w:ind w:left="360"/>
              <w:spacing w:after="0"/>
              <w:rPr>
                <w:sz w:val="20"/>
                <w:szCs w:val="20"/>
                <w:color w:val="auto"/>
              </w:rPr>
            </w:pPr>
            <w:r>
              <w:rPr>
                <w:rFonts w:ascii="Arial" w:cs="Arial" w:eastAsia="Arial" w:hAnsi="Arial"/>
                <w:sz w:val="18"/>
                <w:szCs w:val="18"/>
                <w:color w:val="auto"/>
              </w:rPr>
              <w:t>Amendment No. 1 to Credit Agreement, dated as of October 27, 2008, among Registrant, the Lenders named therein, and</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Citibank, ,N.A., as agent for the Lenders.</w:t>
            </w:r>
          </w:p>
        </w:tc>
      </w:tr>
      <w:tr>
        <w:trPr>
          <w:trHeight w:val="302"/>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9"/>
              </w:rPr>
              <w:t>Incorporated by reference to Exhibit 4(g)(2) to Registrant’s Annual Report on Form 10-K for the fiscal year ended December 31,</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2008.</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4(g)(3)</w:t>
            </w:r>
          </w:p>
        </w:tc>
        <w:tc>
          <w:tcPr>
            <w:tcW w:w="10500" w:type="dxa"/>
            <w:vAlign w:val="bottom"/>
          </w:tcPr>
          <w:p>
            <w:pPr>
              <w:ind w:left="360"/>
              <w:spacing w:after="0"/>
              <w:rPr>
                <w:sz w:val="20"/>
                <w:szCs w:val="20"/>
                <w:color w:val="auto"/>
              </w:rPr>
            </w:pPr>
            <w:r>
              <w:rPr>
                <w:rFonts w:ascii="Arial" w:cs="Arial" w:eastAsia="Arial" w:hAnsi="Arial"/>
                <w:sz w:val="18"/>
                <w:szCs w:val="18"/>
                <w:color w:val="auto"/>
              </w:rPr>
              <w:t>Amendment No. 2 to Credit Agreement, dated as of April 23, 2009, between Registrant and the Initial Lenders named therein,</w:t>
            </w:r>
          </w:p>
        </w:tc>
      </w:tr>
      <w:tr>
        <w:trPr>
          <w:trHeight w:val="203"/>
        </w:trPr>
        <w:tc>
          <w:tcPr>
            <w:tcW w:w="900" w:type="dxa"/>
            <w:vAlign w:val="bottom"/>
          </w:tcPr>
          <w:p>
            <w:pPr>
              <w:spacing w:after="0"/>
              <w:rPr>
                <w:sz w:val="17"/>
                <w:szCs w:val="17"/>
                <w:color w:val="auto"/>
              </w:rPr>
            </w:pPr>
          </w:p>
        </w:tc>
        <w:tc>
          <w:tcPr>
            <w:tcW w:w="10500" w:type="dxa"/>
            <w:vAlign w:val="bottom"/>
          </w:tcPr>
          <w:p>
            <w:pPr>
              <w:ind w:left="360"/>
              <w:spacing w:after="0" w:line="202" w:lineRule="exact"/>
              <w:rPr>
                <w:sz w:val="20"/>
                <w:szCs w:val="20"/>
                <w:color w:val="auto"/>
              </w:rPr>
            </w:pPr>
            <w:r>
              <w:rPr>
                <w:rFonts w:ascii="Arial" w:cs="Arial" w:eastAsia="Arial" w:hAnsi="Arial"/>
                <w:sz w:val="18"/>
                <w:szCs w:val="18"/>
                <w:color w:val="auto"/>
                <w:w w:val="97"/>
              </w:rPr>
              <w:t>Citibank, N.A., as Administrative Agent, and Citigroup Global Markets Inc. and J.P. Morgan Securities Inc., as Joint Lead Arrangers</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and Joint Bookrunners.</w:t>
            </w:r>
          </w:p>
        </w:tc>
      </w:tr>
      <w:tr>
        <w:trPr>
          <w:trHeight w:val="311"/>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8"/>
              </w:rPr>
              <w:t>Incorporated by reference to Exhibit 4(g)(3) to Registrant’s Quarterly Report on Form 10-Q for the Quarter ended March 31, 2009.</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4(g)(4)</w:t>
            </w:r>
          </w:p>
        </w:tc>
        <w:tc>
          <w:tcPr>
            <w:tcW w:w="10500" w:type="dxa"/>
            <w:vAlign w:val="bottom"/>
          </w:tcPr>
          <w:p>
            <w:pPr>
              <w:ind w:left="360"/>
              <w:spacing w:after="0"/>
              <w:rPr>
                <w:sz w:val="20"/>
                <w:szCs w:val="20"/>
                <w:color w:val="auto"/>
              </w:rPr>
            </w:pPr>
            <w:r>
              <w:rPr>
                <w:rFonts w:ascii="Arial" w:cs="Arial" w:eastAsia="Arial" w:hAnsi="Arial"/>
                <w:sz w:val="18"/>
                <w:szCs w:val="18"/>
                <w:color w:val="auto"/>
                <w:w w:val="98"/>
              </w:rPr>
              <w:t>Amendment No. 3 to Credit Agreement, dated as of October 19, 2009, between Registrant and the Initial Lenders named therein,</w:t>
            </w:r>
          </w:p>
        </w:tc>
      </w:tr>
      <w:tr>
        <w:trPr>
          <w:trHeight w:val="203"/>
        </w:trPr>
        <w:tc>
          <w:tcPr>
            <w:tcW w:w="900" w:type="dxa"/>
            <w:vAlign w:val="bottom"/>
          </w:tcPr>
          <w:p>
            <w:pPr>
              <w:spacing w:after="0"/>
              <w:rPr>
                <w:sz w:val="17"/>
                <w:szCs w:val="17"/>
                <w:color w:val="auto"/>
              </w:rPr>
            </w:pPr>
          </w:p>
        </w:tc>
        <w:tc>
          <w:tcPr>
            <w:tcW w:w="10500" w:type="dxa"/>
            <w:vAlign w:val="bottom"/>
          </w:tcPr>
          <w:p>
            <w:pPr>
              <w:ind w:left="360"/>
              <w:spacing w:after="0" w:line="202" w:lineRule="exact"/>
              <w:rPr>
                <w:sz w:val="20"/>
                <w:szCs w:val="20"/>
                <w:color w:val="auto"/>
              </w:rPr>
            </w:pPr>
            <w:r>
              <w:rPr>
                <w:rFonts w:ascii="Arial" w:cs="Arial" w:eastAsia="Arial" w:hAnsi="Arial"/>
                <w:sz w:val="18"/>
                <w:szCs w:val="18"/>
                <w:color w:val="auto"/>
                <w:w w:val="97"/>
              </w:rPr>
              <w:t>Citibank, N.A., as Administrative Agent, and Citigroup Global Markets Inc. and J.P. Morgan Securities Inc., as Joint Lead Arrangers</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and Joint Bookrunners.</w:t>
            </w:r>
          </w:p>
        </w:tc>
      </w:tr>
      <w:tr>
        <w:trPr>
          <w:trHeight w:val="302"/>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9"/>
              </w:rPr>
              <w:t>Incorporated by reference to Exhibit 4(g)(4) to Registrant’s Quarterly Report on Form 10-Q for the Quarter ended September 30,</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2009.</w:t>
            </w:r>
          </w:p>
        </w:tc>
      </w:tr>
      <w:tr>
        <w:trPr>
          <w:trHeight w:val="311"/>
        </w:trPr>
        <w:tc>
          <w:tcPr>
            <w:tcW w:w="900" w:type="dxa"/>
            <w:vAlign w:val="bottom"/>
          </w:tcPr>
          <w:p>
            <w:pPr>
              <w:spacing w:after="0"/>
              <w:rPr>
                <w:sz w:val="20"/>
                <w:szCs w:val="20"/>
                <w:color w:val="auto"/>
              </w:rPr>
            </w:pPr>
            <w:r>
              <w:rPr>
                <w:rFonts w:ascii="Arial" w:cs="Arial" w:eastAsia="Arial" w:hAnsi="Arial"/>
                <w:sz w:val="18"/>
                <w:szCs w:val="18"/>
                <w:color w:val="auto"/>
              </w:rPr>
              <w:t>4(h)</w:t>
            </w:r>
          </w:p>
        </w:tc>
        <w:tc>
          <w:tcPr>
            <w:tcW w:w="10500" w:type="dxa"/>
            <w:vAlign w:val="bottom"/>
          </w:tcPr>
          <w:p>
            <w:pPr>
              <w:ind w:left="360"/>
              <w:spacing w:after="0"/>
              <w:rPr>
                <w:sz w:val="20"/>
                <w:szCs w:val="20"/>
                <w:color w:val="auto"/>
              </w:rPr>
            </w:pPr>
            <w:r>
              <w:rPr>
                <w:rFonts w:ascii="Arial" w:cs="Arial" w:eastAsia="Arial" w:hAnsi="Arial"/>
                <w:sz w:val="18"/>
                <w:szCs w:val="18"/>
                <w:color w:val="auto"/>
              </w:rPr>
              <w:t>Master Demand Note dated December 10, 2003 between Registrant and Xerox Credit Corporation.</w:t>
            </w:r>
          </w:p>
        </w:tc>
      </w:tr>
      <w:tr>
        <w:trPr>
          <w:trHeight w:val="302"/>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by reference to Exhibit 4(m) to Registrant’s Annual Report on Form 10-K for the fiscal year ended December 31,</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2003.</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4(i)</w:t>
            </w:r>
          </w:p>
        </w:tc>
        <w:tc>
          <w:tcPr>
            <w:tcW w:w="10500" w:type="dxa"/>
            <w:vAlign w:val="bottom"/>
          </w:tcPr>
          <w:p>
            <w:pPr>
              <w:ind w:left="360"/>
              <w:spacing w:after="0"/>
              <w:rPr>
                <w:sz w:val="20"/>
                <w:szCs w:val="20"/>
                <w:color w:val="auto"/>
              </w:rPr>
            </w:pPr>
            <w:r>
              <w:rPr>
                <w:rFonts w:ascii="Arial" w:cs="Arial" w:eastAsia="Arial" w:hAnsi="Arial"/>
                <w:sz w:val="18"/>
                <w:szCs w:val="18"/>
                <w:color w:val="auto"/>
              </w:rPr>
              <w:t>Form of Indenture dated as of December 4, 2009 between Xerox Corporation and the Bank of New York Mellon, as trustee,</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relating to an unlimited amount of senior debt securities.</w:t>
            </w:r>
          </w:p>
        </w:tc>
      </w:tr>
      <w:tr>
        <w:trPr>
          <w:trHeight w:val="302"/>
        </w:trPr>
        <w:tc>
          <w:tcPr>
            <w:tcW w:w="900" w:type="dxa"/>
            <w:vAlign w:val="bottom"/>
          </w:tcPr>
          <w:p>
            <w:pPr>
              <w:spacing w:after="0"/>
              <w:rPr>
                <w:sz w:val="24"/>
                <w:szCs w:val="24"/>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9"/>
              </w:rPr>
              <w:t>Incorporated by reference to Exhibit 4(b)(5) to Post-Effective Amendment No. 1 to Registrant’s Registration Statement No. 333-</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142900.</w:t>
            </w:r>
          </w:p>
        </w:tc>
      </w:tr>
      <w:tr>
        <w:trPr>
          <w:trHeight w:val="302"/>
        </w:trPr>
        <w:tc>
          <w:tcPr>
            <w:tcW w:w="900" w:type="dxa"/>
            <w:vAlign w:val="bottom"/>
          </w:tcPr>
          <w:p>
            <w:pPr>
              <w:spacing w:after="0"/>
              <w:rPr>
                <w:sz w:val="20"/>
                <w:szCs w:val="20"/>
                <w:color w:val="auto"/>
              </w:rPr>
            </w:pPr>
            <w:r>
              <w:rPr>
                <w:rFonts w:ascii="Arial" w:cs="Arial" w:eastAsia="Arial" w:hAnsi="Arial"/>
                <w:sz w:val="18"/>
                <w:szCs w:val="18"/>
                <w:color w:val="auto"/>
              </w:rPr>
              <w:t>4(j)(1)</w:t>
            </w:r>
          </w:p>
        </w:tc>
        <w:tc>
          <w:tcPr>
            <w:tcW w:w="10500" w:type="dxa"/>
            <w:vAlign w:val="bottom"/>
          </w:tcPr>
          <w:p>
            <w:pPr>
              <w:ind w:left="360"/>
              <w:spacing w:after="0"/>
              <w:rPr>
                <w:sz w:val="20"/>
                <w:szCs w:val="20"/>
                <w:color w:val="auto"/>
              </w:rPr>
            </w:pPr>
            <w:r>
              <w:rPr>
                <w:rFonts w:ascii="Arial" w:cs="Arial" w:eastAsia="Arial" w:hAnsi="Arial"/>
                <w:sz w:val="18"/>
                <w:szCs w:val="18"/>
                <w:color w:val="auto"/>
                <w:w w:val="99"/>
              </w:rPr>
              <w:t>Indenture, dated as of June 6, 2005, by and between Affiliated Computer Services, Inc. (“ACS”) as Issuer and The Bank of New</w:t>
            </w:r>
          </w:p>
        </w:tc>
      </w:tr>
      <w:tr>
        <w:trPr>
          <w:trHeight w:val="211"/>
        </w:trPr>
        <w:tc>
          <w:tcPr>
            <w:tcW w:w="90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York Trust Company, N.A. as Trustee (the “June 6, 2005 Indenture”).</w:t>
            </w:r>
          </w:p>
        </w:tc>
      </w:tr>
      <w:tr>
        <w:trPr>
          <w:trHeight w:val="351"/>
        </w:trPr>
        <w:tc>
          <w:tcPr>
            <w:tcW w:w="900" w:type="dxa"/>
            <w:vAlign w:val="bottom"/>
          </w:tcPr>
          <w:p>
            <w:pPr>
              <w:spacing w:after="0"/>
              <w:rPr>
                <w:sz w:val="24"/>
                <w:szCs w:val="24"/>
                <w:color w:val="auto"/>
              </w:rPr>
            </w:pPr>
          </w:p>
        </w:tc>
        <w:tc>
          <w:tcPr>
            <w:tcW w:w="10500" w:type="dxa"/>
            <w:vAlign w:val="bottom"/>
          </w:tcPr>
          <w:p>
            <w:pPr>
              <w:ind w:left="476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by reference to Exhibit 4.1 to ACS’s Current Report on Form 8-K, filed June 6, 2005.</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4(j)(2)</w:t>
            </w:r>
          </w:p>
        </w:tc>
        <w:tc>
          <w:tcPr>
            <w:tcW w:w="10520" w:type="dxa"/>
            <w:vAlign w:val="bottom"/>
          </w:tcPr>
          <w:p>
            <w:pPr>
              <w:ind w:left="380"/>
              <w:spacing w:after="0"/>
              <w:rPr>
                <w:sz w:val="20"/>
                <w:szCs w:val="20"/>
                <w:color w:val="auto"/>
              </w:rPr>
            </w:pPr>
            <w:r>
              <w:rPr>
                <w:rFonts w:ascii="Arial" w:cs="Arial" w:eastAsia="Arial" w:hAnsi="Arial"/>
                <w:sz w:val="18"/>
                <w:szCs w:val="18"/>
                <w:color w:val="auto"/>
              </w:rPr>
              <w:t>First Supplemental Indenture, dated as of June 6, 2005, to the June 6, 2005 Indenture.</w:t>
            </w:r>
          </w:p>
        </w:tc>
      </w:tr>
      <w:tr>
        <w:trPr>
          <w:trHeight w:val="311"/>
        </w:trPr>
        <w:tc>
          <w:tcPr>
            <w:tcW w:w="880" w:type="dxa"/>
            <w:vAlign w:val="bottom"/>
          </w:tcPr>
          <w:p>
            <w:pPr>
              <w:spacing w:after="0"/>
              <w:rPr>
                <w:sz w:val="24"/>
                <w:szCs w:val="24"/>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by reference to Exhibit 4.2 to ACS’s Current Report on Form 8-K, filed June 6, 2005.</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4(j)(3)</w:t>
            </w:r>
          </w:p>
        </w:tc>
        <w:tc>
          <w:tcPr>
            <w:tcW w:w="10520" w:type="dxa"/>
            <w:vAlign w:val="bottom"/>
          </w:tcPr>
          <w:p>
            <w:pPr>
              <w:ind w:left="380"/>
              <w:spacing w:after="0"/>
              <w:rPr>
                <w:sz w:val="20"/>
                <w:szCs w:val="20"/>
                <w:color w:val="auto"/>
              </w:rPr>
            </w:pPr>
            <w:r>
              <w:rPr>
                <w:rFonts w:ascii="Arial" w:cs="Arial" w:eastAsia="Arial" w:hAnsi="Arial"/>
                <w:sz w:val="18"/>
                <w:szCs w:val="18"/>
                <w:color w:val="auto"/>
              </w:rPr>
              <w:t>Second Supplemental Indenture, dated as of June 6, 2005, to the June 6, 2005 Indenture.</w:t>
            </w:r>
          </w:p>
        </w:tc>
      </w:tr>
      <w:tr>
        <w:trPr>
          <w:trHeight w:val="311"/>
        </w:trPr>
        <w:tc>
          <w:tcPr>
            <w:tcW w:w="880" w:type="dxa"/>
            <w:vAlign w:val="bottom"/>
          </w:tcPr>
          <w:p>
            <w:pPr>
              <w:spacing w:after="0"/>
              <w:rPr>
                <w:sz w:val="24"/>
                <w:szCs w:val="24"/>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by reference to Exhibit 4.3 to ACS’s Current Report on Form 8-K, filed June 6, 2005.</w:t>
            </w:r>
          </w:p>
        </w:tc>
      </w:tr>
      <w:tr>
        <w:trPr>
          <w:trHeight w:val="302"/>
        </w:trPr>
        <w:tc>
          <w:tcPr>
            <w:tcW w:w="880" w:type="dxa"/>
            <w:vAlign w:val="bottom"/>
          </w:tcPr>
          <w:p>
            <w:pPr>
              <w:spacing w:after="0"/>
              <w:rPr>
                <w:sz w:val="20"/>
                <w:szCs w:val="20"/>
                <w:color w:val="auto"/>
              </w:rPr>
            </w:pPr>
            <w:r>
              <w:rPr>
                <w:rFonts w:ascii="Arial" w:cs="Arial" w:eastAsia="Arial" w:hAnsi="Arial"/>
                <w:sz w:val="18"/>
                <w:szCs w:val="18"/>
                <w:color w:val="auto"/>
              </w:rPr>
              <w:t>4(j)(4)</w:t>
            </w:r>
          </w:p>
        </w:tc>
        <w:tc>
          <w:tcPr>
            <w:tcW w:w="10520" w:type="dxa"/>
            <w:vAlign w:val="bottom"/>
          </w:tcPr>
          <w:p>
            <w:pPr>
              <w:ind w:left="380"/>
              <w:spacing w:after="0"/>
              <w:rPr>
                <w:sz w:val="20"/>
                <w:szCs w:val="20"/>
                <w:color w:val="auto"/>
              </w:rPr>
            </w:pPr>
            <w:r>
              <w:rPr>
                <w:rFonts w:ascii="Arial" w:cs="Arial" w:eastAsia="Arial" w:hAnsi="Arial"/>
                <w:sz w:val="18"/>
                <w:szCs w:val="18"/>
                <w:color w:val="auto"/>
                <w:w w:val="97"/>
              </w:rPr>
              <w:t>Third Supplemental Indenture, dated as of February 5, 2010, to the June 6, 2005 Indenture between Boulder Acquisition Corp., the</w:t>
            </w:r>
          </w:p>
        </w:tc>
      </w:tr>
      <w:tr>
        <w:trPr>
          <w:trHeight w:val="211"/>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successor to ACS, and The Bank of New York Trust Company, N.A.</w:t>
            </w:r>
          </w:p>
        </w:tc>
      </w:tr>
      <w:tr>
        <w:trPr>
          <w:trHeight w:val="302"/>
        </w:trPr>
        <w:tc>
          <w:tcPr>
            <w:tcW w:w="880" w:type="dxa"/>
            <w:vAlign w:val="bottom"/>
          </w:tcPr>
          <w:p>
            <w:pPr>
              <w:spacing w:after="0"/>
              <w:rPr>
                <w:sz w:val="20"/>
                <w:szCs w:val="20"/>
                <w:color w:val="auto"/>
              </w:rPr>
            </w:pPr>
            <w:r>
              <w:rPr>
                <w:rFonts w:ascii="Arial" w:cs="Arial" w:eastAsia="Arial" w:hAnsi="Arial"/>
                <w:sz w:val="18"/>
                <w:szCs w:val="18"/>
                <w:color w:val="auto"/>
              </w:rPr>
              <w:t>4(k)</w:t>
            </w:r>
          </w:p>
        </w:tc>
        <w:tc>
          <w:tcPr>
            <w:tcW w:w="10520" w:type="dxa"/>
            <w:vAlign w:val="bottom"/>
          </w:tcPr>
          <w:p>
            <w:pPr>
              <w:ind w:left="380"/>
              <w:spacing w:after="0"/>
              <w:rPr>
                <w:sz w:val="20"/>
                <w:szCs w:val="20"/>
                <w:color w:val="auto"/>
              </w:rPr>
            </w:pPr>
            <w:r>
              <w:rPr>
                <w:rFonts w:ascii="Arial" w:cs="Arial" w:eastAsia="Arial" w:hAnsi="Arial"/>
                <w:sz w:val="18"/>
                <w:szCs w:val="18"/>
                <w:color w:val="auto"/>
                <w:w w:val="97"/>
              </w:rPr>
              <w:t>Instruments with respect to long-term debt where the total amount of securities authorized thereunder does not exceed 10 percent</w:t>
            </w:r>
          </w:p>
        </w:tc>
      </w:tr>
      <w:tr>
        <w:trPr>
          <w:trHeight w:val="203"/>
        </w:trPr>
        <w:tc>
          <w:tcPr>
            <w:tcW w:w="880" w:type="dxa"/>
            <w:vAlign w:val="bottom"/>
          </w:tcPr>
          <w:p>
            <w:pPr>
              <w:spacing w:after="0"/>
              <w:rPr>
                <w:sz w:val="17"/>
                <w:szCs w:val="17"/>
                <w:color w:val="auto"/>
              </w:rPr>
            </w:pPr>
          </w:p>
        </w:tc>
        <w:tc>
          <w:tcPr>
            <w:tcW w:w="10520" w:type="dxa"/>
            <w:vAlign w:val="bottom"/>
          </w:tcPr>
          <w:p>
            <w:pPr>
              <w:ind w:left="380"/>
              <w:spacing w:after="0" w:line="202" w:lineRule="exact"/>
              <w:rPr>
                <w:sz w:val="20"/>
                <w:szCs w:val="20"/>
                <w:color w:val="auto"/>
              </w:rPr>
            </w:pPr>
            <w:r>
              <w:rPr>
                <w:rFonts w:ascii="Arial" w:cs="Arial" w:eastAsia="Arial" w:hAnsi="Arial"/>
                <w:sz w:val="18"/>
                <w:szCs w:val="18"/>
                <w:color w:val="auto"/>
                <w:w w:val="97"/>
              </w:rPr>
              <w:t>of the total assets of Registrant and its subsidiaries on a consolidated basis have not been filed. Registrant agrees to furnish to the</w:t>
            </w:r>
          </w:p>
        </w:tc>
      </w:tr>
      <w:tr>
        <w:trPr>
          <w:trHeight w:val="211"/>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Commission a copy of each such instrument upon request.</w:t>
            </w:r>
          </w:p>
        </w:tc>
      </w:tr>
    </w:tbl>
    <w:p>
      <w:pPr>
        <w:spacing w:after="0" w:line="100" w:lineRule="exact"/>
        <w:rPr>
          <w:sz w:val="20"/>
          <w:szCs w:val="20"/>
          <w:color w:val="auto"/>
        </w:rPr>
      </w:pPr>
    </w:p>
    <w:p>
      <w:pPr>
        <w:ind w:left="1260" w:right="60" w:hanging="1252"/>
        <w:spacing w:after="0" w:line="299" w:lineRule="auto"/>
        <w:tabs>
          <w:tab w:leader="none" w:pos="1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management contracts or compensatory plans or arrangements listed below that are applicable to the executive officers named in the Summary Compensation Table which appears in Registrant’s 2010 Proxy Statement are preceded by an asterisk (*).</w:t>
      </w:r>
    </w:p>
    <w:p>
      <w:pPr>
        <w:spacing w:after="0" w:line="5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*10(a)(1)</w:t>
      </w:r>
      <w:r>
        <w:rPr>
          <w:sz w:val="20"/>
          <w:szCs w:val="20"/>
          <w:color w:val="auto"/>
        </w:rPr>
        <w:tab/>
      </w:r>
      <w:r>
        <w:rPr>
          <w:rFonts w:ascii="Arial" w:cs="Arial" w:eastAsia="Arial" w:hAnsi="Arial"/>
          <w:sz w:val="18"/>
          <w:szCs w:val="18"/>
          <w:color w:val="auto"/>
        </w:rPr>
        <w:t>Registrant’s Form of Separation Agreement (with salary continuance) – February 2010.</w:t>
      </w:r>
    </w:p>
    <w:p>
      <w:pPr>
        <w:spacing w:after="0" w:line="10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*10(a)(2)</w:t>
      </w:r>
      <w:r>
        <w:rPr>
          <w:sz w:val="20"/>
          <w:szCs w:val="20"/>
          <w:color w:val="auto"/>
        </w:rPr>
        <w:tab/>
      </w:r>
      <w:r>
        <w:rPr>
          <w:rFonts w:ascii="Arial" w:cs="Arial" w:eastAsia="Arial" w:hAnsi="Arial"/>
          <w:sz w:val="18"/>
          <w:szCs w:val="18"/>
          <w:color w:val="auto"/>
        </w:rPr>
        <w:t>Registrant’s Form of Separation Agreement (without salary continuance) – February 2010.</w:t>
      </w:r>
    </w:p>
    <w:p>
      <w:pPr>
        <w:spacing w:after="0" w:line="10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*10(b)(1)</w:t>
      </w:r>
      <w:r>
        <w:rPr>
          <w:sz w:val="20"/>
          <w:szCs w:val="20"/>
          <w:color w:val="auto"/>
        </w:rPr>
        <w:tab/>
      </w:r>
      <w:r>
        <w:rPr>
          <w:rFonts w:ascii="Arial" w:cs="Arial" w:eastAsia="Arial" w:hAnsi="Arial"/>
          <w:sz w:val="18"/>
          <w:szCs w:val="18"/>
          <w:color w:val="auto"/>
        </w:rPr>
        <w:t>Registrant’s 1991 Long-Term Incentive Plan, as amended and restated December 4, 2007 (“1991 LTIP”).</w:t>
      </w:r>
    </w:p>
    <w:p>
      <w:pPr>
        <w:spacing w:after="0" w:line="104" w:lineRule="exact"/>
        <w:rPr>
          <w:sz w:val="20"/>
          <w:szCs w:val="20"/>
          <w:color w:val="auto"/>
        </w:rPr>
      </w:pPr>
    </w:p>
    <w:p>
      <w:pPr>
        <w:ind w:left="1260" w:right="160"/>
        <w:spacing w:after="0" w:line="239" w:lineRule="auto"/>
        <w:rPr>
          <w:sz w:val="20"/>
          <w:szCs w:val="20"/>
          <w:color w:val="auto"/>
        </w:rPr>
      </w:pPr>
      <w:r>
        <w:rPr>
          <w:rFonts w:ascii="Arial" w:cs="Arial" w:eastAsia="Arial" w:hAnsi="Arial"/>
          <w:sz w:val="18"/>
          <w:szCs w:val="18"/>
          <w:color w:val="auto"/>
        </w:rPr>
        <w:t>Incorporated by reference to Exhibit 10(b)(1) to Registrant’s Annual Report on Form 10-K for the fiscal year ended December 31, 2007.</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*10(b)(2)</w:t>
      </w:r>
      <w:r>
        <w:rPr>
          <w:sz w:val="20"/>
          <w:szCs w:val="20"/>
          <w:color w:val="auto"/>
        </w:rPr>
        <w:tab/>
      </w:r>
      <w:r>
        <w:rPr>
          <w:rFonts w:ascii="Arial" w:cs="Arial" w:eastAsia="Arial" w:hAnsi="Arial"/>
          <w:sz w:val="18"/>
          <w:szCs w:val="18"/>
          <w:color w:val="auto"/>
        </w:rPr>
        <w:t>Form of Agreements under 1991 LTIP, as amended through July 12, 2007.</w:t>
      </w:r>
    </w:p>
    <w:p>
      <w:pPr>
        <w:spacing w:after="0" w:line="104" w:lineRule="exact"/>
        <w:rPr>
          <w:sz w:val="20"/>
          <w:szCs w:val="20"/>
          <w:color w:val="auto"/>
        </w:rPr>
      </w:pPr>
    </w:p>
    <w:p>
      <w:pPr>
        <w:ind w:left="1260" w:right="160"/>
        <w:spacing w:after="0" w:line="239" w:lineRule="auto"/>
        <w:rPr>
          <w:sz w:val="20"/>
          <w:szCs w:val="20"/>
          <w:color w:val="auto"/>
        </w:rPr>
      </w:pPr>
      <w:r>
        <w:rPr>
          <w:rFonts w:ascii="Arial" w:cs="Arial" w:eastAsia="Arial" w:hAnsi="Arial"/>
          <w:sz w:val="18"/>
          <w:szCs w:val="18"/>
          <w:color w:val="auto"/>
        </w:rPr>
        <w:t>Incorporated by reference to Exhibit 10(b)(2) to Registrant’s Annual Report on Form 10-K for the fiscal year ended December 31, 2007.</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*10(b)(3)</w:t>
      </w:r>
      <w:r>
        <w:rPr>
          <w:sz w:val="20"/>
          <w:szCs w:val="20"/>
          <w:color w:val="auto"/>
        </w:rPr>
        <w:tab/>
      </w:r>
      <w:r>
        <w:rPr>
          <w:rFonts w:ascii="Arial" w:cs="Arial" w:eastAsia="Arial" w:hAnsi="Arial"/>
          <w:sz w:val="18"/>
          <w:szCs w:val="18"/>
          <w:color w:val="auto"/>
        </w:rPr>
        <w:t>Amendment dated December 4, 2007 to 1991 LTIP.</w:t>
      </w:r>
    </w:p>
    <w:p>
      <w:pPr>
        <w:spacing w:after="0" w:line="104" w:lineRule="exact"/>
        <w:rPr>
          <w:sz w:val="20"/>
          <w:szCs w:val="20"/>
          <w:color w:val="auto"/>
        </w:rPr>
      </w:pPr>
    </w:p>
    <w:p>
      <w:pPr>
        <w:ind w:left="1260" w:right="160"/>
        <w:spacing w:after="0" w:line="239" w:lineRule="auto"/>
        <w:rPr>
          <w:sz w:val="20"/>
          <w:szCs w:val="20"/>
          <w:color w:val="auto"/>
        </w:rPr>
      </w:pPr>
      <w:r>
        <w:rPr>
          <w:rFonts w:ascii="Arial" w:cs="Arial" w:eastAsia="Arial" w:hAnsi="Arial"/>
          <w:sz w:val="18"/>
          <w:szCs w:val="18"/>
          <w:color w:val="auto"/>
        </w:rPr>
        <w:t>Incorporated by reference to Exhibit 10(b)(3) to Registrant’s Annual Report on Form 10-K for the fiscal year ended December 31, 2007.</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10(c)(1)</w:t>
      </w:r>
      <w:r>
        <w:rPr>
          <w:sz w:val="20"/>
          <w:szCs w:val="20"/>
          <w:color w:val="auto"/>
        </w:rPr>
        <w:tab/>
      </w:r>
      <w:r>
        <w:rPr>
          <w:rFonts w:ascii="Arial" w:cs="Arial" w:eastAsia="Arial" w:hAnsi="Arial"/>
          <w:sz w:val="18"/>
          <w:szCs w:val="18"/>
          <w:color w:val="auto"/>
        </w:rPr>
        <w:t>Registrant’s 1996 Non-employee Director Stock Option Plan, as amended and restated December 5, 2007 (“1996 NDSOP”).</w:t>
      </w:r>
    </w:p>
    <w:p>
      <w:pPr>
        <w:spacing w:after="0" w:line="104" w:lineRule="exact"/>
        <w:rPr>
          <w:sz w:val="20"/>
          <w:szCs w:val="20"/>
          <w:color w:val="auto"/>
        </w:rPr>
      </w:pPr>
    </w:p>
    <w:p>
      <w:pPr>
        <w:ind w:left="1260" w:right="180"/>
        <w:spacing w:after="0" w:line="239" w:lineRule="auto"/>
        <w:rPr>
          <w:sz w:val="20"/>
          <w:szCs w:val="20"/>
          <w:color w:val="auto"/>
        </w:rPr>
      </w:pPr>
      <w:r>
        <w:rPr>
          <w:rFonts w:ascii="Arial" w:cs="Arial" w:eastAsia="Arial" w:hAnsi="Arial"/>
          <w:sz w:val="18"/>
          <w:szCs w:val="18"/>
          <w:color w:val="auto"/>
        </w:rPr>
        <w:t>Incorporated by reference to Exhibit 10(c)(1) to Registrant’s Annual Report on Form 10-K for the fiscal year ended December 31, 2007.</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10(c)(2)</w:t>
      </w:r>
      <w:r>
        <w:rPr>
          <w:sz w:val="20"/>
          <w:szCs w:val="20"/>
          <w:color w:val="auto"/>
        </w:rPr>
        <w:tab/>
      </w:r>
      <w:r>
        <w:rPr>
          <w:rFonts w:ascii="Arial" w:cs="Arial" w:eastAsia="Arial" w:hAnsi="Arial"/>
          <w:sz w:val="18"/>
          <w:szCs w:val="18"/>
          <w:color w:val="auto"/>
        </w:rPr>
        <w:t>Amendment dated December 5, 2007 to 1996 NDSOP.</w:t>
      </w:r>
    </w:p>
    <w:p>
      <w:pPr>
        <w:spacing w:after="0" w:line="104" w:lineRule="exact"/>
        <w:rPr>
          <w:sz w:val="20"/>
          <w:szCs w:val="20"/>
          <w:color w:val="auto"/>
        </w:rPr>
      </w:pPr>
    </w:p>
    <w:p>
      <w:pPr>
        <w:ind w:left="1260" w:right="180"/>
        <w:spacing w:after="0" w:line="239" w:lineRule="auto"/>
        <w:rPr>
          <w:sz w:val="20"/>
          <w:szCs w:val="20"/>
          <w:color w:val="auto"/>
        </w:rPr>
      </w:pPr>
      <w:r>
        <w:rPr>
          <w:rFonts w:ascii="Arial" w:cs="Arial" w:eastAsia="Arial" w:hAnsi="Arial"/>
          <w:sz w:val="18"/>
          <w:szCs w:val="18"/>
          <w:color w:val="auto"/>
        </w:rPr>
        <w:t>Incorporated by reference to Exhibit 10(c)(2) to Registrant’s Annual Report on Form 10-K for the fiscal year ended December 31, 2007.</w:t>
      </w:r>
    </w:p>
    <w:p>
      <w:pPr>
        <w:spacing w:after="0" w:line="101" w:lineRule="exact"/>
        <w:rPr>
          <w:sz w:val="20"/>
          <w:szCs w:val="20"/>
          <w:color w:val="auto"/>
        </w:rPr>
      </w:pPr>
    </w:p>
    <w:p>
      <w:pPr>
        <w:ind w:left="1260" w:right="320" w:hanging="1259"/>
        <w:spacing w:after="0" w:line="239" w:lineRule="auto"/>
        <w:tabs>
          <w:tab w:leader="none" w:pos="1240" w:val="left"/>
        </w:tabs>
        <w:rPr>
          <w:sz w:val="20"/>
          <w:szCs w:val="20"/>
          <w:color w:val="auto"/>
        </w:rPr>
      </w:pPr>
      <w:r>
        <w:rPr>
          <w:rFonts w:ascii="Arial" w:cs="Arial" w:eastAsia="Arial" w:hAnsi="Arial"/>
          <w:sz w:val="18"/>
          <w:szCs w:val="18"/>
          <w:color w:val="auto"/>
        </w:rPr>
        <w:t>10(d)(1)</w:t>
      </w:r>
      <w:r>
        <w:rPr>
          <w:sz w:val="20"/>
          <w:szCs w:val="20"/>
          <w:color w:val="auto"/>
        </w:rPr>
        <w:tab/>
      </w:r>
      <w:r>
        <w:rPr>
          <w:rFonts w:ascii="Arial" w:cs="Arial" w:eastAsia="Arial" w:hAnsi="Arial"/>
          <w:sz w:val="18"/>
          <w:szCs w:val="18"/>
          <w:color w:val="auto"/>
        </w:rPr>
        <w:t>Registrant’s 2004 Equity Compensation Plan for Non-Employee Directors, as amended and restated December 5, 2007 (“2004 ECPNED”).</w:t>
      </w:r>
    </w:p>
    <w:p>
      <w:pPr>
        <w:spacing w:after="0" w:line="101" w:lineRule="exact"/>
        <w:rPr>
          <w:sz w:val="20"/>
          <w:szCs w:val="20"/>
          <w:color w:val="auto"/>
        </w:rPr>
      </w:pPr>
    </w:p>
    <w:p>
      <w:pPr>
        <w:ind w:left="1260" w:right="160"/>
        <w:spacing w:after="0" w:line="239" w:lineRule="auto"/>
        <w:rPr>
          <w:sz w:val="20"/>
          <w:szCs w:val="20"/>
          <w:color w:val="auto"/>
        </w:rPr>
      </w:pPr>
      <w:r>
        <w:rPr>
          <w:rFonts w:ascii="Arial" w:cs="Arial" w:eastAsia="Arial" w:hAnsi="Arial"/>
          <w:sz w:val="18"/>
          <w:szCs w:val="18"/>
          <w:color w:val="auto"/>
        </w:rPr>
        <w:t>Incorporated by reference to Exhibit 10(d)(1) to Registrant’s Annual Report on Form 10-K for the fiscal year ended December 31, 2007.</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10(d)(2)</w:t>
      </w:r>
      <w:r>
        <w:rPr>
          <w:sz w:val="20"/>
          <w:szCs w:val="20"/>
          <w:color w:val="auto"/>
        </w:rPr>
        <w:tab/>
      </w:r>
      <w:r>
        <w:rPr>
          <w:rFonts w:ascii="Arial" w:cs="Arial" w:eastAsia="Arial" w:hAnsi="Arial"/>
          <w:sz w:val="18"/>
          <w:szCs w:val="18"/>
          <w:color w:val="auto"/>
        </w:rPr>
        <w:t>Form of Agreement under 2004 ECPNED.</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Incorporated by reference to Exhibit 10(d)(2) to Registrant’s Quarterly Report on Form 10-Q for the Quarter ended March 31, 2005.</w:t>
      </w:r>
    </w:p>
    <w:p>
      <w:pPr>
        <w:spacing w:after="0" w:line="1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10(d)(3)</w:t>
      </w:r>
      <w:r>
        <w:rPr>
          <w:sz w:val="20"/>
          <w:szCs w:val="20"/>
          <w:color w:val="auto"/>
        </w:rPr>
        <w:tab/>
      </w:r>
      <w:r>
        <w:rPr>
          <w:rFonts w:ascii="Arial" w:cs="Arial" w:eastAsia="Arial" w:hAnsi="Arial"/>
          <w:sz w:val="18"/>
          <w:szCs w:val="18"/>
          <w:color w:val="auto"/>
        </w:rPr>
        <w:t>Form of Grant Summary under 2004 ECPNED.</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Incorporated by reference to Exhibit 10(d)(3) to Registrant’s Quarterly Report on Form 10-Q for the Quarter ended March 31, 2005.</w:t>
      </w:r>
    </w:p>
    <w:p>
      <w:pPr>
        <w:spacing w:after="0" w:line="1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10(d)(4)</w:t>
      </w:r>
      <w:r>
        <w:rPr>
          <w:sz w:val="20"/>
          <w:szCs w:val="20"/>
          <w:color w:val="auto"/>
        </w:rPr>
        <w:tab/>
      </w:r>
      <w:r>
        <w:rPr>
          <w:rFonts w:ascii="Arial" w:cs="Arial" w:eastAsia="Arial" w:hAnsi="Arial"/>
          <w:sz w:val="18"/>
          <w:szCs w:val="18"/>
          <w:color w:val="auto"/>
        </w:rPr>
        <w:t>Form of DSU Deferral under 2004 ECPNED.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Incorporated by reference to Exhibit 10(d)(4) to Registrant’s Quarterly Report on Form 10-Q for the Quarter ended March 31, 2005.</w:t>
      </w:r>
    </w:p>
    <w:p>
      <w:pPr>
        <w:spacing w:after="0" w:line="1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10(d)(5)</w:t>
      </w:r>
      <w:r>
        <w:rPr>
          <w:sz w:val="20"/>
          <w:szCs w:val="20"/>
          <w:color w:val="auto"/>
        </w:rPr>
        <w:tab/>
      </w:r>
      <w:r>
        <w:rPr>
          <w:rFonts w:ascii="Arial" w:cs="Arial" w:eastAsia="Arial" w:hAnsi="Arial"/>
          <w:sz w:val="18"/>
          <w:szCs w:val="18"/>
          <w:color w:val="auto"/>
        </w:rPr>
        <w:t>Amendment dated December 5, 2007 to 2004 ECPNED.</w:t>
      </w:r>
    </w:p>
    <w:p>
      <w:pPr>
        <w:spacing w:after="0" w:line="104" w:lineRule="exact"/>
        <w:rPr>
          <w:sz w:val="20"/>
          <w:szCs w:val="20"/>
          <w:color w:val="auto"/>
        </w:rPr>
      </w:pPr>
    </w:p>
    <w:p>
      <w:pPr>
        <w:ind w:left="1260" w:right="160"/>
        <w:spacing w:after="0" w:line="239" w:lineRule="auto"/>
        <w:rPr>
          <w:sz w:val="20"/>
          <w:szCs w:val="20"/>
          <w:color w:val="auto"/>
        </w:rPr>
      </w:pPr>
      <w:r>
        <w:rPr>
          <w:rFonts w:ascii="Arial" w:cs="Arial" w:eastAsia="Arial" w:hAnsi="Arial"/>
          <w:sz w:val="18"/>
          <w:szCs w:val="18"/>
          <w:color w:val="auto"/>
        </w:rPr>
        <w:t>Incorporated by reference to Exhibit 10(d)(5) to Registrant’s Annual Report on Form 10-K for the fiscal year ended December 31, 2007.</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*10(e)(1)</w:t>
      </w:r>
      <w:r>
        <w:rPr>
          <w:sz w:val="20"/>
          <w:szCs w:val="20"/>
          <w:color w:val="auto"/>
        </w:rPr>
        <w:tab/>
      </w:r>
      <w:r>
        <w:rPr>
          <w:rFonts w:ascii="Arial" w:cs="Arial" w:eastAsia="Arial" w:hAnsi="Arial"/>
          <w:sz w:val="18"/>
          <w:szCs w:val="18"/>
          <w:color w:val="auto"/>
        </w:rPr>
        <w:t>Registrant’s 2004 Performance Incentive Plan, as amended and restated as of December 6, 2005 (“2004 PIP”).</w:t>
      </w:r>
    </w:p>
    <w:p>
      <w:pPr>
        <w:spacing w:after="0" w:line="104" w:lineRule="exact"/>
        <w:rPr>
          <w:sz w:val="20"/>
          <w:szCs w:val="20"/>
          <w:color w:val="auto"/>
        </w:rPr>
      </w:pPr>
    </w:p>
    <w:p>
      <w:pPr>
        <w:ind w:left="1260" w:right="160"/>
        <w:spacing w:after="0" w:line="239" w:lineRule="auto"/>
        <w:rPr>
          <w:sz w:val="20"/>
          <w:szCs w:val="20"/>
          <w:color w:val="auto"/>
        </w:rPr>
      </w:pPr>
      <w:r>
        <w:rPr>
          <w:rFonts w:ascii="Arial" w:cs="Arial" w:eastAsia="Arial" w:hAnsi="Arial"/>
          <w:sz w:val="18"/>
          <w:szCs w:val="18"/>
          <w:color w:val="auto"/>
        </w:rPr>
        <w:t>Incorporated by reference to Exhibit 10(e)(1) to Registrant’s Annual Report on Form 10-K for the fiscal year ended December 31, 2005.</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*10(e)(2)</w:t>
      </w:r>
      <w:r>
        <w:rPr>
          <w:sz w:val="20"/>
          <w:szCs w:val="20"/>
          <w:color w:val="auto"/>
        </w:rPr>
        <w:tab/>
      </w:r>
      <w:r>
        <w:rPr>
          <w:rFonts w:ascii="Arial" w:cs="Arial" w:eastAsia="Arial" w:hAnsi="Arial"/>
          <w:sz w:val="18"/>
          <w:szCs w:val="18"/>
          <w:color w:val="auto"/>
        </w:rPr>
        <w:t>Form of Amendment to Agreements under 2004 PIP.</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Incorporated by reference to Exhibit 10(e)(7) to Registrant’s Current Report on Form 8-K dated May 19, 2005.</w:t>
      </w:r>
    </w:p>
    <w:p>
      <w:pPr>
        <w:spacing w:after="0" w:line="10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*10(e)(3)</w:t>
      </w:r>
      <w:r>
        <w:rPr>
          <w:sz w:val="20"/>
          <w:szCs w:val="20"/>
          <w:color w:val="auto"/>
        </w:rPr>
        <w:tab/>
      </w:r>
      <w:r>
        <w:rPr>
          <w:rFonts w:ascii="Arial" w:cs="Arial" w:eastAsia="Arial" w:hAnsi="Arial"/>
          <w:sz w:val="18"/>
          <w:szCs w:val="18"/>
          <w:color w:val="auto"/>
        </w:rPr>
        <w:t>Registrant’s 2004 Performance Incentive Plan, as amended and restated as of February 15, 2007 (“2007 PIP”).</w:t>
      </w:r>
    </w:p>
    <w:p>
      <w:pPr>
        <w:spacing w:after="0" w:line="104" w:lineRule="exact"/>
        <w:rPr>
          <w:sz w:val="20"/>
          <w:szCs w:val="20"/>
          <w:color w:val="auto"/>
        </w:rPr>
      </w:pPr>
    </w:p>
    <w:p>
      <w:pPr>
        <w:ind w:left="1260" w:right="60"/>
        <w:spacing w:after="0" w:line="239" w:lineRule="auto"/>
        <w:rPr>
          <w:sz w:val="20"/>
          <w:szCs w:val="20"/>
          <w:color w:val="auto"/>
        </w:rPr>
      </w:pPr>
      <w:r>
        <w:rPr>
          <w:rFonts w:ascii="Arial" w:cs="Arial" w:eastAsia="Arial" w:hAnsi="Arial"/>
          <w:sz w:val="18"/>
          <w:szCs w:val="18"/>
          <w:color w:val="auto"/>
        </w:rPr>
        <w:t>Incorporated by reference to Exhibit 10(e)(10) to Registrant’s Annual Report on Form 10-K for the fiscal year ended December 31, 2006.</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*10(e)(4)</w:t>
      </w:r>
      <w:r>
        <w:rPr>
          <w:sz w:val="20"/>
          <w:szCs w:val="20"/>
          <w:color w:val="auto"/>
        </w:rPr>
        <w:tab/>
      </w:r>
      <w:r>
        <w:rPr>
          <w:rFonts w:ascii="Arial" w:cs="Arial" w:eastAsia="Arial" w:hAnsi="Arial"/>
          <w:sz w:val="18"/>
          <w:szCs w:val="18"/>
          <w:color w:val="auto"/>
        </w:rPr>
        <w:t>Performance Elements for 2007 Executive Long-Term Incentive Program (“2007 ELTIP”).</w:t>
      </w:r>
    </w:p>
    <w:p>
      <w:pPr>
        <w:spacing w:after="0" w:line="104" w:lineRule="exact"/>
        <w:rPr>
          <w:sz w:val="20"/>
          <w:szCs w:val="20"/>
          <w:color w:val="auto"/>
        </w:rPr>
      </w:pPr>
    </w:p>
    <w:p>
      <w:pPr>
        <w:ind w:left="1260" w:right="60"/>
        <w:spacing w:after="0" w:line="239" w:lineRule="auto"/>
        <w:rPr>
          <w:sz w:val="20"/>
          <w:szCs w:val="20"/>
          <w:color w:val="auto"/>
        </w:rPr>
      </w:pPr>
      <w:r>
        <w:rPr>
          <w:rFonts w:ascii="Arial" w:cs="Arial" w:eastAsia="Arial" w:hAnsi="Arial"/>
          <w:sz w:val="18"/>
          <w:szCs w:val="18"/>
          <w:color w:val="auto"/>
        </w:rPr>
        <w:t>Incorporated by reference to Exhibit 10(e)(12) to Registrant’s Annual Report on Form 10-K for the fiscal year ended December 31, 2006.</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*10(e)(5)</w:t>
      </w:r>
      <w:r>
        <w:rPr>
          <w:sz w:val="20"/>
          <w:szCs w:val="20"/>
          <w:color w:val="auto"/>
        </w:rPr>
        <w:tab/>
      </w:r>
      <w:r>
        <w:rPr>
          <w:rFonts w:ascii="Arial" w:cs="Arial" w:eastAsia="Arial" w:hAnsi="Arial"/>
          <w:sz w:val="18"/>
          <w:szCs w:val="18"/>
          <w:color w:val="auto"/>
        </w:rPr>
        <w:t>Form of Executive Long-Term Incentive Program Award Summary under 2007 ELTIP.</w:t>
      </w:r>
    </w:p>
    <w:p>
      <w:pPr>
        <w:spacing w:after="0" w:line="104" w:lineRule="exact"/>
        <w:rPr>
          <w:sz w:val="20"/>
          <w:szCs w:val="20"/>
          <w:color w:val="auto"/>
        </w:rPr>
      </w:pPr>
    </w:p>
    <w:p>
      <w:pPr>
        <w:ind w:left="1260" w:right="60"/>
        <w:spacing w:after="0" w:line="239" w:lineRule="auto"/>
        <w:rPr>
          <w:sz w:val="20"/>
          <w:szCs w:val="20"/>
          <w:color w:val="auto"/>
        </w:rPr>
      </w:pPr>
      <w:r>
        <w:rPr>
          <w:rFonts w:ascii="Arial" w:cs="Arial" w:eastAsia="Arial" w:hAnsi="Arial"/>
          <w:sz w:val="18"/>
          <w:szCs w:val="18"/>
          <w:color w:val="auto"/>
        </w:rPr>
        <w:t>Incorporated by reference to Exhibit 10(e)(13) to Registrant’s Annual Report on Form 10-K for the fiscal year ended December 31, 2006.</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*10(e)(6)</w:t>
      </w:r>
      <w:r>
        <w:rPr>
          <w:sz w:val="20"/>
          <w:szCs w:val="20"/>
          <w:color w:val="auto"/>
        </w:rPr>
        <w:tab/>
      </w:r>
      <w:r>
        <w:rPr>
          <w:rFonts w:ascii="Arial" w:cs="Arial" w:eastAsia="Arial" w:hAnsi="Arial"/>
          <w:sz w:val="18"/>
          <w:szCs w:val="18"/>
          <w:color w:val="auto"/>
        </w:rPr>
        <w:t>2007 Form of Executive Long-Term Incentive Program Award Agreement under the 2007 PIP.</w:t>
      </w:r>
    </w:p>
    <w:p>
      <w:pPr>
        <w:spacing w:after="0" w:line="104" w:lineRule="exact"/>
        <w:rPr>
          <w:sz w:val="20"/>
          <w:szCs w:val="20"/>
          <w:color w:val="auto"/>
        </w:rPr>
      </w:pPr>
    </w:p>
    <w:p>
      <w:pPr>
        <w:ind w:left="1260" w:right="60"/>
        <w:spacing w:after="0" w:line="239" w:lineRule="auto"/>
        <w:rPr>
          <w:sz w:val="20"/>
          <w:szCs w:val="20"/>
          <w:color w:val="auto"/>
        </w:rPr>
      </w:pPr>
      <w:r>
        <w:rPr>
          <w:rFonts w:ascii="Arial" w:cs="Arial" w:eastAsia="Arial" w:hAnsi="Arial"/>
          <w:sz w:val="18"/>
          <w:szCs w:val="18"/>
          <w:color w:val="auto"/>
        </w:rPr>
        <w:t>Incorporated by reference to Exhibit 10(e)(14) to Registrant’s Annual Report on Form 10-K for the fiscal year ended December 31, 2006.</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*10(e)(7)</w:t>
      </w:r>
      <w:r>
        <w:rPr>
          <w:sz w:val="20"/>
          <w:szCs w:val="20"/>
          <w:color w:val="auto"/>
        </w:rPr>
        <w:tab/>
      </w:r>
      <w:r>
        <w:rPr>
          <w:rFonts w:ascii="Arial" w:cs="Arial" w:eastAsia="Arial" w:hAnsi="Arial"/>
          <w:sz w:val="18"/>
          <w:szCs w:val="18"/>
          <w:color w:val="auto"/>
        </w:rPr>
        <w:t>Registrant’s 2004 Performance Incentive Plan, as amended and restated as of December 4, 2007 (“2007-2 PIP”).</w:t>
      </w:r>
    </w:p>
    <w:p>
      <w:pPr>
        <w:spacing w:after="0" w:line="104" w:lineRule="exact"/>
        <w:rPr>
          <w:sz w:val="20"/>
          <w:szCs w:val="20"/>
          <w:color w:val="auto"/>
        </w:rPr>
      </w:pPr>
    </w:p>
    <w:p>
      <w:pPr>
        <w:ind w:left="1260" w:right="60"/>
        <w:spacing w:after="0" w:line="239" w:lineRule="auto"/>
        <w:rPr>
          <w:sz w:val="20"/>
          <w:szCs w:val="20"/>
          <w:color w:val="auto"/>
        </w:rPr>
      </w:pPr>
      <w:r>
        <w:rPr>
          <w:rFonts w:ascii="Arial" w:cs="Arial" w:eastAsia="Arial" w:hAnsi="Arial"/>
          <w:sz w:val="18"/>
          <w:szCs w:val="18"/>
          <w:color w:val="auto"/>
        </w:rPr>
        <w:t>Incorporated by reference to Exhibit 10(e)(15) to Registrant’s Annual Report on Form 10-K for the fiscal year ended December 31, 2006.</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*10(e)(8)</w:t>
      </w:r>
      <w:r>
        <w:rPr>
          <w:sz w:val="20"/>
          <w:szCs w:val="20"/>
          <w:color w:val="auto"/>
        </w:rPr>
        <w:tab/>
      </w:r>
      <w:r>
        <w:rPr>
          <w:rFonts w:ascii="Arial" w:cs="Arial" w:eastAsia="Arial" w:hAnsi="Arial"/>
          <w:sz w:val="18"/>
          <w:szCs w:val="18"/>
          <w:color w:val="auto"/>
        </w:rPr>
        <w:t>Performance Elements for 2008 Executive Long-Term Incentive Program (“2008 ELTIP”).</w:t>
      </w:r>
    </w:p>
    <w:p>
      <w:pPr>
        <w:spacing w:after="0" w:line="104" w:lineRule="exact"/>
        <w:rPr>
          <w:sz w:val="20"/>
          <w:szCs w:val="20"/>
          <w:color w:val="auto"/>
        </w:rPr>
      </w:pPr>
    </w:p>
    <w:p>
      <w:pPr>
        <w:ind w:left="1260" w:right="60"/>
        <w:spacing w:after="0" w:line="239" w:lineRule="auto"/>
        <w:rPr>
          <w:sz w:val="20"/>
          <w:szCs w:val="20"/>
          <w:color w:val="auto"/>
        </w:rPr>
      </w:pPr>
      <w:r>
        <w:rPr>
          <w:rFonts w:ascii="Arial" w:cs="Arial" w:eastAsia="Arial" w:hAnsi="Arial"/>
          <w:sz w:val="18"/>
          <w:szCs w:val="18"/>
          <w:color w:val="auto"/>
        </w:rPr>
        <w:t>Incorporated by reference to Exhibit 10(e)(17) to Registrant’s Annual Report on Form 10-K for the fiscal year ended December 31, 2006.</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*10(e)(9)</w:t>
      </w:r>
      <w:r>
        <w:rPr>
          <w:sz w:val="20"/>
          <w:szCs w:val="20"/>
          <w:color w:val="auto"/>
        </w:rPr>
        <w:tab/>
      </w:r>
      <w:r>
        <w:rPr>
          <w:rFonts w:ascii="Arial" w:cs="Arial" w:eastAsia="Arial" w:hAnsi="Arial"/>
          <w:sz w:val="18"/>
          <w:szCs w:val="18"/>
          <w:color w:val="auto"/>
        </w:rPr>
        <w:t>Form of Executive Long-Term Incentive Program Award Summary under 2008 ELTIP.</w:t>
      </w:r>
    </w:p>
    <w:p>
      <w:pPr>
        <w:spacing w:after="0" w:line="104" w:lineRule="exact"/>
        <w:rPr>
          <w:sz w:val="20"/>
          <w:szCs w:val="20"/>
          <w:color w:val="auto"/>
        </w:rPr>
      </w:pPr>
    </w:p>
    <w:p>
      <w:pPr>
        <w:ind w:left="1260" w:right="60"/>
        <w:spacing w:after="0" w:line="239" w:lineRule="auto"/>
        <w:rPr>
          <w:sz w:val="20"/>
          <w:szCs w:val="20"/>
          <w:color w:val="auto"/>
        </w:rPr>
      </w:pPr>
      <w:r>
        <w:rPr>
          <w:rFonts w:ascii="Arial" w:cs="Arial" w:eastAsia="Arial" w:hAnsi="Arial"/>
          <w:sz w:val="18"/>
          <w:szCs w:val="18"/>
          <w:color w:val="auto"/>
        </w:rPr>
        <w:t>Incorporated by reference to Exhibit 10(e)(18) to Registrant’s Annual Report on Form 10-K for the fiscal year ended December 31, 2006.</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*10(e)(10)</w:t>
      </w:r>
      <w:r>
        <w:rPr>
          <w:sz w:val="20"/>
          <w:szCs w:val="20"/>
          <w:color w:val="auto"/>
        </w:rPr>
        <w:tab/>
      </w:r>
      <w:r>
        <w:rPr>
          <w:rFonts w:ascii="Arial" w:cs="Arial" w:eastAsia="Arial" w:hAnsi="Arial"/>
          <w:sz w:val="18"/>
          <w:szCs w:val="18"/>
          <w:color w:val="auto"/>
        </w:rPr>
        <w:t>2008 Form of Executive Long-Term Incentive Program Award Agreement under the 2007-2 PIP.</w:t>
      </w:r>
    </w:p>
    <w:p>
      <w:pPr>
        <w:spacing w:after="0" w:line="104" w:lineRule="exact"/>
        <w:rPr>
          <w:sz w:val="20"/>
          <w:szCs w:val="20"/>
          <w:color w:val="auto"/>
        </w:rPr>
      </w:pPr>
    </w:p>
    <w:p>
      <w:pPr>
        <w:ind w:left="1260" w:right="60"/>
        <w:spacing w:after="0" w:line="239" w:lineRule="auto"/>
        <w:rPr>
          <w:sz w:val="20"/>
          <w:szCs w:val="20"/>
          <w:color w:val="auto"/>
        </w:rPr>
      </w:pPr>
      <w:r>
        <w:rPr>
          <w:rFonts w:ascii="Arial" w:cs="Arial" w:eastAsia="Arial" w:hAnsi="Arial"/>
          <w:sz w:val="18"/>
          <w:szCs w:val="18"/>
          <w:color w:val="auto"/>
        </w:rPr>
        <w:t>Incorporated by reference to Exhibit 10(e)(19) to Registrant’s Annual Report on Form 10-K for the fiscal year ended December 31, 2006.</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*10(e)(11)</w:t>
      </w:r>
      <w:r>
        <w:rPr>
          <w:sz w:val="20"/>
          <w:szCs w:val="20"/>
          <w:color w:val="auto"/>
        </w:rPr>
        <w:tab/>
      </w:r>
      <w:r>
        <w:rPr>
          <w:rFonts w:ascii="Arial" w:cs="Arial" w:eastAsia="Arial" w:hAnsi="Arial"/>
          <w:sz w:val="18"/>
          <w:szCs w:val="18"/>
          <w:color w:val="auto"/>
        </w:rPr>
        <w:t>Amendment dated December 4, 2007 to 2007-2 PIP.</w:t>
      </w:r>
    </w:p>
    <w:p>
      <w:pPr>
        <w:spacing w:after="0" w:line="104" w:lineRule="exact"/>
        <w:rPr>
          <w:sz w:val="20"/>
          <w:szCs w:val="20"/>
          <w:color w:val="auto"/>
        </w:rPr>
      </w:pPr>
    </w:p>
    <w:p>
      <w:pPr>
        <w:ind w:left="1260" w:right="60"/>
        <w:spacing w:after="0" w:line="239" w:lineRule="auto"/>
        <w:rPr>
          <w:sz w:val="20"/>
          <w:szCs w:val="20"/>
          <w:color w:val="auto"/>
        </w:rPr>
      </w:pPr>
      <w:r>
        <w:rPr>
          <w:rFonts w:ascii="Arial" w:cs="Arial" w:eastAsia="Arial" w:hAnsi="Arial"/>
          <w:sz w:val="18"/>
          <w:szCs w:val="18"/>
          <w:color w:val="auto"/>
        </w:rPr>
        <w:t>Incorporated by reference to Exhibit 10(e)(20) to Registrant’s Annual Report on Form 10-K for the fiscal year ended December 31, 2006.</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*10(e)(12)</w:t>
      </w:r>
      <w:r>
        <w:rPr>
          <w:sz w:val="20"/>
          <w:szCs w:val="20"/>
          <w:color w:val="auto"/>
        </w:rPr>
        <w:tab/>
      </w:r>
      <w:r>
        <w:rPr>
          <w:rFonts w:ascii="Arial" w:cs="Arial" w:eastAsia="Arial" w:hAnsi="Arial"/>
          <w:sz w:val="18"/>
          <w:szCs w:val="18"/>
          <w:color w:val="auto"/>
        </w:rPr>
        <w:t>Annual Performance Incentive Plan for 2009 (first half).</w:t>
      </w:r>
    </w:p>
    <w:p>
      <w:pPr>
        <w:spacing w:after="0" w:line="104" w:lineRule="exact"/>
        <w:rPr>
          <w:sz w:val="20"/>
          <w:szCs w:val="20"/>
          <w:color w:val="auto"/>
        </w:rPr>
      </w:pPr>
    </w:p>
    <w:p>
      <w:pPr>
        <w:ind w:left="1260" w:right="480"/>
        <w:spacing w:after="0" w:line="239" w:lineRule="auto"/>
        <w:rPr>
          <w:sz w:val="20"/>
          <w:szCs w:val="20"/>
          <w:color w:val="auto"/>
        </w:rPr>
      </w:pPr>
      <w:r>
        <w:rPr>
          <w:rFonts w:ascii="Arial" w:cs="Arial" w:eastAsia="Arial" w:hAnsi="Arial"/>
          <w:sz w:val="18"/>
          <w:szCs w:val="18"/>
          <w:color w:val="auto"/>
        </w:rPr>
        <w:t>Incorporated by reference to Exhibit 10(e)(25) to Registrant’s Quarterly Report on Form 10-Q for the Quarter Ended June 30, 2009.</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*10(e)(13)</w:t>
      </w:r>
      <w:r>
        <w:rPr>
          <w:sz w:val="20"/>
          <w:szCs w:val="20"/>
          <w:color w:val="auto"/>
        </w:rPr>
        <w:tab/>
      </w:r>
      <w:r>
        <w:rPr>
          <w:rFonts w:ascii="Arial" w:cs="Arial" w:eastAsia="Arial" w:hAnsi="Arial"/>
          <w:sz w:val="18"/>
          <w:szCs w:val="18"/>
          <w:color w:val="auto"/>
        </w:rPr>
        <w:t>Amendment No. 1 dated December 17, 2008 to 2007-2 PIP.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60" w:right="40"/>
        <w:spacing w:after="0" w:line="239" w:lineRule="auto"/>
        <w:rPr>
          <w:sz w:val="20"/>
          <w:szCs w:val="20"/>
          <w:color w:val="auto"/>
        </w:rPr>
      </w:pPr>
      <w:r>
        <w:rPr>
          <w:rFonts w:ascii="Arial" w:cs="Arial" w:eastAsia="Arial" w:hAnsi="Arial"/>
          <w:sz w:val="18"/>
          <w:szCs w:val="18"/>
          <w:color w:val="auto"/>
        </w:rPr>
        <w:t>Incorporated by reference to Exhibit 10(e)(22) to Registrant’s Annual Report on Form 10-K for the fiscal year ended December 31, 2008.</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*10(e)(14)</w:t>
      </w:r>
      <w:r>
        <w:rPr>
          <w:sz w:val="20"/>
          <w:szCs w:val="20"/>
          <w:color w:val="auto"/>
        </w:rPr>
        <w:tab/>
      </w:r>
      <w:r>
        <w:rPr>
          <w:rFonts w:ascii="Arial" w:cs="Arial" w:eastAsia="Arial" w:hAnsi="Arial"/>
          <w:sz w:val="18"/>
          <w:szCs w:val="18"/>
          <w:color w:val="auto"/>
        </w:rPr>
        <w:t>Amendment No. 2 dated February 16, 2009 to 2007-2 PIP.</w:t>
      </w:r>
    </w:p>
    <w:p>
      <w:pPr>
        <w:spacing w:after="0" w:line="104" w:lineRule="exact"/>
        <w:rPr>
          <w:sz w:val="20"/>
          <w:szCs w:val="20"/>
          <w:color w:val="auto"/>
        </w:rPr>
      </w:pPr>
    </w:p>
    <w:p>
      <w:pPr>
        <w:ind w:left="1260" w:right="420"/>
        <w:spacing w:after="0" w:line="239" w:lineRule="auto"/>
        <w:rPr>
          <w:sz w:val="20"/>
          <w:szCs w:val="20"/>
          <w:color w:val="auto"/>
        </w:rPr>
      </w:pPr>
      <w:r>
        <w:rPr>
          <w:rFonts w:ascii="Arial" w:cs="Arial" w:eastAsia="Arial" w:hAnsi="Arial"/>
          <w:sz w:val="18"/>
          <w:szCs w:val="18"/>
          <w:color w:val="auto"/>
        </w:rPr>
        <w:t>Incorporated by reference to Exhibit 10(e)(23) to Registrant’s Quarterly Report on Form 10-Q for the quarter ended March 31, 2009.</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*10(e)(15)</w:t>
      </w:r>
      <w:r>
        <w:rPr>
          <w:sz w:val="20"/>
          <w:szCs w:val="20"/>
          <w:color w:val="auto"/>
        </w:rPr>
        <w:tab/>
      </w:r>
      <w:r>
        <w:rPr>
          <w:rFonts w:ascii="Arial" w:cs="Arial" w:eastAsia="Arial" w:hAnsi="Arial"/>
          <w:sz w:val="18"/>
          <w:szCs w:val="18"/>
          <w:color w:val="auto"/>
        </w:rPr>
        <w:t>Performance Elements for 2009 Executive Long-Term Incentive Program (“2009 ELTIP”).</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Incorporated by reference to Item 5.02 of Registrant’s Current Report on Form 8-K dated June 30, 2009.</w:t>
      </w:r>
    </w:p>
    <w:p>
      <w:pPr>
        <w:spacing w:after="0" w:line="10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*10(e)(16)</w:t>
      </w:r>
      <w:r>
        <w:rPr>
          <w:sz w:val="20"/>
          <w:szCs w:val="20"/>
          <w:color w:val="auto"/>
        </w:rPr>
        <w:tab/>
      </w:r>
      <w:r>
        <w:rPr>
          <w:rFonts w:ascii="Arial" w:cs="Arial" w:eastAsia="Arial" w:hAnsi="Arial"/>
          <w:sz w:val="18"/>
          <w:szCs w:val="18"/>
          <w:color w:val="auto"/>
        </w:rPr>
        <w:t>Form of Executive Long-Term Incentive Program Award Agreement under 2009 ELTIP.</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Incorporated by reference to Exhibit 10(e)(23) to Registrant’s Current Report on Form 8-K dated June 30, 2009.</w:t>
      </w:r>
    </w:p>
    <w:p>
      <w:pPr>
        <w:spacing w:after="0" w:line="10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*10(e)(17)</w:t>
      </w:r>
      <w:r>
        <w:rPr>
          <w:sz w:val="20"/>
          <w:szCs w:val="20"/>
          <w:color w:val="auto"/>
        </w:rPr>
        <w:tab/>
      </w:r>
      <w:r>
        <w:rPr>
          <w:rFonts w:ascii="Arial" w:cs="Arial" w:eastAsia="Arial" w:hAnsi="Arial"/>
          <w:sz w:val="18"/>
          <w:szCs w:val="18"/>
          <w:color w:val="auto"/>
        </w:rPr>
        <w:t>Form of Executive Long-Term Incentive Program Award Summary under 2009 ELTIP.</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Incorporated by reference to Exhibit 10(e)(24) to Registrant’s Current Report on Form 8-K dated June 30, 2009.</w:t>
      </w:r>
    </w:p>
    <w:p>
      <w:pPr>
        <w:spacing w:after="0" w:line="10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*10(e)(18)</w:t>
      </w:r>
      <w:r>
        <w:rPr>
          <w:sz w:val="20"/>
          <w:szCs w:val="20"/>
          <w:color w:val="auto"/>
        </w:rPr>
        <w:tab/>
      </w:r>
      <w:r>
        <w:rPr>
          <w:rFonts w:ascii="Arial" w:cs="Arial" w:eastAsia="Arial" w:hAnsi="Arial"/>
          <w:sz w:val="18"/>
          <w:szCs w:val="18"/>
          <w:color w:val="auto"/>
        </w:rPr>
        <w:t>Annual Performance Incentive Plan for 2009 (first half).</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Incorporated by reference to Exhibit 10(e)(25) to Registrant’s Quarterly Report on Form 10-Q for the Quarter ended June 30, 2009.</w:t>
      </w:r>
    </w:p>
    <w:p>
      <w:pPr>
        <w:spacing w:after="0" w:line="1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*10(e)(19)</w:t>
      </w:r>
      <w:r>
        <w:rPr>
          <w:sz w:val="20"/>
          <w:szCs w:val="20"/>
          <w:color w:val="auto"/>
        </w:rPr>
        <w:tab/>
      </w:r>
      <w:r>
        <w:rPr>
          <w:rFonts w:ascii="Arial" w:cs="Arial" w:eastAsia="Arial" w:hAnsi="Arial"/>
          <w:sz w:val="18"/>
          <w:szCs w:val="18"/>
          <w:color w:val="auto"/>
        </w:rPr>
        <w:t>Annual Performance Incentive Plan for 2009 (second half).</w:t>
      </w:r>
    </w:p>
    <w:p>
      <w:pPr>
        <w:spacing w:after="0" w:line="10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*10(e)(20)</w:t>
      </w:r>
      <w:r>
        <w:rPr>
          <w:sz w:val="20"/>
          <w:szCs w:val="20"/>
          <w:color w:val="auto"/>
        </w:rPr>
        <w:tab/>
      </w:r>
      <w:r>
        <w:rPr>
          <w:rFonts w:ascii="Arial" w:cs="Arial" w:eastAsia="Arial" w:hAnsi="Arial"/>
          <w:sz w:val="18"/>
          <w:szCs w:val="18"/>
          <w:color w:val="auto"/>
        </w:rPr>
        <w:t>Annual Performance Incentive Plan for 2010.</w:t>
      </w:r>
    </w:p>
    <w:p>
      <w:pPr>
        <w:spacing w:after="0" w:line="10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*10(e)(21)</w:t>
      </w:r>
      <w:r>
        <w:rPr>
          <w:sz w:val="20"/>
          <w:szCs w:val="20"/>
          <w:color w:val="auto"/>
        </w:rPr>
        <w:tab/>
      </w:r>
      <w:r>
        <w:rPr>
          <w:rFonts w:ascii="Arial" w:cs="Arial" w:eastAsia="Arial" w:hAnsi="Arial"/>
          <w:sz w:val="18"/>
          <w:szCs w:val="18"/>
          <w:color w:val="auto"/>
        </w:rPr>
        <w:t>Performance Elements for 2010 Executive Long-Term Incentive Program (“2010 ELTIP”).</w:t>
      </w:r>
    </w:p>
    <w:p>
      <w:pPr>
        <w:spacing w:after="0" w:line="10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*10(e)(22)</w:t>
      </w:r>
      <w:r>
        <w:rPr>
          <w:sz w:val="20"/>
          <w:szCs w:val="20"/>
          <w:color w:val="auto"/>
        </w:rPr>
        <w:tab/>
      </w:r>
      <w:r>
        <w:rPr>
          <w:rFonts w:ascii="Arial" w:cs="Arial" w:eastAsia="Arial" w:hAnsi="Arial"/>
          <w:sz w:val="18"/>
          <w:szCs w:val="18"/>
          <w:color w:val="auto"/>
        </w:rPr>
        <w:t>Form of Executive Long-Term Incentive Program Award Agreement under 2010 ELTIP.</w:t>
      </w:r>
    </w:p>
    <w:p>
      <w:pPr>
        <w:spacing w:after="0" w:line="10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*10(e)(23)</w:t>
      </w:r>
      <w:r>
        <w:rPr>
          <w:sz w:val="20"/>
          <w:szCs w:val="20"/>
          <w:color w:val="auto"/>
        </w:rPr>
        <w:tab/>
      </w:r>
      <w:r>
        <w:rPr>
          <w:rFonts w:ascii="Arial" w:cs="Arial" w:eastAsia="Arial" w:hAnsi="Arial"/>
          <w:sz w:val="18"/>
          <w:szCs w:val="18"/>
          <w:color w:val="auto"/>
        </w:rPr>
        <w:t>Form of Executive Long-Term Incentive Program Award Summary under 2010 ELTIP.</w:t>
      </w:r>
    </w:p>
    <w:p>
      <w:pPr>
        <w:spacing w:after="0" w:line="104" w:lineRule="exact"/>
        <w:rPr>
          <w:sz w:val="20"/>
          <w:szCs w:val="20"/>
          <w:color w:val="auto"/>
        </w:rPr>
      </w:pPr>
    </w:p>
    <w:p>
      <w:pPr>
        <w:ind w:left="1260" w:right="160" w:hanging="1259"/>
        <w:spacing w:after="0" w:line="239" w:lineRule="auto"/>
        <w:tabs>
          <w:tab w:leader="none" w:pos="1240" w:val="left"/>
        </w:tabs>
        <w:rPr>
          <w:sz w:val="20"/>
          <w:szCs w:val="20"/>
          <w:color w:val="auto"/>
        </w:rPr>
      </w:pPr>
      <w:r>
        <w:rPr>
          <w:rFonts w:ascii="Arial" w:cs="Arial" w:eastAsia="Arial" w:hAnsi="Arial"/>
          <w:sz w:val="18"/>
          <w:szCs w:val="18"/>
          <w:color w:val="auto"/>
        </w:rPr>
        <w:t>*10(f)(1)</w:t>
      </w:r>
      <w:r>
        <w:rPr>
          <w:sz w:val="20"/>
          <w:szCs w:val="20"/>
          <w:color w:val="auto"/>
        </w:rPr>
        <w:tab/>
      </w:r>
      <w:r>
        <w:rPr>
          <w:rFonts w:ascii="Arial" w:cs="Arial" w:eastAsia="Arial" w:hAnsi="Arial"/>
          <w:sz w:val="18"/>
          <w:szCs w:val="18"/>
          <w:color w:val="auto"/>
        </w:rPr>
        <w:t>2008 Restatement of Registrant’s Unfunded Retirement Income Guarantee Plan, as amended through February 12, 2008 (“2008 URIGP”).</w:t>
      </w:r>
    </w:p>
    <w:p>
      <w:pPr>
        <w:spacing w:after="0" w:line="101" w:lineRule="exact"/>
        <w:rPr>
          <w:sz w:val="20"/>
          <w:szCs w:val="20"/>
          <w:color w:val="auto"/>
        </w:rPr>
      </w:pPr>
    </w:p>
    <w:p>
      <w:pPr>
        <w:ind w:left="1260" w:right="200"/>
        <w:spacing w:after="0" w:line="239" w:lineRule="auto"/>
        <w:rPr>
          <w:sz w:val="20"/>
          <w:szCs w:val="20"/>
          <w:color w:val="auto"/>
        </w:rPr>
      </w:pPr>
      <w:r>
        <w:rPr>
          <w:rFonts w:ascii="Arial" w:cs="Arial" w:eastAsia="Arial" w:hAnsi="Arial"/>
          <w:sz w:val="18"/>
          <w:szCs w:val="18"/>
          <w:color w:val="auto"/>
        </w:rPr>
        <w:t>Incorporated by reference to Exhibit 10(f)(1) to Registrant’s Annual Report on Form 10-K for the fiscal year ended December 31, 2008.</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*10(f)(2)</w:t>
      </w:r>
      <w:r>
        <w:rPr>
          <w:sz w:val="20"/>
          <w:szCs w:val="20"/>
          <w:color w:val="auto"/>
        </w:rPr>
        <w:tab/>
      </w:r>
      <w:r>
        <w:rPr>
          <w:rFonts w:ascii="Arial" w:cs="Arial" w:eastAsia="Arial" w:hAnsi="Arial"/>
          <w:sz w:val="18"/>
          <w:szCs w:val="18"/>
          <w:color w:val="auto"/>
        </w:rPr>
        <w:t>Amendment No. 1 to 2008 URIGP.</w:t>
      </w:r>
    </w:p>
    <w:p>
      <w:pPr>
        <w:spacing w:after="0" w:line="104" w:lineRule="exact"/>
        <w:rPr>
          <w:sz w:val="20"/>
          <w:szCs w:val="20"/>
          <w:color w:val="auto"/>
        </w:rPr>
      </w:pPr>
    </w:p>
    <w:p>
      <w:pPr>
        <w:ind w:left="1260" w:right="200"/>
        <w:spacing w:after="0" w:line="239" w:lineRule="auto"/>
        <w:rPr>
          <w:sz w:val="20"/>
          <w:szCs w:val="20"/>
          <w:color w:val="auto"/>
        </w:rPr>
      </w:pPr>
      <w:r>
        <w:rPr>
          <w:rFonts w:ascii="Arial" w:cs="Arial" w:eastAsia="Arial" w:hAnsi="Arial"/>
          <w:sz w:val="18"/>
          <w:szCs w:val="18"/>
          <w:color w:val="auto"/>
        </w:rPr>
        <w:t>Incorporated by reference to Exhibit 10(f)(2) to Registrant’s Annual Report on Form 10-K for the fiscal year ended December 31, 2008.</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*10(f)(3)</w:t>
      </w:r>
      <w:r>
        <w:rPr>
          <w:sz w:val="20"/>
          <w:szCs w:val="20"/>
          <w:color w:val="auto"/>
        </w:rPr>
        <w:tab/>
      </w:r>
      <w:r>
        <w:rPr>
          <w:rFonts w:ascii="Arial" w:cs="Arial" w:eastAsia="Arial" w:hAnsi="Arial"/>
          <w:sz w:val="18"/>
          <w:szCs w:val="18"/>
          <w:color w:val="auto"/>
        </w:rPr>
        <w:t>Amendment No. 2 dated March 6, 2009 to 2008 URIGP.</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Incorporated by reference to Exhibit 10(f)(3) to Registrant’s Quarterly Report on Form 10-Q for the Quarter ended March 31, 2009.</w:t>
      </w:r>
    </w:p>
    <w:p>
      <w:pPr>
        <w:spacing w:after="0" w:line="1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*10(f)(4)</w:t>
      </w:r>
      <w:r>
        <w:rPr>
          <w:sz w:val="20"/>
          <w:szCs w:val="20"/>
          <w:color w:val="auto"/>
        </w:rPr>
        <w:tab/>
      </w:r>
      <w:r>
        <w:rPr>
          <w:rFonts w:ascii="Arial" w:cs="Arial" w:eastAsia="Arial" w:hAnsi="Arial"/>
          <w:sz w:val="18"/>
          <w:szCs w:val="18"/>
          <w:color w:val="auto"/>
        </w:rPr>
        <w:t>Amendment No. 3 dated May 5, 2009 to 2008 URIGP.</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Incorporated by reference to Exhibit 10(f)(3) to Registrant’s Quarterly Report on Form 10-Q for the Quarter ended June 30, 2009.</w:t>
      </w:r>
    </w:p>
    <w:p>
      <w:pPr>
        <w:spacing w:after="0" w:line="1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*10(f)(5)</w:t>
      </w:r>
      <w:r>
        <w:rPr>
          <w:sz w:val="20"/>
          <w:szCs w:val="20"/>
          <w:color w:val="auto"/>
        </w:rPr>
        <w:tab/>
      </w:r>
      <w:r>
        <w:rPr>
          <w:rFonts w:ascii="Arial" w:cs="Arial" w:eastAsia="Arial" w:hAnsi="Arial"/>
          <w:sz w:val="18"/>
          <w:szCs w:val="18"/>
          <w:color w:val="auto"/>
        </w:rPr>
        <w:t>Amendment No. 4 dated October 9, 2009 to 2008 URIGP.</w:t>
      </w:r>
    </w:p>
    <w:p>
      <w:pPr>
        <w:spacing w:after="0" w:line="104" w:lineRule="exact"/>
        <w:rPr>
          <w:sz w:val="20"/>
          <w:szCs w:val="20"/>
          <w:color w:val="auto"/>
        </w:rPr>
      </w:pPr>
    </w:p>
    <w:p>
      <w:pPr>
        <w:ind w:left="1260" w:right="140"/>
        <w:spacing w:after="0" w:line="239" w:lineRule="auto"/>
        <w:rPr>
          <w:sz w:val="20"/>
          <w:szCs w:val="20"/>
          <w:color w:val="auto"/>
        </w:rPr>
      </w:pPr>
      <w:r>
        <w:rPr>
          <w:rFonts w:ascii="Arial" w:cs="Arial" w:eastAsia="Arial" w:hAnsi="Arial"/>
          <w:sz w:val="18"/>
          <w:szCs w:val="18"/>
          <w:color w:val="auto"/>
        </w:rPr>
        <w:t>Incorporated by reference to Exhibit 10(f)(3) to Registrant’s Quarterly Report on Form 10-Q for the Quarter ended September 30, 2009.</w:t>
      </w:r>
    </w:p>
    <w:p>
      <w:pPr>
        <w:spacing w:after="0" w:line="10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*10(f)(6)</w:t>
      </w:r>
      <w:r>
        <w:rPr>
          <w:sz w:val="20"/>
          <w:szCs w:val="20"/>
          <w:color w:val="auto"/>
        </w:rPr>
        <w:tab/>
      </w:r>
      <w:r>
        <w:rPr>
          <w:rFonts w:ascii="Arial" w:cs="Arial" w:eastAsia="Arial" w:hAnsi="Arial"/>
          <w:sz w:val="18"/>
          <w:szCs w:val="18"/>
          <w:color w:val="auto"/>
        </w:rPr>
        <w:t>Amendment No. 5 dated December 1, 2009 to 2008 URIGP.</w:t>
      </w:r>
    </w:p>
    <w:p>
      <w:pPr>
        <w:spacing w:after="0" w:line="104" w:lineRule="exact"/>
        <w:rPr>
          <w:sz w:val="20"/>
          <w:szCs w:val="20"/>
          <w:color w:val="auto"/>
        </w:rPr>
      </w:pPr>
    </w:p>
    <w:p>
      <w:pPr>
        <w:ind w:left="1260" w:right="340" w:hanging="1259"/>
        <w:spacing w:after="0" w:line="239" w:lineRule="auto"/>
        <w:tabs>
          <w:tab w:leader="none" w:pos="1240" w:val="left"/>
        </w:tabs>
        <w:rPr>
          <w:sz w:val="20"/>
          <w:szCs w:val="20"/>
          <w:color w:val="auto"/>
        </w:rPr>
      </w:pPr>
      <w:r>
        <w:rPr>
          <w:rFonts w:ascii="Arial" w:cs="Arial" w:eastAsia="Arial" w:hAnsi="Arial"/>
          <w:sz w:val="18"/>
          <w:szCs w:val="18"/>
          <w:color w:val="auto"/>
        </w:rPr>
        <w:t>*10(g)(1)</w:t>
      </w:r>
      <w:r>
        <w:rPr>
          <w:sz w:val="20"/>
          <w:szCs w:val="20"/>
          <w:color w:val="auto"/>
        </w:rPr>
        <w:tab/>
      </w:r>
      <w:r>
        <w:rPr>
          <w:rFonts w:ascii="Arial" w:cs="Arial" w:eastAsia="Arial" w:hAnsi="Arial"/>
          <w:sz w:val="18"/>
          <w:szCs w:val="18"/>
          <w:color w:val="auto"/>
        </w:rPr>
        <w:t>2004 Restatement of Registrant’s Unfunded Supplemental Executive Retirement Plan, as amended and restated December 4, 2007 (“2007 USERP”).</w:t>
      </w:r>
    </w:p>
    <w:p>
      <w:pPr>
        <w:spacing w:after="0" w:line="101" w:lineRule="exact"/>
        <w:rPr>
          <w:sz w:val="20"/>
          <w:szCs w:val="20"/>
          <w:color w:val="auto"/>
        </w:rPr>
      </w:pPr>
    </w:p>
    <w:p>
      <w:pPr>
        <w:ind w:left="1260" w:right="140"/>
        <w:spacing w:after="0" w:line="239" w:lineRule="auto"/>
        <w:rPr>
          <w:sz w:val="20"/>
          <w:szCs w:val="20"/>
          <w:color w:val="auto"/>
        </w:rPr>
      </w:pPr>
      <w:r>
        <w:rPr>
          <w:rFonts w:ascii="Arial" w:cs="Arial" w:eastAsia="Arial" w:hAnsi="Arial"/>
          <w:sz w:val="18"/>
          <w:szCs w:val="18"/>
          <w:color w:val="auto"/>
        </w:rPr>
        <w:t>Incorporated by reference to Exhibit 10(g)(1) to Registrant’s Annual Report on Form 10-K for the fiscal year ended December 31, 2007.</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 w:type="dxa"/>
            <w:vAlign w:val="bottom"/>
          </w:tcPr>
          <w:p>
            <w:pPr>
              <w:spacing w:after="0"/>
              <w:rPr>
                <w:sz w:val="20"/>
                <w:szCs w:val="20"/>
                <w:color w:val="auto"/>
              </w:rPr>
            </w:pPr>
            <w:r>
              <w:rPr>
                <w:rFonts w:ascii="Arial" w:cs="Arial" w:eastAsia="Arial" w:hAnsi="Arial"/>
                <w:sz w:val="18"/>
                <w:szCs w:val="18"/>
                <w:color w:val="auto"/>
              </w:rPr>
              <w:t>*10(g)(2)</w:t>
            </w:r>
          </w:p>
        </w:tc>
        <w:tc>
          <w:tcPr>
            <w:tcW w:w="10280" w:type="dxa"/>
            <w:vAlign w:val="bottom"/>
          </w:tcPr>
          <w:p>
            <w:pPr>
              <w:ind w:left="280"/>
              <w:spacing w:after="0"/>
              <w:rPr>
                <w:sz w:val="20"/>
                <w:szCs w:val="20"/>
                <w:color w:val="auto"/>
              </w:rPr>
            </w:pPr>
            <w:r>
              <w:rPr>
                <w:rFonts w:ascii="Arial" w:cs="Arial" w:eastAsia="Arial" w:hAnsi="Arial"/>
                <w:sz w:val="18"/>
                <w:szCs w:val="18"/>
                <w:color w:val="auto"/>
              </w:rPr>
              <w:t>Amendment dated December 4, 2007 to Registrant’s 2007 USERP.</w:t>
            </w:r>
          </w:p>
        </w:tc>
      </w:tr>
      <w:tr>
        <w:trPr>
          <w:trHeight w:val="302"/>
        </w:trPr>
        <w:tc>
          <w:tcPr>
            <w:tcW w:w="980" w:type="dxa"/>
            <w:vAlign w:val="bottom"/>
          </w:tcPr>
          <w:p>
            <w:pPr>
              <w:spacing w:after="0"/>
              <w:rPr>
                <w:sz w:val="24"/>
                <w:szCs w:val="24"/>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Exhibit 10(g)(2) to Registrant’s Annual Report on Form 10-K for the fiscal year ended December 31,</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2007.</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*10(g)(3)</w:t>
            </w:r>
          </w:p>
        </w:tc>
        <w:tc>
          <w:tcPr>
            <w:tcW w:w="10280" w:type="dxa"/>
            <w:vAlign w:val="bottom"/>
          </w:tcPr>
          <w:p>
            <w:pPr>
              <w:ind w:left="280"/>
              <w:spacing w:after="0"/>
              <w:rPr>
                <w:sz w:val="20"/>
                <w:szCs w:val="20"/>
                <w:color w:val="auto"/>
              </w:rPr>
            </w:pPr>
            <w:r>
              <w:rPr>
                <w:rFonts w:ascii="Arial" w:cs="Arial" w:eastAsia="Arial" w:hAnsi="Arial"/>
                <w:sz w:val="18"/>
                <w:szCs w:val="18"/>
                <w:color w:val="auto"/>
              </w:rPr>
              <w:t>Amendment No. 1 dated December 11, 2008 to Registrant’s 2007 USERP.</w:t>
            </w:r>
          </w:p>
        </w:tc>
      </w:tr>
      <w:tr>
        <w:trPr>
          <w:trHeight w:val="302"/>
        </w:trPr>
        <w:tc>
          <w:tcPr>
            <w:tcW w:w="980" w:type="dxa"/>
            <w:vAlign w:val="bottom"/>
          </w:tcPr>
          <w:p>
            <w:pPr>
              <w:spacing w:after="0"/>
              <w:rPr>
                <w:sz w:val="24"/>
                <w:szCs w:val="24"/>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Exhibit 10(g)(3) to Registrant’s Annual Report on Form 10-K for the fiscal year ended December 31,</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2008.</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10(h)</w:t>
            </w:r>
          </w:p>
        </w:tc>
        <w:tc>
          <w:tcPr>
            <w:tcW w:w="10280" w:type="dxa"/>
            <w:vAlign w:val="bottom"/>
          </w:tcPr>
          <w:p>
            <w:pPr>
              <w:ind w:left="280"/>
              <w:spacing w:after="0"/>
              <w:rPr>
                <w:sz w:val="20"/>
                <w:szCs w:val="20"/>
                <w:color w:val="auto"/>
              </w:rPr>
            </w:pPr>
            <w:r>
              <w:rPr>
                <w:rFonts w:ascii="Arial" w:cs="Arial" w:eastAsia="Arial" w:hAnsi="Arial"/>
                <w:sz w:val="18"/>
                <w:szCs w:val="18"/>
                <w:color w:val="auto"/>
                <w:w w:val="99"/>
              </w:rPr>
              <w:t>1996 Amendment and Restatement of Registrant’s Restricted Stock Plan for Directors, as amended through February 4, 2002.</w:t>
            </w:r>
          </w:p>
        </w:tc>
      </w:tr>
      <w:tr>
        <w:trPr>
          <w:trHeight w:val="302"/>
        </w:trPr>
        <w:tc>
          <w:tcPr>
            <w:tcW w:w="980" w:type="dxa"/>
            <w:vAlign w:val="bottom"/>
          </w:tcPr>
          <w:p>
            <w:pPr>
              <w:spacing w:after="0"/>
              <w:rPr>
                <w:sz w:val="24"/>
                <w:szCs w:val="24"/>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9"/>
              </w:rPr>
              <w:t>Incorporated by reference to Exhibit 10(h) to Registrant’s Annual Report on Form 10-K for the fiscal year ended December 31,</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2004.</w:t>
            </w:r>
          </w:p>
        </w:tc>
      </w:tr>
      <w:tr>
        <w:trPr>
          <w:trHeight w:val="302"/>
        </w:trPr>
        <w:tc>
          <w:tcPr>
            <w:tcW w:w="980" w:type="dxa"/>
            <w:vAlign w:val="bottom"/>
          </w:tcPr>
          <w:p>
            <w:pPr>
              <w:spacing w:after="0"/>
              <w:rPr>
                <w:sz w:val="20"/>
                <w:szCs w:val="20"/>
                <w:color w:val="auto"/>
              </w:rPr>
            </w:pPr>
            <w:r>
              <w:rPr>
                <w:rFonts w:ascii="Arial" w:cs="Arial" w:eastAsia="Arial" w:hAnsi="Arial"/>
                <w:sz w:val="18"/>
                <w:szCs w:val="18"/>
                <w:color w:val="auto"/>
              </w:rPr>
              <w:t>*10(i)(1)</w:t>
            </w:r>
          </w:p>
        </w:tc>
        <w:tc>
          <w:tcPr>
            <w:tcW w:w="10280" w:type="dxa"/>
            <w:vAlign w:val="bottom"/>
          </w:tcPr>
          <w:p>
            <w:pPr>
              <w:ind w:left="280"/>
              <w:spacing w:after="0"/>
              <w:rPr>
                <w:sz w:val="20"/>
                <w:szCs w:val="20"/>
                <w:color w:val="auto"/>
              </w:rPr>
            </w:pPr>
            <w:r>
              <w:rPr>
                <w:rFonts w:ascii="Arial" w:cs="Arial" w:eastAsia="Arial" w:hAnsi="Arial"/>
                <w:sz w:val="18"/>
                <w:szCs w:val="18"/>
                <w:color w:val="auto"/>
                <w:w w:val="98"/>
              </w:rPr>
              <w:t>Form of Severance Letter Agreement entered into with various executive officers, effective October 12, 2007 (“2007 Severance</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Letter”).</w:t>
            </w:r>
          </w:p>
        </w:tc>
      </w:tr>
      <w:tr>
        <w:trPr>
          <w:trHeight w:val="302"/>
        </w:trPr>
        <w:tc>
          <w:tcPr>
            <w:tcW w:w="980" w:type="dxa"/>
            <w:vAlign w:val="bottom"/>
          </w:tcPr>
          <w:p>
            <w:pPr>
              <w:spacing w:after="0"/>
              <w:rPr>
                <w:sz w:val="24"/>
                <w:szCs w:val="24"/>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Exhibit 10(i)(1) to Registrant’s Annual Report on Form 10-K for the fiscal year ended December 31,</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2007.</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*10(i)(2)</w:t>
            </w:r>
          </w:p>
        </w:tc>
        <w:tc>
          <w:tcPr>
            <w:tcW w:w="10280" w:type="dxa"/>
            <w:vAlign w:val="bottom"/>
          </w:tcPr>
          <w:p>
            <w:pPr>
              <w:ind w:left="280"/>
              <w:spacing w:after="0"/>
              <w:rPr>
                <w:sz w:val="20"/>
                <w:szCs w:val="20"/>
                <w:color w:val="auto"/>
              </w:rPr>
            </w:pPr>
            <w:r>
              <w:rPr>
                <w:rFonts w:ascii="Arial" w:cs="Arial" w:eastAsia="Arial" w:hAnsi="Arial"/>
                <w:sz w:val="18"/>
                <w:szCs w:val="18"/>
                <w:color w:val="auto"/>
              </w:rPr>
              <w:t>Amendment dated December 4, 2008 to 2007 Severance Letter.</w:t>
            </w:r>
          </w:p>
        </w:tc>
      </w:tr>
      <w:tr>
        <w:trPr>
          <w:trHeight w:val="302"/>
        </w:trPr>
        <w:tc>
          <w:tcPr>
            <w:tcW w:w="980" w:type="dxa"/>
            <w:vAlign w:val="bottom"/>
          </w:tcPr>
          <w:p>
            <w:pPr>
              <w:spacing w:after="0"/>
              <w:rPr>
                <w:sz w:val="24"/>
                <w:szCs w:val="24"/>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Exhibit 10(i)(2) to Registrant’s Annual Report on Form 10-K for the fiscal year ended December 31,</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2007</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*10(i)(3)</w:t>
            </w:r>
          </w:p>
        </w:tc>
        <w:tc>
          <w:tcPr>
            <w:tcW w:w="10280" w:type="dxa"/>
            <w:vAlign w:val="bottom"/>
          </w:tcPr>
          <w:p>
            <w:pPr>
              <w:ind w:left="280"/>
              <w:spacing w:after="0"/>
              <w:rPr>
                <w:sz w:val="20"/>
                <w:szCs w:val="20"/>
                <w:color w:val="auto"/>
              </w:rPr>
            </w:pPr>
            <w:r>
              <w:rPr>
                <w:rFonts w:ascii="Arial" w:cs="Arial" w:eastAsia="Arial" w:hAnsi="Arial"/>
                <w:sz w:val="18"/>
                <w:szCs w:val="18"/>
                <w:color w:val="auto"/>
              </w:rPr>
              <w:t>Amendment dated December 17, 2008 to 2007 Severance Letter.</w:t>
            </w:r>
          </w:p>
        </w:tc>
      </w:tr>
      <w:tr>
        <w:trPr>
          <w:trHeight w:val="302"/>
        </w:trPr>
        <w:tc>
          <w:tcPr>
            <w:tcW w:w="980" w:type="dxa"/>
            <w:vAlign w:val="bottom"/>
          </w:tcPr>
          <w:p>
            <w:pPr>
              <w:spacing w:after="0"/>
              <w:rPr>
                <w:sz w:val="24"/>
                <w:szCs w:val="24"/>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Exhibit 10(i)(3) to Registrant’s Annual Report on Form 10-K for the fiscal year ended December 31,</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2008.</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*10(j)(1)</w:t>
            </w:r>
          </w:p>
        </w:tc>
        <w:tc>
          <w:tcPr>
            <w:tcW w:w="10280" w:type="dxa"/>
            <w:vAlign w:val="bottom"/>
          </w:tcPr>
          <w:p>
            <w:pPr>
              <w:ind w:left="280"/>
              <w:spacing w:after="0"/>
              <w:rPr>
                <w:sz w:val="20"/>
                <w:szCs w:val="20"/>
                <w:color w:val="auto"/>
              </w:rPr>
            </w:pPr>
            <w:r>
              <w:rPr>
                <w:rFonts w:ascii="Arial" w:cs="Arial" w:eastAsia="Arial" w:hAnsi="Arial"/>
                <w:sz w:val="18"/>
                <w:szCs w:val="18"/>
                <w:color w:val="auto"/>
              </w:rPr>
              <w:t>Registrant’s Universal Life Plan effective July 1, 2003.</w:t>
            </w:r>
          </w:p>
        </w:tc>
      </w:tr>
      <w:tr>
        <w:trPr>
          <w:trHeight w:val="302"/>
        </w:trPr>
        <w:tc>
          <w:tcPr>
            <w:tcW w:w="980" w:type="dxa"/>
            <w:vAlign w:val="bottom"/>
          </w:tcPr>
          <w:p>
            <w:pPr>
              <w:spacing w:after="0"/>
              <w:rPr>
                <w:sz w:val="24"/>
                <w:szCs w:val="24"/>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10(j) to Registrant’s Annual Report on Form 10-K for the fiscal year ended December 31,</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2004.</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*10(j)(2)</w:t>
            </w:r>
          </w:p>
        </w:tc>
        <w:tc>
          <w:tcPr>
            <w:tcW w:w="10280" w:type="dxa"/>
            <w:vAlign w:val="bottom"/>
          </w:tcPr>
          <w:p>
            <w:pPr>
              <w:ind w:left="280"/>
              <w:spacing w:after="0"/>
              <w:rPr>
                <w:sz w:val="20"/>
                <w:szCs w:val="20"/>
                <w:color w:val="auto"/>
              </w:rPr>
            </w:pPr>
            <w:r>
              <w:rPr>
                <w:rFonts w:ascii="Arial" w:cs="Arial" w:eastAsia="Arial" w:hAnsi="Arial"/>
                <w:sz w:val="18"/>
                <w:szCs w:val="18"/>
                <w:color w:val="auto"/>
              </w:rPr>
              <w:t>Amendment No. 3 to Registrant’s Universal Life Plan.</w:t>
            </w:r>
          </w:p>
        </w:tc>
      </w:tr>
      <w:tr>
        <w:trPr>
          <w:trHeight w:val="302"/>
        </w:trPr>
        <w:tc>
          <w:tcPr>
            <w:tcW w:w="980" w:type="dxa"/>
            <w:vAlign w:val="bottom"/>
          </w:tcPr>
          <w:p>
            <w:pPr>
              <w:spacing w:after="0"/>
              <w:rPr>
                <w:sz w:val="24"/>
                <w:szCs w:val="24"/>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Exhibit 10(j)(2) to Registrant’s Quarterly Report on Form 10-Q for the Quarter ended September 30,</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2006.</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*10(j)(3)</w:t>
            </w:r>
          </w:p>
        </w:tc>
        <w:tc>
          <w:tcPr>
            <w:tcW w:w="10280" w:type="dxa"/>
            <w:vAlign w:val="bottom"/>
          </w:tcPr>
          <w:p>
            <w:pPr>
              <w:ind w:left="280"/>
              <w:spacing w:after="0"/>
              <w:rPr>
                <w:sz w:val="20"/>
                <w:szCs w:val="20"/>
                <w:color w:val="auto"/>
              </w:rPr>
            </w:pPr>
            <w:r>
              <w:rPr>
                <w:rFonts w:ascii="Arial" w:cs="Arial" w:eastAsia="Arial" w:hAnsi="Arial"/>
                <w:sz w:val="18"/>
                <w:szCs w:val="18"/>
                <w:color w:val="auto"/>
              </w:rPr>
              <w:t>Amendment No. 4 dated September 28, 2009 to Registrant’s Universal Life Plan.</w:t>
            </w:r>
          </w:p>
        </w:tc>
      </w:tr>
      <w:tr>
        <w:trPr>
          <w:trHeight w:val="302"/>
        </w:trPr>
        <w:tc>
          <w:tcPr>
            <w:tcW w:w="980" w:type="dxa"/>
            <w:vAlign w:val="bottom"/>
          </w:tcPr>
          <w:p>
            <w:pPr>
              <w:spacing w:after="0"/>
              <w:rPr>
                <w:sz w:val="24"/>
                <w:szCs w:val="24"/>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Exhibit 10(j)(3) to Registrant’s Quarterly Report on Form 10-Q for the Quarter ended September 30,</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2009.</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10(k)(1)</w:t>
            </w:r>
          </w:p>
        </w:tc>
        <w:tc>
          <w:tcPr>
            <w:tcW w:w="10280" w:type="dxa"/>
            <w:vAlign w:val="bottom"/>
          </w:tcPr>
          <w:p>
            <w:pPr>
              <w:ind w:left="280"/>
              <w:spacing w:after="0"/>
              <w:rPr>
                <w:sz w:val="20"/>
                <w:szCs w:val="20"/>
                <w:color w:val="auto"/>
              </w:rPr>
            </w:pPr>
            <w:r>
              <w:rPr>
                <w:rFonts w:ascii="Arial" w:cs="Arial" w:eastAsia="Arial" w:hAnsi="Arial"/>
                <w:sz w:val="18"/>
                <w:szCs w:val="18"/>
                <w:color w:val="auto"/>
              </w:rPr>
              <w:t>Registrant’s Deferred Compensation Plan for Directors, as amended and restated December 5, 2007 (“DCPD”).</w:t>
            </w:r>
          </w:p>
        </w:tc>
      </w:tr>
      <w:tr>
        <w:trPr>
          <w:trHeight w:val="302"/>
        </w:trPr>
        <w:tc>
          <w:tcPr>
            <w:tcW w:w="980" w:type="dxa"/>
            <w:vAlign w:val="bottom"/>
          </w:tcPr>
          <w:p>
            <w:pPr>
              <w:spacing w:after="0"/>
              <w:rPr>
                <w:sz w:val="24"/>
                <w:szCs w:val="24"/>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Exhibit 10(k)(1) to Registrant’s Annual Report on Form 10-K for the fiscal year ended December 31,</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2007.</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10(k)(2)</w:t>
            </w:r>
          </w:p>
        </w:tc>
        <w:tc>
          <w:tcPr>
            <w:tcW w:w="10280" w:type="dxa"/>
            <w:vAlign w:val="bottom"/>
          </w:tcPr>
          <w:p>
            <w:pPr>
              <w:ind w:left="280"/>
              <w:spacing w:after="0"/>
              <w:rPr>
                <w:sz w:val="20"/>
                <w:szCs w:val="20"/>
                <w:color w:val="auto"/>
              </w:rPr>
            </w:pPr>
            <w:r>
              <w:rPr>
                <w:rFonts w:ascii="Arial" w:cs="Arial" w:eastAsia="Arial" w:hAnsi="Arial"/>
                <w:sz w:val="18"/>
                <w:szCs w:val="18"/>
                <w:color w:val="auto"/>
              </w:rPr>
              <w:t>Amendment dated December 5, 2007 to DCPD.</w:t>
            </w:r>
          </w:p>
        </w:tc>
      </w:tr>
      <w:tr>
        <w:trPr>
          <w:trHeight w:val="302"/>
        </w:trPr>
        <w:tc>
          <w:tcPr>
            <w:tcW w:w="980" w:type="dxa"/>
            <w:vAlign w:val="bottom"/>
          </w:tcPr>
          <w:p>
            <w:pPr>
              <w:spacing w:after="0"/>
              <w:rPr>
                <w:sz w:val="24"/>
                <w:szCs w:val="24"/>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Exhibit 10(k)(2) to Registrant’s Annual Report on Form 10-K for the fiscal year ended December 31,</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2007</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*10(l)</w:t>
            </w:r>
          </w:p>
        </w:tc>
        <w:tc>
          <w:tcPr>
            <w:tcW w:w="10280" w:type="dxa"/>
            <w:vAlign w:val="bottom"/>
          </w:tcPr>
          <w:p>
            <w:pPr>
              <w:ind w:left="280"/>
              <w:spacing w:after="0"/>
              <w:rPr>
                <w:sz w:val="20"/>
                <w:szCs w:val="20"/>
                <w:color w:val="auto"/>
              </w:rPr>
            </w:pPr>
            <w:r>
              <w:rPr>
                <w:rFonts w:ascii="Arial" w:cs="Arial" w:eastAsia="Arial" w:hAnsi="Arial"/>
                <w:sz w:val="18"/>
                <w:szCs w:val="18"/>
                <w:color w:val="auto"/>
              </w:rPr>
              <w:t>Registrant’s Deferred Compensation Plan for Executives, 2004 Restatement, as amended through August 11, 2004.</w:t>
            </w:r>
          </w:p>
        </w:tc>
      </w:tr>
      <w:tr>
        <w:trPr>
          <w:trHeight w:val="302"/>
        </w:trPr>
        <w:tc>
          <w:tcPr>
            <w:tcW w:w="980" w:type="dxa"/>
            <w:vAlign w:val="bottom"/>
          </w:tcPr>
          <w:p>
            <w:pPr>
              <w:spacing w:after="0"/>
              <w:rPr>
                <w:sz w:val="24"/>
                <w:szCs w:val="24"/>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9"/>
              </w:rPr>
              <w:t>Incorporated by reference to Exhibit 10(l) to Registrant’s Quarterly Report on Form 10-Q for the Quarter ended September 30,</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2004.</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*10(m)</w:t>
            </w:r>
          </w:p>
        </w:tc>
        <w:tc>
          <w:tcPr>
            <w:tcW w:w="10280" w:type="dxa"/>
            <w:vAlign w:val="bottom"/>
          </w:tcPr>
          <w:p>
            <w:pPr>
              <w:ind w:left="280"/>
              <w:spacing w:after="0"/>
              <w:rPr>
                <w:sz w:val="20"/>
                <w:szCs w:val="20"/>
                <w:color w:val="auto"/>
              </w:rPr>
            </w:pPr>
            <w:r>
              <w:rPr>
                <w:rFonts w:ascii="Arial" w:cs="Arial" w:eastAsia="Arial" w:hAnsi="Arial"/>
                <w:sz w:val="18"/>
                <w:szCs w:val="18"/>
                <w:color w:val="auto"/>
              </w:rPr>
              <w:t>Registrant’s 1998 Employee Stock Option Plan, as amended through October 9, 2000.</w:t>
            </w:r>
          </w:p>
        </w:tc>
      </w:tr>
      <w:tr>
        <w:trPr>
          <w:trHeight w:val="302"/>
        </w:trPr>
        <w:tc>
          <w:tcPr>
            <w:tcW w:w="980" w:type="dxa"/>
            <w:vAlign w:val="bottom"/>
          </w:tcPr>
          <w:p>
            <w:pPr>
              <w:spacing w:after="0"/>
              <w:rPr>
                <w:sz w:val="24"/>
                <w:szCs w:val="24"/>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9"/>
              </w:rPr>
              <w:t>Incorporated by reference to Exhibit 10(m) to Registrant’s Annual Report on Form 10-K for the fiscal year ended December 31,</w:t>
            </w:r>
          </w:p>
        </w:tc>
      </w:tr>
      <w:tr>
        <w:trPr>
          <w:trHeight w:val="211"/>
        </w:trPr>
        <w:tc>
          <w:tcPr>
            <w:tcW w:w="98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2008.</w:t>
            </w:r>
          </w:p>
        </w:tc>
      </w:tr>
      <w:tr>
        <w:trPr>
          <w:trHeight w:val="351"/>
        </w:trPr>
        <w:tc>
          <w:tcPr>
            <w:tcW w:w="980" w:type="dxa"/>
            <w:vAlign w:val="bottom"/>
          </w:tcPr>
          <w:p>
            <w:pPr>
              <w:spacing w:after="0"/>
              <w:rPr>
                <w:sz w:val="24"/>
                <w:szCs w:val="24"/>
                <w:color w:val="auto"/>
              </w:rPr>
            </w:pPr>
          </w:p>
        </w:tc>
        <w:tc>
          <w:tcPr>
            <w:tcW w:w="10280" w:type="dxa"/>
            <w:vAlign w:val="bottom"/>
          </w:tcPr>
          <w:p>
            <w:pPr>
              <w:ind w:left="468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60"/>
          </w:cols>
          <w:pgMar w:left="240" w:top="459" w:right="3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10(n)</w:t>
            </w:r>
          </w:p>
        </w:tc>
        <w:tc>
          <w:tcPr>
            <w:tcW w:w="10340" w:type="dxa"/>
            <w:vAlign w:val="bottom"/>
          </w:tcPr>
          <w:p>
            <w:pPr>
              <w:ind w:left="380"/>
              <w:spacing w:after="0"/>
              <w:rPr>
                <w:sz w:val="20"/>
                <w:szCs w:val="20"/>
                <w:color w:val="auto"/>
              </w:rPr>
            </w:pPr>
            <w:r>
              <w:rPr>
                <w:rFonts w:ascii="Arial" w:cs="Arial" w:eastAsia="Arial" w:hAnsi="Arial"/>
                <w:sz w:val="18"/>
                <w:szCs w:val="18"/>
                <w:color w:val="auto"/>
                <w:w w:val="98"/>
              </w:rPr>
              <w:t>Separation Agreement dated May 11, 2000 between Registrant and G. Richard Thoman, former President and Chief Executive</w:t>
            </w:r>
          </w:p>
        </w:tc>
      </w:tr>
      <w:tr>
        <w:trPr>
          <w:trHeight w:val="211"/>
        </w:trPr>
        <w:tc>
          <w:tcPr>
            <w:tcW w:w="8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Officer of Registrant.</w:t>
            </w:r>
          </w:p>
        </w:tc>
      </w:tr>
      <w:tr>
        <w:trPr>
          <w:trHeight w:val="302"/>
        </w:trPr>
        <w:tc>
          <w:tcPr>
            <w:tcW w:w="880" w:type="dxa"/>
            <w:vAlign w:val="bottom"/>
          </w:tcPr>
          <w:p>
            <w:pPr>
              <w:spacing w:after="0"/>
              <w:rPr>
                <w:sz w:val="24"/>
                <w:szCs w:val="24"/>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9"/>
              </w:rPr>
              <w:t>Incorporated by reference to Exhibit 10(n) to Registrant’s Annual Report on Form 10-K for the fiscal year ended December 31,</w:t>
            </w:r>
          </w:p>
        </w:tc>
      </w:tr>
      <w:tr>
        <w:trPr>
          <w:trHeight w:val="211"/>
        </w:trPr>
        <w:tc>
          <w:tcPr>
            <w:tcW w:w="8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02"/>
        </w:trPr>
        <w:tc>
          <w:tcPr>
            <w:tcW w:w="880" w:type="dxa"/>
            <w:vAlign w:val="bottom"/>
          </w:tcPr>
          <w:p>
            <w:pPr>
              <w:spacing w:after="0"/>
              <w:rPr>
                <w:sz w:val="20"/>
                <w:szCs w:val="20"/>
                <w:color w:val="auto"/>
              </w:rPr>
            </w:pPr>
            <w:r>
              <w:rPr>
                <w:rFonts w:ascii="Arial" w:cs="Arial" w:eastAsia="Arial" w:hAnsi="Arial"/>
                <w:sz w:val="18"/>
                <w:szCs w:val="18"/>
                <w:color w:val="auto"/>
              </w:rPr>
              <w:t>*10(o)</w:t>
            </w:r>
          </w:p>
        </w:tc>
        <w:tc>
          <w:tcPr>
            <w:tcW w:w="10340" w:type="dxa"/>
            <w:vAlign w:val="bottom"/>
          </w:tcPr>
          <w:p>
            <w:pPr>
              <w:ind w:left="380"/>
              <w:spacing w:after="0"/>
              <w:rPr>
                <w:sz w:val="20"/>
                <w:szCs w:val="20"/>
                <w:color w:val="auto"/>
              </w:rPr>
            </w:pPr>
            <w:r>
              <w:rPr>
                <w:rFonts w:ascii="Arial" w:cs="Arial" w:eastAsia="Arial" w:hAnsi="Arial"/>
                <w:sz w:val="18"/>
                <w:szCs w:val="18"/>
                <w:color w:val="auto"/>
              </w:rPr>
              <w:t>Letter Agreement dated May 20, 2002 between Registrant and Lawrence A. Zimmerman, Senior Vice President and Chief</w:t>
            </w:r>
          </w:p>
        </w:tc>
      </w:tr>
      <w:tr>
        <w:trPr>
          <w:trHeight w:val="211"/>
        </w:trPr>
        <w:tc>
          <w:tcPr>
            <w:tcW w:w="8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Financial Officer of Registrant.</w:t>
            </w:r>
          </w:p>
        </w:tc>
      </w:tr>
      <w:tr>
        <w:trPr>
          <w:trHeight w:val="302"/>
        </w:trPr>
        <w:tc>
          <w:tcPr>
            <w:tcW w:w="880" w:type="dxa"/>
            <w:vAlign w:val="bottom"/>
          </w:tcPr>
          <w:p>
            <w:pPr>
              <w:spacing w:after="0"/>
              <w:rPr>
                <w:sz w:val="24"/>
                <w:szCs w:val="24"/>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9"/>
              </w:rPr>
              <w:t>Incorporated by reference to Exhibit 10(o) to Registrant’s Annual Report on Form 10-K for the fiscal year ended December 31,</w:t>
            </w:r>
          </w:p>
        </w:tc>
      </w:tr>
      <w:tr>
        <w:trPr>
          <w:trHeight w:val="211"/>
        </w:trPr>
        <w:tc>
          <w:tcPr>
            <w:tcW w:w="8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2008.</w:t>
            </w:r>
          </w:p>
        </w:tc>
      </w:tr>
      <w:tr>
        <w:trPr>
          <w:trHeight w:val="302"/>
        </w:trPr>
        <w:tc>
          <w:tcPr>
            <w:tcW w:w="880" w:type="dxa"/>
            <w:vAlign w:val="bottom"/>
          </w:tcPr>
          <w:p>
            <w:pPr>
              <w:spacing w:after="0"/>
              <w:rPr>
                <w:sz w:val="20"/>
                <w:szCs w:val="20"/>
                <w:color w:val="auto"/>
              </w:rPr>
            </w:pPr>
            <w:r>
              <w:rPr>
                <w:rFonts w:ascii="Arial" w:cs="Arial" w:eastAsia="Arial" w:hAnsi="Arial"/>
                <w:sz w:val="18"/>
                <w:szCs w:val="18"/>
                <w:color w:val="auto"/>
              </w:rPr>
              <w:t>10(p)</w:t>
            </w:r>
          </w:p>
        </w:tc>
        <w:tc>
          <w:tcPr>
            <w:tcW w:w="10340" w:type="dxa"/>
            <w:vAlign w:val="bottom"/>
          </w:tcPr>
          <w:p>
            <w:pPr>
              <w:ind w:left="380"/>
              <w:spacing w:after="0"/>
              <w:rPr>
                <w:sz w:val="20"/>
                <w:szCs w:val="20"/>
                <w:color w:val="auto"/>
              </w:rPr>
            </w:pPr>
            <w:r>
              <w:rPr>
                <w:rFonts w:ascii="Arial" w:cs="Arial" w:eastAsia="Arial" w:hAnsi="Arial"/>
                <w:sz w:val="18"/>
                <w:szCs w:val="18"/>
                <w:color w:val="auto"/>
                <w:w w:val="97"/>
              </w:rPr>
              <w:t>Amended and Restated Loan Agreement dated as of October 21, 2002 between Xerox Lease Funding LLC and General Electric</w:t>
            </w:r>
          </w:p>
        </w:tc>
      </w:tr>
      <w:tr>
        <w:trPr>
          <w:trHeight w:val="211"/>
        </w:trPr>
        <w:tc>
          <w:tcPr>
            <w:tcW w:w="8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Capital Corporation.</w:t>
            </w:r>
          </w:p>
        </w:tc>
      </w:tr>
      <w:tr>
        <w:trPr>
          <w:trHeight w:val="302"/>
        </w:trPr>
        <w:tc>
          <w:tcPr>
            <w:tcW w:w="880" w:type="dxa"/>
            <w:vAlign w:val="bottom"/>
          </w:tcPr>
          <w:p>
            <w:pPr>
              <w:spacing w:after="0"/>
              <w:rPr>
                <w:sz w:val="24"/>
                <w:szCs w:val="24"/>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9"/>
              </w:rPr>
              <w:t>Incorporated by reference to Exhibit 10(p) to Registrant’s Annual Report on Form 10-K for the fiscal year ended December 31,</w:t>
            </w:r>
          </w:p>
        </w:tc>
      </w:tr>
      <w:tr>
        <w:trPr>
          <w:trHeight w:val="211"/>
        </w:trPr>
        <w:tc>
          <w:tcPr>
            <w:tcW w:w="8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2008.</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*10(q)</w:t>
            </w:r>
          </w:p>
        </w:tc>
        <w:tc>
          <w:tcPr>
            <w:tcW w:w="10340" w:type="dxa"/>
            <w:vAlign w:val="bottom"/>
          </w:tcPr>
          <w:p>
            <w:pPr>
              <w:ind w:left="380"/>
              <w:spacing w:after="0"/>
              <w:rPr>
                <w:sz w:val="20"/>
                <w:szCs w:val="20"/>
                <w:color w:val="auto"/>
              </w:rPr>
            </w:pPr>
            <w:r>
              <w:rPr>
                <w:rFonts w:ascii="Arial" w:cs="Arial" w:eastAsia="Arial" w:hAnsi="Arial"/>
                <w:sz w:val="18"/>
                <w:szCs w:val="18"/>
                <w:color w:val="auto"/>
              </w:rPr>
              <w:t>Form of Cash Retention Agreement entered into with various executive officers during 2003.</w:t>
            </w:r>
          </w:p>
        </w:tc>
      </w:tr>
      <w:tr>
        <w:trPr>
          <w:trHeight w:val="302"/>
        </w:trPr>
        <w:tc>
          <w:tcPr>
            <w:tcW w:w="880" w:type="dxa"/>
            <w:vAlign w:val="bottom"/>
          </w:tcPr>
          <w:p>
            <w:pPr>
              <w:spacing w:after="0"/>
              <w:rPr>
                <w:sz w:val="24"/>
                <w:szCs w:val="24"/>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8"/>
              </w:rPr>
              <w:t>Incorporated by reference to Exhibit 10(w) to Registrant’s Annual Report on Form 10-K for the fiscal year ended December 31,</w:t>
            </w:r>
          </w:p>
        </w:tc>
      </w:tr>
      <w:tr>
        <w:trPr>
          <w:trHeight w:val="211"/>
        </w:trPr>
        <w:tc>
          <w:tcPr>
            <w:tcW w:w="8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2003.</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*10(r)</w:t>
            </w:r>
          </w:p>
        </w:tc>
        <w:tc>
          <w:tcPr>
            <w:tcW w:w="10340" w:type="dxa"/>
            <w:vAlign w:val="bottom"/>
          </w:tcPr>
          <w:p>
            <w:pPr>
              <w:ind w:left="380"/>
              <w:spacing w:after="0"/>
              <w:rPr>
                <w:sz w:val="20"/>
                <w:szCs w:val="20"/>
                <w:color w:val="auto"/>
              </w:rPr>
            </w:pPr>
            <w:r>
              <w:rPr>
                <w:rFonts w:ascii="Arial" w:cs="Arial" w:eastAsia="Arial" w:hAnsi="Arial"/>
                <w:sz w:val="18"/>
                <w:szCs w:val="18"/>
                <w:color w:val="auto"/>
              </w:rPr>
              <w:t>Uniform Rule dated December 17, 2008 for all Deferred Compensation Promised by Registrant.</w:t>
            </w:r>
          </w:p>
        </w:tc>
      </w:tr>
      <w:tr>
        <w:trPr>
          <w:trHeight w:val="302"/>
        </w:trPr>
        <w:tc>
          <w:tcPr>
            <w:tcW w:w="880" w:type="dxa"/>
            <w:vAlign w:val="bottom"/>
          </w:tcPr>
          <w:p>
            <w:pPr>
              <w:spacing w:after="0"/>
              <w:rPr>
                <w:sz w:val="24"/>
                <w:szCs w:val="24"/>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w w:val="99"/>
              </w:rPr>
              <w:t>Incorporated by reference to Exhibit 10(r) to Registrant’s Annual Report on Form 10-K for the fiscal year ended December 31,</w:t>
            </w:r>
          </w:p>
        </w:tc>
      </w:tr>
      <w:tr>
        <w:trPr>
          <w:trHeight w:val="211"/>
        </w:trPr>
        <w:tc>
          <w:tcPr>
            <w:tcW w:w="880" w:type="dxa"/>
            <w:vAlign w:val="bottom"/>
          </w:tcPr>
          <w:p>
            <w:pPr>
              <w:spacing w:after="0"/>
              <w:rPr>
                <w:sz w:val="18"/>
                <w:szCs w:val="18"/>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2008.</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10(s)</w:t>
            </w:r>
          </w:p>
        </w:tc>
        <w:tc>
          <w:tcPr>
            <w:tcW w:w="10340" w:type="dxa"/>
            <w:vAlign w:val="bottom"/>
          </w:tcPr>
          <w:p>
            <w:pPr>
              <w:ind w:left="380"/>
              <w:spacing w:after="0"/>
              <w:rPr>
                <w:sz w:val="20"/>
                <w:szCs w:val="20"/>
                <w:color w:val="auto"/>
              </w:rPr>
            </w:pPr>
            <w:r>
              <w:rPr>
                <w:rFonts w:ascii="Arial" w:cs="Arial" w:eastAsia="Arial" w:hAnsi="Arial"/>
                <w:sz w:val="18"/>
                <w:szCs w:val="18"/>
                <w:color w:val="auto"/>
              </w:rPr>
              <w:t>2006 Technology Agreement, effective as of April 1, 2006, by and between Registrant and Fuji Xerox Co., Ltd.</w:t>
            </w:r>
          </w:p>
        </w:tc>
      </w:tr>
      <w:tr>
        <w:trPr>
          <w:trHeight w:val="311"/>
        </w:trPr>
        <w:tc>
          <w:tcPr>
            <w:tcW w:w="880" w:type="dxa"/>
            <w:vAlign w:val="bottom"/>
          </w:tcPr>
          <w:p>
            <w:pPr>
              <w:spacing w:after="0"/>
              <w:rPr>
                <w:sz w:val="24"/>
                <w:szCs w:val="24"/>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Incorporated by reference to Exhibit 99.1 to Registrant’s Current Report on Form 8-K dated March 9, 2006.**</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*10(t)</w:t>
            </w:r>
          </w:p>
        </w:tc>
        <w:tc>
          <w:tcPr>
            <w:tcW w:w="10340" w:type="dxa"/>
            <w:vAlign w:val="bottom"/>
          </w:tcPr>
          <w:p>
            <w:pPr>
              <w:ind w:left="380"/>
              <w:spacing w:after="0"/>
              <w:rPr>
                <w:sz w:val="20"/>
                <w:szCs w:val="20"/>
                <w:color w:val="auto"/>
              </w:rPr>
            </w:pPr>
            <w:r>
              <w:rPr>
                <w:rFonts w:ascii="Arial" w:cs="Arial" w:eastAsia="Arial" w:hAnsi="Arial"/>
                <w:sz w:val="18"/>
                <w:szCs w:val="18"/>
                <w:color w:val="auto"/>
              </w:rPr>
              <w:t>Form of 2009 Long-Term Cash Incentive Award for Anne M. Mulcahy.</w:t>
            </w:r>
          </w:p>
        </w:tc>
      </w:tr>
      <w:tr>
        <w:trPr>
          <w:trHeight w:val="311"/>
        </w:trPr>
        <w:tc>
          <w:tcPr>
            <w:tcW w:w="880" w:type="dxa"/>
            <w:vAlign w:val="bottom"/>
          </w:tcPr>
          <w:p>
            <w:pPr>
              <w:spacing w:after="0"/>
              <w:rPr>
                <w:sz w:val="24"/>
                <w:szCs w:val="24"/>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10(t) to Registrant’s Current Report on Form 8-K dated June 30, 2009.</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*10(u)</w:t>
            </w:r>
          </w:p>
        </w:tc>
        <w:tc>
          <w:tcPr>
            <w:tcW w:w="10340" w:type="dxa"/>
            <w:vAlign w:val="bottom"/>
          </w:tcPr>
          <w:p>
            <w:pPr>
              <w:ind w:left="380"/>
              <w:spacing w:after="0"/>
              <w:rPr>
                <w:sz w:val="20"/>
                <w:szCs w:val="20"/>
                <w:color w:val="auto"/>
              </w:rPr>
            </w:pPr>
            <w:r>
              <w:rPr>
                <w:rFonts w:ascii="Arial" w:cs="Arial" w:eastAsia="Arial" w:hAnsi="Arial"/>
                <w:sz w:val="18"/>
                <w:szCs w:val="18"/>
                <w:color w:val="auto"/>
              </w:rPr>
              <w:t>Form of 2009 Long-Term Cash Incentive Award for Lawrence A. Zimmerman.</w:t>
            </w:r>
          </w:p>
        </w:tc>
      </w:tr>
      <w:tr>
        <w:trPr>
          <w:trHeight w:val="311"/>
        </w:trPr>
        <w:tc>
          <w:tcPr>
            <w:tcW w:w="880" w:type="dxa"/>
            <w:vAlign w:val="bottom"/>
          </w:tcPr>
          <w:p>
            <w:pPr>
              <w:spacing w:after="0"/>
              <w:rPr>
                <w:sz w:val="24"/>
                <w:szCs w:val="24"/>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10(u) to Registrant’s Current Report on Form 8-K dated June 30, 2009.</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10(v)</w:t>
            </w:r>
          </w:p>
        </w:tc>
        <w:tc>
          <w:tcPr>
            <w:tcW w:w="10340" w:type="dxa"/>
            <w:vAlign w:val="bottom"/>
          </w:tcPr>
          <w:p>
            <w:pPr>
              <w:ind w:left="380"/>
              <w:spacing w:after="0"/>
              <w:rPr>
                <w:sz w:val="20"/>
                <w:szCs w:val="20"/>
                <w:color w:val="auto"/>
              </w:rPr>
            </w:pPr>
            <w:r>
              <w:rPr>
                <w:rFonts w:ascii="Arial" w:cs="Arial" w:eastAsia="Arial" w:hAnsi="Arial"/>
                <w:sz w:val="18"/>
                <w:szCs w:val="18"/>
                <w:color w:val="auto"/>
              </w:rPr>
              <w:t>Senior Executive Agreement dated September 27, 2009 among ACS, Registrant and Lynn Blodgett.</w:t>
            </w:r>
          </w:p>
        </w:tc>
      </w:tr>
      <w:tr>
        <w:trPr>
          <w:trHeight w:val="311"/>
        </w:trPr>
        <w:tc>
          <w:tcPr>
            <w:tcW w:w="880" w:type="dxa"/>
            <w:vAlign w:val="bottom"/>
          </w:tcPr>
          <w:p>
            <w:pPr>
              <w:spacing w:after="0"/>
              <w:rPr>
                <w:sz w:val="24"/>
                <w:szCs w:val="24"/>
                <w:color w:val="auto"/>
              </w:rPr>
            </w:pPr>
          </w:p>
        </w:tc>
        <w:tc>
          <w:tcPr>
            <w:tcW w:w="1034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10.2 to ACS’s Current Report on Form 8-K dated September 27, 2009.</w:t>
            </w:r>
          </w:p>
        </w:tc>
      </w:tr>
    </w:tbl>
    <w:p>
      <w:pPr>
        <w:spacing w:after="0" w:line="100" w:lineRule="exact"/>
        <w:rPr>
          <w:sz w:val="20"/>
          <w:szCs w:val="20"/>
          <w:color w:val="auto"/>
        </w:rPr>
      </w:pPr>
    </w:p>
    <w:p>
      <w:pPr>
        <w:ind w:left="1260" w:right="280" w:hanging="1252"/>
        <w:spacing w:after="0" w:line="239"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Computation of Ratio of Earnings to Fixed charges and the Ratio of Earnings to Combined Fixed Charges and Preferred Stock Dividends.</w:t>
      </w:r>
    </w:p>
    <w:p>
      <w:pPr>
        <w:spacing w:after="0" w:line="100" w:lineRule="exact"/>
        <w:rPr>
          <w:rFonts w:ascii="Arial" w:cs="Arial" w:eastAsia="Arial" w:hAnsi="Arial"/>
          <w:sz w:val="18"/>
          <w:szCs w:val="18"/>
          <w:color w:val="auto"/>
        </w:rPr>
      </w:pPr>
    </w:p>
    <w:p>
      <w:pPr>
        <w:ind w:left="1260" w:hanging="1252"/>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Registrant’s 2009 Annual Report to Shareholders.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10520" w:type="dxa"/>
            <w:vAlign w:val="bottom"/>
          </w:tcPr>
          <w:p>
            <w:pPr>
              <w:ind w:left="420"/>
              <w:spacing w:after="0"/>
              <w:rPr>
                <w:sz w:val="20"/>
                <w:szCs w:val="20"/>
                <w:color w:val="auto"/>
              </w:rPr>
            </w:pPr>
            <w:r>
              <w:rPr>
                <w:rFonts w:ascii="Arial" w:cs="Arial" w:eastAsia="Arial" w:hAnsi="Arial"/>
                <w:sz w:val="18"/>
                <w:szCs w:val="18"/>
                <w:color w:val="auto"/>
              </w:rPr>
              <w:t>Subsidiaries of Registrant.</w:t>
            </w:r>
          </w:p>
        </w:tc>
      </w:tr>
      <w:tr>
        <w:trPr>
          <w:trHeight w:val="311"/>
        </w:trPr>
        <w:tc>
          <w:tcPr>
            <w:tcW w:w="840" w:type="dxa"/>
            <w:vAlign w:val="bottom"/>
          </w:tcPr>
          <w:p>
            <w:pPr>
              <w:spacing w:after="0"/>
              <w:rPr>
                <w:sz w:val="20"/>
                <w:szCs w:val="20"/>
                <w:color w:val="auto"/>
              </w:rPr>
            </w:pPr>
            <w:r>
              <w:rPr>
                <w:rFonts w:ascii="Arial" w:cs="Arial" w:eastAsia="Arial" w:hAnsi="Arial"/>
                <w:sz w:val="18"/>
                <w:szCs w:val="18"/>
                <w:color w:val="auto"/>
              </w:rPr>
              <w:t>23</w:t>
            </w:r>
          </w:p>
        </w:tc>
        <w:tc>
          <w:tcPr>
            <w:tcW w:w="10520" w:type="dxa"/>
            <w:vAlign w:val="bottom"/>
          </w:tcPr>
          <w:p>
            <w:pPr>
              <w:ind w:left="420"/>
              <w:spacing w:after="0"/>
              <w:rPr>
                <w:sz w:val="20"/>
                <w:szCs w:val="20"/>
                <w:color w:val="auto"/>
              </w:rPr>
            </w:pPr>
            <w:r>
              <w:rPr>
                <w:rFonts w:ascii="Arial" w:cs="Arial" w:eastAsia="Arial" w:hAnsi="Arial"/>
                <w:sz w:val="18"/>
                <w:szCs w:val="18"/>
                <w:color w:val="auto"/>
              </w:rPr>
              <w:t>Consent of PricewaterhouseCoopers LLP.</w:t>
            </w:r>
          </w:p>
        </w:tc>
      </w:tr>
      <w:tr>
        <w:trPr>
          <w:trHeight w:val="311"/>
        </w:trPr>
        <w:tc>
          <w:tcPr>
            <w:tcW w:w="840" w:type="dxa"/>
            <w:vAlign w:val="bottom"/>
          </w:tcPr>
          <w:p>
            <w:pPr>
              <w:spacing w:after="0"/>
              <w:rPr>
                <w:sz w:val="20"/>
                <w:szCs w:val="20"/>
                <w:color w:val="auto"/>
              </w:rPr>
            </w:pPr>
            <w:r>
              <w:rPr>
                <w:rFonts w:ascii="Arial" w:cs="Arial" w:eastAsia="Arial" w:hAnsi="Arial"/>
                <w:sz w:val="18"/>
                <w:szCs w:val="18"/>
                <w:color w:val="auto"/>
              </w:rPr>
              <w:t>31(a)</w:t>
            </w:r>
          </w:p>
        </w:tc>
        <w:tc>
          <w:tcPr>
            <w:tcW w:w="10520" w:type="dxa"/>
            <w:vAlign w:val="bottom"/>
          </w:tcPr>
          <w:p>
            <w:pPr>
              <w:ind w:left="420"/>
              <w:spacing w:after="0"/>
              <w:rPr>
                <w:sz w:val="20"/>
                <w:szCs w:val="20"/>
                <w:color w:val="auto"/>
              </w:rPr>
            </w:pPr>
            <w:r>
              <w:rPr>
                <w:rFonts w:ascii="Arial" w:cs="Arial" w:eastAsia="Arial" w:hAnsi="Arial"/>
                <w:sz w:val="18"/>
                <w:szCs w:val="18"/>
                <w:color w:val="auto"/>
              </w:rPr>
              <w:t>Certification of CEO pursuant to Rule 13a-14(a) or Rule 15d-14(a).</w:t>
            </w:r>
          </w:p>
        </w:tc>
      </w:tr>
      <w:tr>
        <w:trPr>
          <w:trHeight w:val="311"/>
        </w:trPr>
        <w:tc>
          <w:tcPr>
            <w:tcW w:w="840" w:type="dxa"/>
            <w:vAlign w:val="bottom"/>
          </w:tcPr>
          <w:p>
            <w:pPr>
              <w:spacing w:after="0"/>
              <w:rPr>
                <w:sz w:val="20"/>
                <w:szCs w:val="20"/>
                <w:color w:val="auto"/>
              </w:rPr>
            </w:pPr>
            <w:r>
              <w:rPr>
                <w:rFonts w:ascii="Arial" w:cs="Arial" w:eastAsia="Arial" w:hAnsi="Arial"/>
                <w:sz w:val="18"/>
                <w:szCs w:val="18"/>
                <w:color w:val="auto"/>
              </w:rPr>
              <w:t>31(b)</w:t>
            </w:r>
          </w:p>
        </w:tc>
        <w:tc>
          <w:tcPr>
            <w:tcW w:w="10520" w:type="dxa"/>
            <w:vAlign w:val="bottom"/>
          </w:tcPr>
          <w:p>
            <w:pPr>
              <w:ind w:left="420"/>
              <w:spacing w:after="0"/>
              <w:rPr>
                <w:sz w:val="20"/>
                <w:szCs w:val="20"/>
                <w:color w:val="auto"/>
              </w:rPr>
            </w:pPr>
            <w:r>
              <w:rPr>
                <w:rFonts w:ascii="Arial" w:cs="Arial" w:eastAsia="Arial" w:hAnsi="Arial"/>
                <w:sz w:val="18"/>
                <w:szCs w:val="18"/>
                <w:color w:val="auto"/>
              </w:rPr>
              <w:t>Certification of CFO pursuant to Rule 13a-14(a) or Rule 15d-14(a).</w:t>
            </w:r>
          </w:p>
        </w:tc>
      </w:tr>
      <w:tr>
        <w:trPr>
          <w:trHeight w:val="311"/>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10520" w:type="dxa"/>
            <w:vAlign w:val="bottom"/>
          </w:tcPr>
          <w:p>
            <w:pPr>
              <w:ind w:left="420"/>
              <w:spacing w:after="0"/>
              <w:rPr>
                <w:sz w:val="20"/>
                <w:szCs w:val="20"/>
                <w:color w:val="auto"/>
              </w:rPr>
            </w:pPr>
            <w:r>
              <w:rPr>
                <w:rFonts w:ascii="Arial" w:cs="Arial" w:eastAsia="Arial" w:hAnsi="Arial"/>
                <w:sz w:val="18"/>
                <w:szCs w:val="18"/>
                <w:color w:val="auto"/>
              </w:rPr>
              <w:t>Certification of CEO and CFO pursuant to 18 U.S.C. §1350 as adopted pursuant to §906 of the Sarbanes-Oxley Act of 2002.</w:t>
            </w:r>
          </w:p>
        </w:tc>
      </w:tr>
      <w:tr>
        <w:trPr>
          <w:trHeight w:val="302"/>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520" w:type="dxa"/>
            <w:vAlign w:val="bottom"/>
          </w:tcPr>
          <w:p>
            <w:pPr>
              <w:ind w:left="420"/>
              <w:spacing w:after="0"/>
              <w:rPr>
                <w:sz w:val="20"/>
                <w:szCs w:val="20"/>
                <w:color w:val="auto"/>
              </w:rPr>
            </w:pPr>
            <w:r>
              <w:rPr>
                <w:rFonts w:ascii="Arial" w:cs="Arial" w:eastAsia="Arial" w:hAnsi="Arial"/>
                <w:sz w:val="18"/>
                <w:szCs w:val="18"/>
                <w:color w:val="auto"/>
                <w:w w:val="97"/>
              </w:rPr>
              <w:t>Order under Section 36 of the Securities Exchange Act of 1934 Granting Exemptions from Certain Provisions of the Act and Rules</w:t>
            </w:r>
          </w:p>
        </w:tc>
      </w:tr>
    </w:tbl>
    <w:p>
      <w:pPr>
        <w:ind w:left="1260"/>
        <w:spacing w:after="0"/>
        <w:rPr>
          <w:sz w:val="20"/>
          <w:szCs w:val="20"/>
          <w:color w:val="auto"/>
        </w:rPr>
      </w:pPr>
      <w:r>
        <w:rPr>
          <w:rFonts w:ascii="Arial" w:cs="Arial" w:eastAsia="Arial" w:hAnsi="Arial"/>
          <w:sz w:val="18"/>
          <w:szCs w:val="18"/>
          <w:color w:val="auto"/>
        </w:rPr>
        <w:t>Thereunder, dated April 11, 2002 (Release No. 45730).</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Incorporated by reference to Exhibit 99.2 to Registrant’s Current Report on Form 8-K dated April 11, 2002.</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4220" w:type="dxa"/>
            <w:vAlign w:val="bottom"/>
          </w:tcPr>
          <w:p>
            <w:pPr>
              <w:ind w:left="260"/>
              <w:spacing w:after="0"/>
              <w:rPr>
                <w:sz w:val="20"/>
                <w:szCs w:val="20"/>
                <w:color w:val="auto"/>
              </w:rPr>
            </w:pPr>
            <w:r>
              <w:rPr>
                <w:rFonts w:ascii="Arial" w:cs="Arial" w:eastAsia="Arial" w:hAnsi="Arial"/>
                <w:sz w:val="18"/>
                <w:szCs w:val="18"/>
                <w:color w:val="auto"/>
                <w:w w:val="99"/>
              </w:rPr>
              <w:t>XBRL Taxonomy Extension Calculation Linkbase.</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422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422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422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4220" w:type="dxa"/>
            <w:vAlign w:val="bottom"/>
          </w:tcPr>
          <w:p>
            <w:pPr>
              <w:ind w:left="260"/>
              <w:spacing w:after="0"/>
              <w:rPr>
                <w:sz w:val="20"/>
                <w:szCs w:val="20"/>
                <w:color w:val="auto"/>
              </w:rPr>
            </w:pPr>
            <w:r>
              <w:rPr>
                <w:rFonts w:ascii="Arial" w:cs="Arial" w:eastAsia="Arial" w:hAnsi="Arial"/>
                <w:sz w:val="18"/>
                <w:szCs w:val="18"/>
                <w:color w:val="auto"/>
                <w:w w:val="96"/>
              </w:rPr>
              <w:t>XBRL Taxonomy Extension Presentation Linkbase.</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4220" w:type="dxa"/>
            <w:vAlign w:val="bottom"/>
          </w:tcPr>
          <w:p>
            <w:pPr>
              <w:ind w:left="260"/>
              <w:spacing w:after="0"/>
              <w:rPr>
                <w:sz w:val="20"/>
                <w:szCs w:val="20"/>
                <w:color w:val="auto"/>
              </w:rPr>
            </w:pPr>
            <w:r>
              <w:rPr>
                <w:rFonts w:ascii="Arial" w:cs="Arial" w:eastAsia="Arial" w:hAnsi="Arial"/>
                <w:sz w:val="18"/>
                <w:szCs w:val="18"/>
                <w:color w:val="auto"/>
              </w:rPr>
              <w:t>XBRL Taxonomy Extension Schema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8865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20" w:lineRule="exact"/>
        <w:rPr>
          <w:sz w:val="20"/>
          <w:szCs w:val="20"/>
          <w:color w:val="auto"/>
        </w:rPr>
      </w:pPr>
    </w:p>
    <w:p>
      <w:pPr>
        <w:jc w:val="both"/>
        <w:ind w:left="460" w:hanging="452"/>
        <w:spacing w:after="0" w:line="23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Pursuant to the Freedom of Information Act and/or a request for confidential treatment filed with the Securities and Exchange Commission under Rule 24b-2 of the Securities Exchange Act of 1934, as amended, the confidential portion of this material has been omitted and filed separately with the Securities and Exchange Commission.</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1269BC"/>
        </w:rPr>
        <w:t>EXHIBIT 4(j)(4)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SUPPLEMENTAL INDENTURE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4.70% Senior Notes Due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5.20% Senior Notes due 2015</w:t>
      </w:r>
    </w:p>
    <w:p>
      <w:pPr>
        <w:spacing w:after="0" w:line="158" w:lineRule="exact"/>
        <w:rPr>
          <w:sz w:val="20"/>
          <w:szCs w:val="20"/>
          <w:color w:val="auto"/>
        </w:rPr>
      </w:pPr>
    </w:p>
    <w:p>
      <w:pPr>
        <w:ind w:right="80" w:firstLine="913"/>
        <w:spacing w:after="0" w:line="273" w:lineRule="auto"/>
        <w:rPr>
          <w:sz w:val="20"/>
          <w:szCs w:val="20"/>
          <w:color w:val="auto"/>
        </w:rPr>
      </w:pPr>
      <w:r>
        <w:rPr>
          <w:rFonts w:ascii="Arial" w:cs="Arial" w:eastAsia="Arial" w:hAnsi="Arial"/>
          <w:sz w:val="16"/>
          <w:szCs w:val="16"/>
          <w:color w:val="auto"/>
        </w:rPr>
        <w:t>THIRD SUPPLEMENTAL INDENTURE, dated as of February 5, 2010, to the Indenture dated as of June 6, 2005 (the “Base Indenture” and, as amended and supplemented to the date hereof, the “Indenture”), between Boulder Acquisition Corp., a corporation duly organized and existing under the laws of Delaware (the “Company”), the successor to Affiliated Computer Services, Inc. (the “Predecessor”), and Wilmington Trust Company, as trustee (the “Trustee”) (as successor to The Bank of New York Trust Company, N.A. (“BONY”), pursuant to that certain Instrument of Resignation, Appointment and Acceptance dated as of December 19, 2006, among the Predecessor, the Trustee and BONY).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58" w:lineRule="exact"/>
        <w:rPr>
          <w:sz w:val="20"/>
          <w:szCs w:val="20"/>
          <w:color w:val="auto"/>
        </w:rPr>
      </w:pPr>
    </w:p>
    <w:p>
      <w:pPr>
        <w:ind w:right="20" w:firstLine="913"/>
        <w:spacing w:after="0" w:line="238" w:lineRule="auto"/>
        <w:rPr>
          <w:sz w:val="20"/>
          <w:szCs w:val="20"/>
          <w:color w:val="auto"/>
        </w:rPr>
      </w:pPr>
      <w:r>
        <w:rPr>
          <w:rFonts w:ascii="Arial" w:cs="Arial" w:eastAsia="Arial" w:hAnsi="Arial"/>
          <w:sz w:val="18"/>
          <w:szCs w:val="18"/>
          <w:color w:val="auto"/>
        </w:rPr>
        <w:t>WHEREAS, the Predecessor and BONY have heretofore executed and delivered the Indenture to provide for the future issuance of the Predecessor’s unsecured debt securities to be issued from time to time in one or more series as might be determined by the Predecessor under the Indenture, in an unlimited aggregate principal amount which may be authenticated and delivered as provided in the Indenture;</w:t>
      </w:r>
    </w:p>
    <w:p>
      <w:pPr>
        <w:spacing w:after="0" w:line="154" w:lineRule="exact"/>
        <w:rPr>
          <w:sz w:val="20"/>
          <w:szCs w:val="20"/>
          <w:color w:val="auto"/>
        </w:rPr>
      </w:pPr>
    </w:p>
    <w:p>
      <w:pPr>
        <w:ind w:right="20" w:firstLine="913"/>
        <w:spacing w:after="0" w:line="238" w:lineRule="auto"/>
        <w:rPr>
          <w:sz w:val="20"/>
          <w:szCs w:val="20"/>
          <w:color w:val="auto"/>
        </w:rPr>
      </w:pPr>
      <w:r>
        <w:rPr>
          <w:rFonts w:ascii="Arial" w:cs="Arial" w:eastAsia="Arial" w:hAnsi="Arial"/>
          <w:sz w:val="18"/>
          <w:szCs w:val="18"/>
          <w:color w:val="auto"/>
        </w:rPr>
        <w:t>WHEREAS, the Predecessor and BONY have heretofore executed and delivered the First Supplemental Indenture, dated as of June 6, 2005 (the “First Supplemental Indenture”), pursuant to which the Predecessor has issued its 4.70% Senior Notes due 2010, in the aggregate amount of $250,000,000 (the “2010 Notes”);</w:t>
      </w:r>
    </w:p>
    <w:p>
      <w:pPr>
        <w:spacing w:after="0" w:line="154" w:lineRule="exact"/>
        <w:rPr>
          <w:sz w:val="20"/>
          <w:szCs w:val="20"/>
          <w:color w:val="auto"/>
        </w:rPr>
      </w:pPr>
    </w:p>
    <w:p>
      <w:pPr>
        <w:jc w:val="both"/>
        <w:ind w:right="380" w:firstLine="913"/>
        <w:spacing w:after="0" w:line="238" w:lineRule="auto"/>
        <w:rPr>
          <w:sz w:val="20"/>
          <w:szCs w:val="20"/>
          <w:color w:val="auto"/>
        </w:rPr>
      </w:pPr>
      <w:r>
        <w:rPr>
          <w:rFonts w:ascii="Arial" w:cs="Arial" w:eastAsia="Arial" w:hAnsi="Arial"/>
          <w:sz w:val="18"/>
          <w:szCs w:val="18"/>
          <w:color w:val="auto"/>
        </w:rPr>
        <w:t>WHEREAS, the Predecessor and BONY have heretofore executed and delivered the Second Supplemental Indenture, dated as of June 6, 2005 (the “Second Supplemental Indenture”), pursuant to which the Predecessor has issued its 5.20% Senior Notes due 2015, in the aggregate amount of $250,000,000 (the “2015 Notes”, and together with the 2010 Notes, the “Notes”);</w:t>
      </w:r>
    </w:p>
    <w:p>
      <w:pPr>
        <w:spacing w:after="0" w:line="154" w:lineRule="exact"/>
        <w:rPr>
          <w:sz w:val="20"/>
          <w:szCs w:val="20"/>
          <w:color w:val="auto"/>
        </w:rPr>
      </w:pPr>
    </w:p>
    <w:p>
      <w:pPr>
        <w:ind w:right="100" w:firstLine="913"/>
        <w:spacing w:after="0" w:line="239" w:lineRule="auto"/>
        <w:rPr>
          <w:sz w:val="20"/>
          <w:szCs w:val="20"/>
          <w:color w:val="auto"/>
        </w:rPr>
      </w:pPr>
      <w:r>
        <w:rPr>
          <w:rFonts w:ascii="Arial" w:cs="Arial" w:eastAsia="Arial" w:hAnsi="Arial"/>
          <w:sz w:val="18"/>
          <w:szCs w:val="18"/>
          <w:color w:val="auto"/>
        </w:rPr>
        <w:t>WHEREAS, the Predecessor has merged with and into the Company as of February 5, 2010 with the Company surviving such merger (the “Merger”) and continuing to be the issuer of the Notes;</w:t>
      </w:r>
    </w:p>
    <w:p>
      <w:pPr>
        <w:spacing w:after="0" w:line="155" w:lineRule="exact"/>
        <w:rPr>
          <w:sz w:val="20"/>
          <w:szCs w:val="20"/>
          <w:color w:val="auto"/>
        </w:rPr>
      </w:pPr>
    </w:p>
    <w:p>
      <w:pPr>
        <w:ind w:right="580" w:firstLine="913"/>
        <w:spacing w:after="0" w:line="239" w:lineRule="auto"/>
        <w:rPr>
          <w:sz w:val="20"/>
          <w:szCs w:val="20"/>
          <w:color w:val="auto"/>
        </w:rPr>
      </w:pPr>
      <w:r>
        <w:rPr>
          <w:rFonts w:ascii="Arial" w:cs="Arial" w:eastAsia="Arial" w:hAnsi="Arial"/>
          <w:sz w:val="18"/>
          <w:szCs w:val="18"/>
          <w:color w:val="auto"/>
        </w:rPr>
        <w:t>WHEREAS, pursuant to Section 9.01 of the Indenture, the Company and the Trustee may amend and supplement the Indenture without the consent of any Holder of the Notes to evidence the succession of another Person to the Predecessor;</w:t>
      </w:r>
    </w:p>
    <w:p>
      <w:pPr>
        <w:spacing w:after="0" w:line="155" w:lineRule="exact"/>
        <w:rPr>
          <w:sz w:val="20"/>
          <w:szCs w:val="20"/>
          <w:color w:val="auto"/>
        </w:rPr>
      </w:pPr>
    </w:p>
    <w:p>
      <w:pPr>
        <w:ind w:right="160" w:firstLine="913"/>
        <w:spacing w:after="0" w:line="237" w:lineRule="auto"/>
        <w:rPr>
          <w:sz w:val="20"/>
          <w:szCs w:val="20"/>
          <w:color w:val="auto"/>
        </w:rPr>
      </w:pPr>
      <w:r>
        <w:rPr>
          <w:rFonts w:ascii="Arial" w:cs="Arial" w:eastAsia="Arial" w:hAnsi="Arial"/>
          <w:sz w:val="18"/>
          <w:szCs w:val="18"/>
          <w:color w:val="auto"/>
        </w:rPr>
        <w:t>WHEREAS, the Company has determined to enter into, and has requested the Trustee to execute, this Third Supplemental Indenture for the purpose of confirming that the Company, as successor in the Merger, assumes the obligations under the Base Indenture, the First Supplemental Indenture, the Second Supplemental Indenture and the Notes, as provided in Section 501 of the First Supplemental Indenture and the Second Supplemental Indenture;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9" w:name="page50"/>
    <w:bookmarkEnd w:id="49"/>
    <w:p>
      <w:pPr>
        <w:ind w:right="280" w:firstLine="913"/>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the Predecessor has delivered to the Trustee an Officers’ Certificate as well as an Opinion of Counsel pursuant to Section 501 of the First Supplemental Indenture and the Second Supplemental Indenture and Sections 9.06 and 10.04 of the Indenture to the effect that the Merger and the execution and delivery of this Third Supplemental Indenture by the Company comply with the Indenture, the First Supplemental Indenture, the Second Supplemental Indenture and the Notes; and</w:t>
      </w:r>
    </w:p>
    <w:p>
      <w:pPr>
        <w:spacing w:after="0" w:line="155" w:lineRule="exact"/>
        <w:rPr>
          <w:sz w:val="20"/>
          <w:szCs w:val="20"/>
          <w:color w:val="auto"/>
        </w:rPr>
      </w:pPr>
    </w:p>
    <w:p>
      <w:pPr>
        <w:ind w:right="80" w:firstLine="913"/>
        <w:spacing w:after="0" w:line="238" w:lineRule="auto"/>
        <w:rPr>
          <w:sz w:val="20"/>
          <w:szCs w:val="20"/>
          <w:color w:val="auto"/>
        </w:rPr>
      </w:pPr>
      <w:r>
        <w:rPr>
          <w:rFonts w:ascii="Arial" w:cs="Arial" w:eastAsia="Arial" w:hAnsi="Arial"/>
          <w:sz w:val="18"/>
          <w:szCs w:val="18"/>
          <w:color w:val="auto"/>
        </w:rPr>
        <w:t>WHEREAS, all other acts and proceedings required by law, by the Indenture and by the charter documents of the Company to make this Third Supplemental Indenture a valid and binding agreement for the purposes expressed herein, in accordance with its terms, have been duly done and performed.</w:t>
      </w:r>
    </w:p>
    <w:p>
      <w:pPr>
        <w:spacing w:after="0" w:line="154" w:lineRule="exact"/>
        <w:rPr>
          <w:sz w:val="20"/>
          <w:szCs w:val="20"/>
          <w:color w:val="auto"/>
        </w:rPr>
      </w:pPr>
    </w:p>
    <w:p>
      <w:pPr>
        <w:ind w:right="260" w:firstLine="913"/>
        <w:spacing w:after="0" w:line="239" w:lineRule="auto"/>
        <w:rPr>
          <w:sz w:val="20"/>
          <w:szCs w:val="20"/>
          <w:color w:val="auto"/>
        </w:rPr>
      </w:pPr>
      <w:r>
        <w:rPr>
          <w:rFonts w:ascii="Arial" w:cs="Arial" w:eastAsia="Arial" w:hAnsi="Arial"/>
          <w:sz w:val="18"/>
          <w:szCs w:val="18"/>
          <w:color w:val="auto"/>
        </w:rPr>
        <w:t>NOW, THEREFORE, in consideration of the premises and the covenants and agreements contained herein, and for other good and valuable consideration the receipt of which is hereby acknowledged, the Company and the Trustee hereby agree as follows: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RATIFICATION; DEFINITIONS</w:t>
      </w:r>
    </w:p>
    <w:p>
      <w:pPr>
        <w:spacing w:after="0" w:line="158" w:lineRule="exact"/>
        <w:rPr>
          <w:sz w:val="20"/>
          <w:szCs w:val="20"/>
          <w:color w:val="auto"/>
        </w:rPr>
      </w:pPr>
    </w:p>
    <w:p>
      <w:pPr>
        <w:ind w:right="140" w:firstLine="913"/>
        <w:spacing w:after="0" w:line="28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Third Supplemental Indenture</w:t>
      </w:r>
      <w:r>
        <w:rPr>
          <w:rFonts w:ascii="Arial" w:cs="Arial" w:eastAsia="Arial" w:hAnsi="Arial"/>
          <w:sz w:val="16"/>
          <w:szCs w:val="16"/>
          <w:color w:val="auto"/>
        </w:rPr>
        <w:t>. This Third Supplemental Indenture is supplemental to, and is entered into in accordance with Section 9.01 of the Indenture, and except as expressly modified, amended and supplemented by this Third Supplemental Indenture, all the terms, conditions and provisions of the Indenture are in all respects ratified and confirmed and shall remain in full force and effect.</w:t>
      </w:r>
    </w:p>
    <w:p>
      <w:pPr>
        <w:spacing w:after="0" w:line="124" w:lineRule="exact"/>
        <w:rPr>
          <w:sz w:val="20"/>
          <w:szCs w:val="20"/>
          <w:color w:val="auto"/>
        </w:rPr>
      </w:pPr>
    </w:p>
    <w:p>
      <w:pPr>
        <w:ind w:right="140" w:firstLine="913"/>
        <w:spacing w:after="0" w:line="299"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Definitions</w:t>
      </w:r>
      <w:r>
        <w:rPr>
          <w:rFonts w:ascii="Arial" w:cs="Arial" w:eastAsia="Arial" w:hAnsi="Arial"/>
          <w:sz w:val="16"/>
          <w:szCs w:val="16"/>
          <w:color w:val="auto"/>
        </w:rPr>
        <w:t>. Unless the context shall otherwise require, all terms which are defined in Section 1.01 of the Indenture shall have the same meanings, respectively, in this Third Supplemental Indenture as such terms are given in said Section 1.01 of the Indenture.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ASSUMPTION OF OBLIGATIONS</w:t>
      </w:r>
    </w:p>
    <w:p>
      <w:pPr>
        <w:spacing w:after="0" w:line="158" w:lineRule="exact"/>
        <w:rPr>
          <w:sz w:val="20"/>
          <w:szCs w:val="20"/>
          <w:color w:val="auto"/>
        </w:rPr>
      </w:pPr>
    </w:p>
    <w:p>
      <w:pPr>
        <w:ind w:firstLine="913"/>
        <w:spacing w:after="0" w:line="23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Assumption of Obligations under Indenture and 2010 Notes</w:t>
      </w:r>
      <w:r>
        <w:rPr>
          <w:rFonts w:ascii="Arial" w:cs="Arial" w:eastAsia="Arial" w:hAnsi="Arial"/>
          <w:sz w:val="18"/>
          <w:szCs w:val="18"/>
          <w:color w:val="auto"/>
        </w:rPr>
        <w:t xml:space="preserve"> . Pursuant to Section 501 of the First Supplemental Indenture, the Company, as successor in the Merger, expressly assumes the due and punctual payment of the principal of (and premium, if any) and interest on all the 2010 Notes and the performance of the Predecessor’s covenants and obligations under the Base Indenture, the First Supplemental Indenture and the 2010 Notes.</w:t>
      </w:r>
    </w:p>
    <w:p>
      <w:pPr>
        <w:spacing w:after="0" w:line="155" w:lineRule="exact"/>
        <w:rPr>
          <w:sz w:val="20"/>
          <w:szCs w:val="20"/>
          <w:color w:val="auto"/>
        </w:rPr>
      </w:pPr>
    </w:p>
    <w:p>
      <w:pPr>
        <w:ind w:right="220" w:firstLine="913"/>
        <w:spacing w:after="0" w:line="23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Assumption of Obligations under Indenture and 2015 Notes</w:t>
      </w:r>
      <w:r>
        <w:rPr>
          <w:rFonts w:ascii="Arial" w:cs="Arial" w:eastAsia="Arial" w:hAnsi="Arial"/>
          <w:sz w:val="18"/>
          <w:szCs w:val="18"/>
          <w:color w:val="auto"/>
        </w:rPr>
        <w:t>. Pursuant to Section 501 of the Second Supplemental Indenture, the Company, as successor in the Merger, expressly assumes the due and punctual payment of the principal of (and premium, if any) and interest on all the 2015 Notes and the performance of the Predecessor’s covenants and obligations under the Base Indenture, the Second Supplemental Indenture and the 2015 Notes.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91" w:right="279" w:bottom="1440" w:gutter="0" w:footer="0" w:header="0"/>
        </w:sectPr>
      </w:pPr>
    </w:p>
    <w:bookmarkStart w:id="50" w:name="page51"/>
    <w:bookmarkEnd w:id="50"/>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MISCELLANEOUS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Third Supplemental Indenture shall become effective as of the date hereof.</w:t>
      </w:r>
    </w:p>
    <w:p>
      <w:pPr>
        <w:spacing w:after="0" w:line="158" w:lineRule="exact"/>
        <w:rPr>
          <w:sz w:val="20"/>
          <w:szCs w:val="20"/>
          <w:color w:val="auto"/>
        </w:rPr>
      </w:pPr>
    </w:p>
    <w:p>
      <w:pPr>
        <w:ind w:firstLine="913"/>
        <w:spacing w:after="0" w:line="23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Third Supplemental Indenture may be executed in any number of counterparts, each of which shall be an original; but such counterparts shall constitute but one and the same instrument.</w:t>
      </w:r>
    </w:p>
    <w:p>
      <w:pPr>
        <w:spacing w:after="0" w:line="155" w:lineRule="exact"/>
        <w:rPr>
          <w:sz w:val="20"/>
          <w:szCs w:val="20"/>
          <w:color w:val="auto"/>
        </w:rPr>
      </w:pPr>
    </w:p>
    <w:p>
      <w:pPr>
        <w:ind w:right="140" w:firstLine="913"/>
        <w:spacing w:after="0" w:line="236"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Acceptance</w:t>
      </w:r>
      <w:r>
        <w:rPr>
          <w:rFonts w:ascii="Arial" w:cs="Arial" w:eastAsia="Arial" w:hAnsi="Arial"/>
          <w:sz w:val="18"/>
          <w:szCs w:val="18"/>
          <w:color w:val="auto"/>
        </w:rPr>
        <w:t>. The Trustee accepts the Indenture, as supplemented by this Third Supplemental Indenture, and agrees to perform the same upon the terms and conditions set forth therein as so supplemented. The Trustee shall not be responsible in any manner whatsoever for or in respect of the validity or sufficiency of this Third Supplemental Indenture or the due execution thereof by the Company or in respect of the recitals contained herein, all of which are made solely by the Company. In entering into this Third Supplemental Indenture, the Trustee shall be entitled to the benefit of every provision of the Indenture and the Notes relating to the conduct or affecting the liability or affording protection to the Trustee, whether or not elsewhere herein so provided.</w:t>
      </w:r>
    </w:p>
    <w:p>
      <w:pPr>
        <w:spacing w:after="0" w:line="156" w:lineRule="exact"/>
        <w:rPr>
          <w:sz w:val="20"/>
          <w:szCs w:val="20"/>
          <w:color w:val="auto"/>
        </w:rPr>
      </w:pPr>
    </w:p>
    <w:p>
      <w:pPr>
        <w:ind w:right="340" w:firstLine="913"/>
        <w:spacing w:after="0" w:line="239"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Third Supplemental Indenture by the Company or the Trustee shall bind their respective successors and assigns, whether so expressed or not.</w:t>
      </w:r>
    </w:p>
    <w:p>
      <w:pPr>
        <w:spacing w:after="0" w:line="155" w:lineRule="exact"/>
        <w:rPr>
          <w:sz w:val="20"/>
          <w:szCs w:val="20"/>
          <w:color w:val="auto"/>
        </w:rPr>
      </w:pPr>
    </w:p>
    <w:p>
      <w:pPr>
        <w:ind w:right="60" w:firstLine="913"/>
        <w:spacing w:after="0" w:line="23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Third Supplemental Indenture or in the Notes shall for any reason be held to be invalid, illegal or unenforceable in any respect, such invalidity, illegality or unenforceability shall not affect any other provisions of this Third Supplemental Indenture or of the Notes, but this Third Supplemental Indenture and the Notes shall be construed as if such invalid or illegal or unenforceable provision had never been contained herein or therein.</w:t>
      </w:r>
    </w:p>
    <w:p>
      <w:pPr>
        <w:spacing w:after="0" w:line="155" w:lineRule="exact"/>
        <w:rPr>
          <w:sz w:val="20"/>
          <w:szCs w:val="20"/>
          <w:color w:val="auto"/>
        </w:rPr>
      </w:pPr>
    </w:p>
    <w:p>
      <w:pPr>
        <w:ind w:right="200" w:firstLine="913"/>
        <w:spacing w:after="0" w:line="238"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Third Supplemental Indenture and the Notes shall be construed in accordance with and governed by the laws of the State of New York. This Third Supplemental Indenture is subject to the provisions of the Trust Indenture Act of 1939, as amended, and shall, to the extent applicable, be governed by such provisions.</w:t>
      </w:r>
    </w:p>
    <w:p>
      <w:pPr>
        <w:spacing w:after="0" w:line="154" w:lineRule="exact"/>
        <w:rPr>
          <w:sz w:val="20"/>
          <w:szCs w:val="20"/>
          <w:color w:val="auto"/>
        </w:rPr>
      </w:pPr>
    </w:p>
    <w:p>
      <w:pPr>
        <w:jc w:val="both"/>
        <w:ind w:right="200" w:firstLine="913"/>
        <w:spacing w:after="0" w:line="238"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Incorporation into Indenture</w:t>
      </w:r>
      <w:r>
        <w:rPr>
          <w:rFonts w:ascii="Arial" w:cs="Arial" w:eastAsia="Arial" w:hAnsi="Arial"/>
          <w:sz w:val="18"/>
          <w:szCs w:val="18"/>
          <w:color w:val="auto"/>
        </w:rPr>
        <w:t>. All provisions of this Third Supplemental Indenture shall be deemed to be incorporated in, and made a part of, the Indenture; and the Indenture, as amended and supplemented by this Third Supplemental Indenture, shall be read, taken and construed as one and the same instrument.</w:t>
      </w:r>
    </w:p>
    <w:p>
      <w:pPr>
        <w:spacing w:after="0" w:line="154" w:lineRule="exact"/>
        <w:rPr>
          <w:sz w:val="20"/>
          <w:szCs w:val="20"/>
          <w:color w:val="auto"/>
        </w:rPr>
      </w:pPr>
    </w:p>
    <w:p>
      <w:pPr>
        <w:ind w:right="280" w:firstLine="913"/>
        <w:spacing w:after="0" w:line="238"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No Benefit</w:t>
      </w:r>
      <w:r>
        <w:rPr>
          <w:rFonts w:ascii="Arial" w:cs="Arial" w:eastAsia="Arial" w:hAnsi="Arial"/>
          <w:sz w:val="18"/>
          <w:szCs w:val="18"/>
          <w:color w:val="auto"/>
        </w:rPr>
        <w:t>. Nothing in this Third Supplemental Indenture, express or implied, shall give to any Person other than the parties hereto and their successors or assigns, and the Holders of the Notes, any benefit or legal or equitable rights, remedy or claim under this Third Supplemental Indenture, the Base Indenture or the Notes.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91" w:right="259" w:bottom="1440" w:gutter="0" w:footer="0" w:header="0"/>
        </w:sectPr>
      </w:pPr>
    </w:p>
    <w:bookmarkStart w:id="51" w:name="page52"/>
    <w:bookmarkEnd w:id="51"/>
    <w:p>
      <w:pPr>
        <w:ind w:firstLine="913"/>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3.09. </w:t>
      </w:r>
      <w:r>
        <w:rPr>
          <w:rFonts w:ascii="Arial" w:cs="Arial" w:eastAsia="Arial" w:hAnsi="Arial"/>
          <w:sz w:val="18"/>
          <w:szCs w:val="18"/>
          <w:u w:val="single" w:color="auto"/>
          <w:color w:val="auto"/>
        </w:rPr>
        <w:t>References to Supplemental Indenture</w:t>
      </w:r>
      <w:r>
        <w:rPr>
          <w:rFonts w:ascii="Arial" w:cs="Arial" w:eastAsia="Arial" w:hAnsi="Arial"/>
          <w:sz w:val="18"/>
          <w:szCs w:val="18"/>
          <w:color w:val="auto"/>
        </w:rPr>
        <w:t>. Any and all notices, requests, certificates and other instruments executed and delivered after the execution and delivery of this Third Supplemental Indenture may refer to the Indenture without making specific reference to this Third Supplemental Indenture, but nevertheless all such references shall include this Third Supplemental Indenture unless the context requires otherwise.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91" w:right="339" w:bottom="1440" w:gutter="0" w:footer="0" w:header="0"/>
        </w:sectPr>
      </w:pPr>
    </w:p>
    <w:bookmarkStart w:id="52" w:name="page53"/>
    <w:bookmarkEnd w:id="52"/>
    <w:p>
      <w:pPr>
        <w:ind w:firstLine="913"/>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Third Supplemental Indenture to be duly executed, all as of the day and year first above written.</w:t>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BOULDER ACQUISITION CORP.</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Lawrence A.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55245</wp:posOffset>
            </wp:positionV>
            <wp:extent cx="27616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7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Lawrence A. Zimmerman</w:t>
      </w:r>
    </w:p>
    <w:p>
      <w:pPr>
        <w:ind w:left="7140"/>
        <w:spacing w:after="0"/>
        <w:tabs>
          <w:tab w:leader="none" w:pos="7680" w:val="left"/>
        </w:tabs>
        <w:rPr>
          <w:sz w:val="20"/>
          <w:szCs w:val="20"/>
          <w:color w:val="auto"/>
        </w:rPr>
      </w:pPr>
      <w:r>
        <w:rPr>
          <w:rFonts w:ascii="Arial" w:cs="Arial" w:eastAsia="Arial" w:hAnsi="Arial"/>
          <w:sz w:val="18"/>
          <w:szCs w:val="18"/>
          <w:color w:val="auto"/>
        </w:rPr>
        <w:t>Title:</w:t>
        <w:tab/>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[Third Supplemental Indenture]</w:t>
      </w:r>
    </w:p>
    <w:p>
      <w:pPr>
        <w:sectPr>
          <w:pgSz w:w="11900" w:h="16838" w:orient="portrait"/>
          <w:cols w:equalWidth="0" w:num="1">
            <w:col w:w="11300"/>
          </w:cols>
          <w:pgMar w:left="240" w:top="291" w:right="359" w:bottom="1440" w:gutter="0" w:footer="0" w:header="0"/>
        </w:sectPr>
      </w:pPr>
    </w:p>
    <w:bookmarkStart w:id="53" w:name="page54"/>
    <w:bookmarkEnd w:id="5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WILMINGTON TRUST COMPANY,</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Denise M. Geran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55245</wp:posOffset>
            </wp:positionV>
            <wp:extent cx="27616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7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Denise M. Geran</w:t>
      </w:r>
    </w:p>
    <w:p>
      <w:pPr>
        <w:ind w:left="5940"/>
        <w:spacing w:after="0"/>
        <w:tabs>
          <w:tab w:leader="none" w:pos="64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[Third Supplemental Indenture]</w:t>
      </w:r>
    </w:p>
    <w:p>
      <w:pPr>
        <w:sectPr>
          <w:pgSz w:w="11900" w:h="16838" w:orient="portrait"/>
          <w:cols w:equalWidth="0" w:num="1">
            <w:col w:w="9019"/>
          </w:cols>
          <w:pgMar w:left="1440" w:top="291"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1269BC"/>
        </w:rPr>
        <w:t>EXHIBIT 10(a)(1)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60325</wp:posOffset>
            </wp:positionV>
            <wp:extent cx="1071880" cy="308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7188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320"/>
        <w:spacing w:after="0"/>
        <w:rPr>
          <w:sz w:val="20"/>
          <w:szCs w:val="20"/>
          <w:color w:val="auto"/>
        </w:rPr>
      </w:pPr>
      <w:r>
        <w:rPr>
          <w:rFonts w:ascii="Arial" w:cs="Arial" w:eastAsia="Arial" w:hAnsi="Arial"/>
          <w:sz w:val="18"/>
          <w:szCs w:val="18"/>
          <w:b w:val="1"/>
          <w:bCs w:val="1"/>
          <w:color w:val="1269BC"/>
        </w:rPr>
        <w:t>Sender’s Name</w:t>
      </w:r>
    </w:p>
    <w:p>
      <w:pPr>
        <w:spacing w:after="0" w:line="13" w:lineRule="exact"/>
        <w:rPr>
          <w:sz w:val="20"/>
          <w:szCs w:val="20"/>
          <w:color w:val="auto"/>
        </w:rPr>
      </w:pPr>
    </w:p>
    <w:p>
      <w:pPr>
        <w:ind w:left="9320"/>
        <w:spacing w:after="0"/>
        <w:rPr>
          <w:sz w:val="20"/>
          <w:szCs w:val="20"/>
          <w:color w:val="auto"/>
        </w:rPr>
      </w:pPr>
      <w:r>
        <w:rPr>
          <w:rFonts w:ascii="Arial" w:cs="Arial" w:eastAsia="Arial" w:hAnsi="Arial"/>
          <w:sz w:val="18"/>
          <w:szCs w:val="18"/>
          <w:i w:val="1"/>
          <w:iCs w:val="1"/>
          <w:color w:val="auto"/>
        </w:rPr>
        <w:t>Sender’s Title</w:t>
      </w:r>
    </w:p>
    <w:p>
      <w:pPr>
        <w:ind w:left="9320"/>
        <w:spacing w:after="0"/>
        <w:rPr>
          <w:sz w:val="20"/>
          <w:szCs w:val="20"/>
          <w:color w:val="auto"/>
        </w:rPr>
      </w:pPr>
      <w:r>
        <w:rPr>
          <w:rFonts w:ascii="Arial" w:cs="Arial" w:eastAsia="Arial" w:hAnsi="Arial"/>
          <w:sz w:val="18"/>
          <w:szCs w:val="18"/>
          <w:color w:val="auto"/>
        </w:rPr>
        <w:t>Operating Company</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Xerox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Sender’s address</w:t>
      </w:r>
    </w:p>
    <w:p>
      <w:pPr>
        <w:spacing w:after="0" w:line="104" w:lineRule="exact"/>
        <w:rPr>
          <w:sz w:val="20"/>
          <w:szCs w:val="20"/>
          <w:color w:val="auto"/>
        </w:rPr>
      </w:pPr>
    </w:p>
    <w:p>
      <w:pPr>
        <w:sectPr>
          <w:pgSz w:w="11900" w:h="16838" w:orient="portrait"/>
          <w:cols w:equalWidth="0" w:num="2">
            <w:col w:w="8600" w:space="720"/>
            <w:col w:w="2100"/>
          </w:cols>
          <w:pgMar w:left="240" w:top="121" w:right="239" w:bottom="1440" w:gutter="0" w:footer="0" w:header="0"/>
          <w:type w:val="continuous"/>
        </w:sectPr>
      </w:pPr>
    </w:p>
    <w:p>
      <w:pPr>
        <w:ind w:left="9320"/>
        <w:spacing w:after="0"/>
        <w:rPr>
          <w:sz w:val="20"/>
          <w:szCs w:val="20"/>
          <w:color w:val="auto"/>
        </w:rPr>
      </w:pPr>
      <w:r>
        <w:rPr>
          <w:rFonts w:ascii="Arial" w:cs="Arial" w:eastAsia="Arial" w:hAnsi="Arial"/>
          <w:sz w:val="16"/>
          <w:szCs w:val="16"/>
          <w:color w:val="auto"/>
        </w:rPr>
        <w:t>email.address@xerox.com</w:t>
      </w:r>
    </w:p>
    <w:p>
      <w:pPr>
        <w:spacing w:after="0" w:line="14" w:lineRule="exact"/>
        <w:rPr>
          <w:sz w:val="20"/>
          <w:szCs w:val="20"/>
          <w:color w:val="auto"/>
        </w:rPr>
      </w:pPr>
    </w:p>
    <w:p>
      <w:pPr>
        <w:ind w:left="9320"/>
        <w:spacing w:after="0"/>
        <w:tabs>
          <w:tab w:leader="none" w:pos="9680" w:val="left"/>
        </w:tabs>
        <w:rPr>
          <w:sz w:val="20"/>
          <w:szCs w:val="20"/>
          <w:color w:val="auto"/>
        </w:rPr>
      </w:pPr>
      <w:r>
        <w:rPr>
          <w:rFonts w:ascii="Arial" w:cs="Arial" w:eastAsia="Arial" w:hAnsi="Arial"/>
          <w:sz w:val="18"/>
          <w:szCs w:val="18"/>
          <w:color w:val="auto"/>
        </w:rPr>
        <w:t>tel</w:t>
        <w:tab/>
        <w:t>000.000.0000</w:t>
      </w:r>
    </w:p>
    <w:p>
      <w:pPr>
        <w:ind w:left="9320"/>
        <w:spacing w:after="0"/>
        <w:tabs>
          <w:tab w:leader="none" w:pos="9740" w:val="left"/>
        </w:tabs>
        <w:rPr>
          <w:sz w:val="20"/>
          <w:szCs w:val="20"/>
          <w:color w:val="auto"/>
        </w:rPr>
      </w:pPr>
      <w:r>
        <w:rPr>
          <w:rFonts w:ascii="Arial" w:cs="Arial" w:eastAsia="Arial" w:hAnsi="Arial"/>
          <w:sz w:val="18"/>
          <w:szCs w:val="18"/>
          <w:color w:val="auto"/>
        </w:rPr>
        <w:t>fax</w:t>
        <w:tab/>
        <w:t>000.000.0000</w:t>
      </w:r>
    </w:p>
    <w:p>
      <w:pPr>
        <w:sectPr>
          <w:pgSz w:w="11900" w:h="16838" w:orient="portrait"/>
          <w:cols w:equalWidth="0" w:num="1">
            <w:col w:w="11420"/>
          </w:cols>
          <w:pgMar w:left="240" w:top="121" w:right="23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First Name Last Name</w:t>
      </w:r>
    </w:p>
    <w:p>
      <w:pPr>
        <w:spacing w:after="0" w:line="234" w:lineRule="auto"/>
        <w:rPr>
          <w:sz w:val="20"/>
          <w:szCs w:val="20"/>
          <w:color w:val="auto"/>
        </w:rPr>
      </w:pPr>
      <w:r>
        <w:rPr>
          <w:rFonts w:ascii="Arial" w:cs="Arial" w:eastAsia="Arial" w:hAnsi="Arial"/>
          <w:sz w:val="18"/>
          <w:szCs w:val="18"/>
          <w:i w:val="1"/>
          <w:iCs w:val="1"/>
          <w:color w:val="auto"/>
        </w:rPr>
        <w:t>Title</w:t>
      </w:r>
    </w:p>
    <w:p>
      <w:pPr>
        <w:spacing w:after="0" w:line="235" w:lineRule="auto"/>
        <w:rPr>
          <w:sz w:val="20"/>
          <w:szCs w:val="20"/>
          <w:color w:val="auto"/>
        </w:rPr>
      </w:pPr>
      <w:r>
        <w:rPr>
          <w:rFonts w:ascii="Arial" w:cs="Arial" w:eastAsia="Arial" w:hAnsi="Arial"/>
          <w:sz w:val="18"/>
          <w:szCs w:val="18"/>
          <w:color w:val="auto"/>
        </w:rPr>
        <w:t>Street Address Line 1</w:t>
      </w:r>
    </w:p>
    <w:p>
      <w:pPr>
        <w:spacing w:after="0" w:line="235" w:lineRule="auto"/>
        <w:rPr>
          <w:sz w:val="20"/>
          <w:szCs w:val="20"/>
          <w:color w:val="auto"/>
        </w:rPr>
      </w:pPr>
      <w:r>
        <w:rPr>
          <w:rFonts w:ascii="Arial" w:cs="Arial" w:eastAsia="Arial" w:hAnsi="Arial"/>
          <w:sz w:val="18"/>
          <w:szCs w:val="18"/>
          <w:color w:val="auto"/>
        </w:rPr>
        <w:t>Street Address Line 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Addressee: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summarizes the arrangements for your retirement from Xerox Corporation (the Company).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Last day of active employment: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Salary Continuance Period: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Salary Continuance Amount: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Retirement [or Separation] Date:</w:t>
      </w:r>
    </w:p>
    <w:p>
      <w:pPr>
        <w:spacing w:after="0" w:line="158"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Notwithstanding anything else contained in this letter, if you (or those acting in concert with you) engage in Detrimental Activity as defined in the attached Exhibit, the consequences set forth therein shall apply. This agreement is subject to the approval of the Compensation Committee.</w:t>
      </w:r>
    </w:p>
    <w:p>
      <w:pPr>
        <w:spacing w:after="0" w:line="10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Summarized below are the relevant provisions of the plans and programs in which you participate that apply to your long-term incentive awards, 401(k) savings accounts, pension benefits, life insurance benefits and other benefits arrangements.</w:t>
      </w:r>
    </w:p>
    <w:p>
      <w:pPr>
        <w:spacing w:after="0" w:line="15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[If retirement eligible]Assuming that you will have met the age and service conditions of such plans and programs, you will be treated as a retiree for the purposes thereof effective on your Retirement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9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Stock grants (including stock options) awarded to you prior to the commencement of salary continuance shall continue to vest and/or remain exercisable per the terms of the awards and the relevant plans during your Salary Continuance Period and retirement [or separation]. [You will not be eligible for additional stock awards in 200X].</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[delete if 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Your deferred compensation accounts will be paid out according to the terms of your prior elections.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Savings Account</w:t>
      </w:r>
    </w:p>
    <w:p>
      <w:pPr>
        <w:spacing w:after="0" w:line="9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Under relevant plan provisions, you have choices available regarding the continued investment of your account balances and the time [if retiring add this: and form] of distribution. As a result of IRS regulations, you will not be</w:t>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able to make deferrals into the 401(k) plan while on salary continuance. At the end of your salary continuance period you will have the opportunity to elect how and when the proceeds of your 401(k) will be distributed. Information on these choices will be sent to you by the Benefits Center upon [retirement or separation].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 (ESOP)</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an active employee, you can only take a distribution of ESOP in stock. At separation, your ESOP account can be taken as cash, in stock, or rolled over to the Xerox 401(k) savings plan or your IRA, or you may defer settlement with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(if eligible)</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retirement eligible and a RIGP participant] Effective on your retirement date, you will become a retiree of Xerox. As a retiree, you will receive pension benefits accrued in the Retirement Income Guarantee Plan (RIGP). Your RIGP benefits are projected to provide a lump-sum value of approximately [$X]. Please keep in mind that this is only an estimate and that the actual benefits paid will be per the terms of the plan.</w:t>
      </w:r>
    </w:p>
    <w:p>
      <w:pPr>
        <w:spacing w:after="0" w:line="14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SERP eligible] In addition to your vested RIGP benefit, you will be eligible to receive a benefit under the Unfunded Retirement Income Guarantee Plan (URIGP) and the Unfunded Supplemental Executive Retirement Plan (SERP). Your retirement income benefits under URIGP and SERP are unreduced for commencement at age 60 or later will be offset by your RIGP benefits. Payments will commence at the end of [Month /Year]. As a result, your first payment will equal 7 months worth of payments to include the first 6 months of your Salary Continuance Period plus your [enter 7th month of payment] payment and will reflect your survivor election. All payments will be made in monthly installments on the last day of each month. [For non-US officers: The final SERP amount you will receive will be reduced by certain amounts payable in the same year by the Company or any subsidiary of the Company, as provided under SERP including but not limited to any pension, retirement or post-retirement corporate or statutory benefits that you may receive.] Your URIGP and SERP benefit is estimated to be approximately [$X] per year (based on a 50% joint and survivor annuity). Please keep in mind that this is only an estimate and does not reflect taxes owed. The actual benefits will be paid per the plan’s terms. These URIGP and SERP benefits are unfunded and not tax qualified. This means you are an unsecured general creditor of the Company with respect to these benefits.</w:t>
      </w:r>
    </w:p>
    <w:p>
      <w:pPr>
        <w:spacing w:after="0" w:line="1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URIGP but not SERP eligible] In addition to your vested RIGP benefit, depending on your age at retirement, you will be eligible to receive a benefit under the Unfunded Retirement Income Guarantee Plan (URIGP). Your retirement income benefits under URIGP will be offset by your RIGP benefits. Payments will commence at the end of [Month /Year]. As a result, your first payment will equal 7 months worth of payments to include the first 6 months of your Salary Continuance Period plus your [enter 7th month of payment] payment and will reflect your survivor election. All payments will be made in monthly installments on the last day of each month. Your URIGP benefit is estimated to be approximately [$X] per year (based on a 50% joint and survivor annuity). Please keep in mind that this is only an estimate and does not reflect taxes owed. The actual benefits will be paid per the plan’s terms. These URIGP benefits are unfunded and not tax qualified. This means you are an unsecured general creditor of the Company with respect to these benefits.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not retirement eligible but a RIGP participant] At separation, you will be eligible to receive vested pension benefits accrued under the Retirement Income Guarantee Plan (RIGP). A calculation of your benefit will be completed upon separation at which time you will have the opportunity to elect how and when the proceeds will be distributed. In addition to your vested RIGP benefit, you may be eligible to receive a benefit under the Unfunded Retirement Income Guarantee Plan (URIGP). Your retirement income benefits under URIGP will be offset by your RIGP benefits. Payments will commence after you reach age 55 or 6 months from the first of the month following your date of termination, if later. All payments will be made in monthly installments on the last day of each month. Your URIGP benefit is estimated to be approximately [$X] per year (based on a 50% joint and survivor annuity). Please keep in mind that this is only an estimate and does not reflect taxes owed. The actual benefits will be paid per the plan’s terms. These URIGP benefits are unfunded and not tax qualified. This means you are an unsecured general creditor of the Company with respect to these benefits.</w:t>
      </w:r>
    </w:p>
    <w:p>
      <w:pPr>
        <w:sectPr>
          <w:pgSz w:w="11900" w:h="16838" w:orient="portrait"/>
          <w:cols w:equalWidth="0" w:num="1">
            <w:col w:w="11360"/>
          </w:cols>
          <w:pgMar w:left="240" w:top="280" w:right="2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Medical Benefits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During the Salary Continuance Period, you will receive medical coverage. Such eligibility will end on the last day of your Salary Continuance Period.</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retirement eligible] As a retiree, you will receive medical coverage under the Xerox Retiree Flex Health Plan or a successor plan, if any. As you get closer to your retirement date, an information package will be sent to you from the Xerox Benefits Center.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Disability Benefits</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Eligibility for short- and long-term disability ends at the start of salary continuance. If you are interested in conversion coverage under a Prudential group plan, call Prudential (1-888-262-6873) and ask about The Prudential Group Long-Term Disability Conversion Insurance Trust.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You will be eligible to receive a cash bonus for [20XX] as determined by the Compensation Committee in early [20XX] and payable in that year.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[For former CLIP participants] You may continue in the Xerox Universal Life Plan (XUL). Upon retirement, your death benefit will be equal to [$X]. The Company will make contributions pursuant to the provisions of XUL until age 65 or July 2013, whichever is later.</w:t>
      </w:r>
    </w:p>
    <w:p>
      <w:pPr>
        <w:spacing w:after="0" w:line="13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[For other XUL participants] Upon retirement, you will receive correspondence from MetLife explaining that you have the opportunity to continue coverage approximately equal to your Xerox Universal Life Plan (XUL) coverage of [$X]. If you choose to continue coverage, MetLife will bill you directly.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Arrangements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will relinquish your position as an Officer of Xerox Corporation and as a director and officer of any subsidiary company as soon as administratively feasible after your active employment ends. At the appropriate time, a representative of Xerox Corporation will contact you regarding your resignation as a Corporate Officer.</w:t>
      </w:r>
    </w:p>
    <w:p>
      <w:pPr>
        <w:spacing w:after="0" w:line="14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You will be paid for any accrued and unused vacation upon commencement of salary continuance. You will not accrue any further vacation during salary continuance.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Your Company financial planning assistance will be continued through the tax year in which your active employment 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 will also be eligible for your physical under the Executive Physical Program through the calendar in which your active employment ends.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For the Xerox sponsored employee benefit plans summarized in this letter, if there is a discrepancy between this letter and the official plan documents, the terms of the plan documents govern.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You will be entitled to be indemnified with respect to all periods of your service as a director or officer of the Company or any of its subsidiaries in accordance with 1) the provisions of Sections 721 through 725 of the Business Corporation Law of the State of New York and provisions of California Labor Code Section 2802 2) Section 2 of Article VIII of the by-laws of the Company as in effect on the date of commencement of salary continuance and 3) the Company directors and officers liability insurance policies with Federal Insurance</w:t>
      </w:r>
    </w:p>
    <w:p>
      <w:pPr>
        <w:sectPr>
          <w:pgSz w:w="11900" w:h="16838" w:orient="portrait"/>
          <w:cols w:equalWidth="0" w:num="1">
            <w:col w:w="11320"/>
          </w:cols>
          <w:pgMar w:left="240" w:top="274" w:right="339" w:bottom="1440" w:gutter="0" w:footer="0" w:header="0"/>
        </w:sectPr>
      </w:pPr>
    </w:p>
    <w:bookmarkStart w:id="57" w:name="page58"/>
    <w:bookmarkEnd w:id="5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XL Specialty Insurance Company, St. Paul Mercury Insurance Company, Twin City Fire Insurance Company, U.S. Specialty Insurance Company, Arch Specialty Insurance Company, ACE American Insurance Company, Allied World Assurance Company and Axis Reinsurance, or any replacement or substitute thereof or any addition thereto.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salary continuance payments, or any other consideration provided for in this letter, shall not become effective unless you execute and deliver to the Company the release in the form attached immediately prior to the scheduled commencement thereof. Any amount otherwise scheduled to be paid on any date shall not be paid, and shall be forfeited, unless the release has been delivered to the Company by such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Cooperation in Litigation</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You will cooperate fully, without additional compensation, with the Company and its counsel in any litigation that arises out of or is related to your service with the Company or any of its subsidiaries, or in which you are named as a party. That cooperation includes making yourself available for reasonable periods of time upon reasonable notice for consultation with the Company’s counsel in any such litigation, promptly notifying the Company’s General Counsel if you are subpoenaed or requested by a third party to testify or to be interviewed in connection with any such litigation or legal preceding, and testifying in such litigation.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Heirs, Successors or Assigns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This agreement and any rights, responsibilities and obligations hereunder shall be binding upon any heirs, successors or assigns. This agreement shall not be assigned without prior written notice to and consent of the other party to this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[Manager’s Name]</w:t>
      </w:r>
    </w:p>
    <w:p>
      <w:pPr>
        <w:spacing w:after="0" w:line="171"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AGREED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00"/>
          </w:cols>
          <w:pgMar w:left="240" w:top="280" w:right="259" w:bottom="1440" w:gutter="0" w:footer="0" w:header="0"/>
        </w:sectPr>
      </w:pPr>
    </w:p>
    <w:bookmarkStart w:id="58" w:name="page59"/>
    <w:bookmarkEnd w:id="58"/>
    <w:p>
      <w:pPr>
        <w:ind w:left="68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10795</wp:posOffset>
            </wp:positionV>
            <wp:extent cx="25558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i w:val="1"/>
          <w:iCs w:val="1"/>
          <w:color w:val="auto"/>
        </w:rPr>
        <w:t>Employee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10795</wp:posOffset>
            </wp:positionV>
            <wp:extent cx="22980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i w:val="1"/>
          <w:iCs w:val="1"/>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10795</wp:posOffset>
            </wp:positionV>
            <wp:extent cx="26244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880" w:type="dxa"/>
            <w:vAlign w:val="bottom"/>
          </w:tcPr>
          <w:p>
            <w:pPr>
              <w:ind w:left="2940"/>
              <w:spacing w:after="0"/>
              <w:rPr>
                <w:sz w:val="20"/>
                <w:szCs w:val="20"/>
                <w:color w:val="auto"/>
              </w:rPr>
            </w:pPr>
            <w:r>
              <w:rPr>
                <w:rFonts w:ascii="Arial" w:cs="Arial" w:eastAsia="Arial" w:hAnsi="Arial"/>
                <w:sz w:val="18"/>
                <w:szCs w:val="18"/>
                <w:b w:val="1"/>
                <w:bCs w:val="1"/>
                <w:color w:val="auto"/>
              </w:rPr>
              <w:t>GENERAL RELEASE</w:t>
            </w:r>
          </w:p>
        </w:tc>
        <w:tc>
          <w:tcPr>
            <w:tcW w:w="4260" w:type="dxa"/>
            <w:vAlign w:val="bottom"/>
          </w:tcPr>
          <w:p>
            <w:pPr>
              <w:spacing w:after="0"/>
              <w:rPr>
                <w:sz w:val="19"/>
                <w:szCs w:val="19"/>
                <w:color w:val="auto"/>
              </w:rPr>
            </w:pPr>
          </w:p>
        </w:tc>
      </w:tr>
      <w:tr>
        <w:trPr>
          <w:trHeight w:val="412"/>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1.</w:t>
            </w: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In consideration of Xerox Corporation’s (“Xerox”) agreement to provide me with</w:t>
            </w:r>
          </w:p>
        </w:tc>
        <w:tc>
          <w:tcPr>
            <w:tcW w:w="4260" w:type="dxa"/>
            <w:vAlign w:val="bottom"/>
          </w:tcPr>
          <w:p>
            <w:pPr>
              <w:ind w:left="180"/>
              <w:spacing w:after="0"/>
              <w:rPr>
                <w:sz w:val="20"/>
                <w:szCs w:val="20"/>
                <w:color w:val="auto"/>
              </w:rPr>
            </w:pPr>
            <w:r>
              <w:rPr>
                <w:rFonts w:ascii="Arial" w:cs="Arial" w:eastAsia="Arial" w:hAnsi="Arial"/>
                <w:sz w:val="18"/>
                <w:szCs w:val="18"/>
                <w:color w:val="auto"/>
                <w:w w:val="92"/>
              </w:rPr>
              <w:t>weeks of salary continuance, if any, and other valuable</w:t>
            </w:r>
          </w:p>
        </w:tc>
      </w:tr>
      <w:tr>
        <w:trPr>
          <w:trHeight w:val="216"/>
        </w:trPr>
        <w:tc>
          <w:tcPr>
            <w:tcW w:w="300" w:type="dxa"/>
            <w:vAlign w:val="bottom"/>
          </w:tcPr>
          <w:p>
            <w:pPr>
              <w:spacing w:after="0"/>
              <w:rPr>
                <w:sz w:val="18"/>
                <w:szCs w:val="18"/>
                <w:color w:val="auto"/>
              </w:rPr>
            </w:pPr>
          </w:p>
        </w:tc>
        <w:tc>
          <w:tcPr>
            <w:tcW w:w="10740" w:type="dxa"/>
            <w:vAlign w:val="bottom"/>
            <w:gridSpan w:val="3"/>
          </w:tcPr>
          <w:p>
            <w:pPr>
              <w:ind w:left="160"/>
              <w:spacing w:after="0"/>
              <w:rPr>
                <w:sz w:val="20"/>
                <w:szCs w:val="20"/>
                <w:color w:val="auto"/>
              </w:rPr>
            </w:pPr>
            <w:r>
              <w:rPr>
                <w:rFonts w:ascii="Arial" w:cs="Arial" w:eastAsia="Arial" w:hAnsi="Arial"/>
                <w:sz w:val="18"/>
                <w:szCs w:val="18"/>
                <w:color w:val="auto"/>
                <w:w w:val="91"/>
              </w:rPr>
              <w:t>consideration, [including but not limited to [describe the consideration provided here]] as set forth in the letter agreement dated [provide date here]</w:t>
            </w:r>
          </w:p>
        </w:tc>
      </w:tr>
      <w:tr>
        <w:trPr>
          <w:trHeight w:val="222"/>
        </w:trPr>
        <w:tc>
          <w:tcPr>
            <w:tcW w:w="300" w:type="dxa"/>
            <w:vAlign w:val="bottom"/>
          </w:tcPr>
          <w:p>
            <w:pPr>
              <w:spacing w:after="0"/>
              <w:rPr>
                <w:sz w:val="19"/>
                <w:szCs w:val="19"/>
                <w:color w:val="auto"/>
              </w:rPr>
            </w:pPr>
          </w:p>
        </w:tc>
        <w:tc>
          <w:tcPr>
            <w:tcW w:w="1600" w:type="dxa"/>
            <w:vAlign w:val="bottom"/>
          </w:tcPr>
          <w:p>
            <w:pPr>
              <w:ind w:left="160"/>
              <w:spacing w:after="0"/>
              <w:rPr>
                <w:sz w:val="20"/>
                <w:szCs w:val="20"/>
                <w:color w:val="auto"/>
              </w:rPr>
            </w:pPr>
            <w:r>
              <w:rPr>
                <w:rFonts w:ascii="Arial" w:cs="Arial" w:eastAsia="Arial" w:hAnsi="Arial"/>
                <w:sz w:val="18"/>
                <w:szCs w:val="18"/>
                <w:color w:val="auto"/>
              </w:rPr>
              <w:t>I,</w:t>
            </w:r>
          </w:p>
        </w:tc>
        <w:tc>
          <w:tcPr>
            <w:tcW w:w="9140" w:type="dxa"/>
            <w:vAlign w:val="bottom"/>
            <w:gridSpan w:val="2"/>
          </w:tcPr>
          <w:p>
            <w:pPr>
              <w:ind w:left="1340"/>
              <w:spacing w:after="0"/>
              <w:rPr>
                <w:sz w:val="20"/>
                <w:szCs w:val="20"/>
                <w:color w:val="auto"/>
              </w:rPr>
            </w:pPr>
            <w:r>
              <w:rPr>
                <w:rFonts w:ascii="Arial" w:cs="Arial" w:eastAsia="Arial" w:hAnsi="Arial"/>
                <w:sz w:val="18"/>
                <w:szCs w:val="18"/>
                <w:color w:val="auto"/>
                <w:w w:val="88"/>
              </w:rPr>
              <w:t>, release Xerox from all the claims described in this Release. For purposes of this Release, “Xerox” includes its</w:t>
            </w:r>
          </w:p>
        </w:tc>
      </w:tr>
    </w:tbl>
    <w:p>
      <w:pPr>
        <w:ind w:left="460"/>
        <w:spacing w:after="0" w:line="261" w:lineRule="auto"/>
        <w:rPr>
          <w:sz w:val="20"/>
          <w:szCs w:val="20"/>
          <w:color w:val="auto"/>
        </w:rPr>
      </w:pPr>
      <w:r>
        <w:rPr>
          <w:rFonts w:ascii="Arial" w:cs="Arial" w:eastAsia="Arial" w:hAnsi="Arial"/>
          <w:sz w:val="18"/>
          <w:szCs w:val="18"/>
          <w:color w:val="auto"/>
        </w:rPr>
        <w:t>employees, directors, officers, agents, stockholders, subsidiaries, affiliates, successors, assigns, and the Xerox employee benefit plans in which I either am now or have been a participant, and the trustees, administrators, successors, agents and assigns of those plans.</w:t>
      </w:r>
    </w:p>
    <w:p>
      <w:pPr>
        <w:spacing w:after="0" w:line="57" w:lineRule="exact"/>
        <w:rPr>
          <w:sz w:val="20"/>
          <w:szCs w:val="20"/>
          <w:color w:val="auto"/>
        </w:rPr>
      </w:pPr>
    </w:p>
    <w:p>
      <w:pPr>
        <w:ind w:left="460" w:right="10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release Xerox from any and all claims, even if I don’t know about the claim at this time, based on anything that has occurred prior to the date I sign this Release. For example, I release Xerox from any claims based on all laws, such as the following (all laws as currently amended):</w:t>
      </w:r>
    </w:p>
    <w:p>
      <w:pPr>
        <w:sectPr>
          <w:pgSz w:w="11900" w:h="16838" w:orient="portrait"/>
          <w:cols w:equalWidth="0" w:num="1">
            <w:col w:w="11300"/>
          </w:cols>
          <w:pgMar w:left="240" w:top="280" w:right="359" w:bottom="1440" w:gutter="0" w:footer="0" w:header="0"/>
        </w:sectPr>
      </w:pPr>
    </w:p>
    <w:bookmarkStart w:id="59" w:name="page60"/>
    <w:bookmarkEnd w:id="59"/>
    <w:p>
      <w:pPr>
        <w:ind w:left="14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 Discrimination and Employment Act of 1967 (ADEA)</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Older Workers’ Benefits Protection Act of 1990 (OWBPA)</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Title VII of the Civil Rights Act of 1964</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Civil Rights Acts of 1866, 1870, 1871 and 1991</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Americans with Disabilities Act of 1990</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Rehabilitation Act of 1973</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Family and Medical Leave Act of 1993</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Equal Pay Act of 1963</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Fair Labor Standards Act of 1938</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Employee Retirement Income Security Act of 1974</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Worker Adjustment and Retraining Notification Act of 1989</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Uniformed Services Reemployment Rights Act of 1994</w:t>
      </w:r>
    </w:p>
    <w:p>
      <w:pPr>
        <w:spacing w:after="0" w:line="90"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Vietnam Era Veteran’s Readjustment Assistance Act of 1974</w:t>
      </w:r>
    </w:p>
    <w:p>
      <w:pPr>
        <w:spacing w:after="0" w:line="90" w:lineRule="exact"/>
        <w:rPr>
          <w:sz w:val="20"/>
          <w:szCs w:val="20"/>
          <w:color w:val="auto"/>
        </w:rPr>
      </w:pPr>
    </w:p>
    <w:p>
      <w:pPr>
        <w:ind w:left="452"/>
        <w:spacing w:after="0" w:line="294" w:lineRule="auto"/>
        <w:rPr>
          <w:sz w:val="20"/>
          <w:szCs w:val="20"/>
          <w:color w:val="auto"/>
        </w:rPr>
      </w:pPr>
      <w:r>
        <w:rPr>
          <w:rFonts w:ascii="Arial" w:cs="Arial" w:eastAsia="Arial" w:hAnsi="Arial"/>
          <w:sz w:val="16"/>
          <w:szCs w:val="16"/>
          <w:color w:val="auto"/>
        </w:rPr>
        <w:t>I also release Xerox from claims based on the laws of the state(s) where I am employed and reside, such as state fair employment practice laws or any other law, whether federal, state or local, concerning employment. I release Xerox from claims based on discrimination in employment such as claims arising out of the offer of employment to me by Xerox, the hiring of me by Xerox, any employment contract between Xerox and me, any promises made by Xerox regarding future employment, or based on the termination of my employment. Finally, I also release Xerox from claims under state contract or tort law, and from all claims for punitive or compensatory damages, costs or attorney’s fees.</w:t>
      </w:r>
    </w:p>
    <w:p>
      <w:pPr>
        <w:spacing w:after="0" w:line="35" w:lineRule="exact"/>
        <w:rPr>
          <w:sz w:val="20"/>
          <w:szCs w:val="20"/>
          <w:color w:val="auto"/>
        </w:rPr>
      </w:pPr>
    </w:p>
    <w:p>
      <w:pPr>
        <w:ind w:left="452" w:hanging="452"/>
        <w:spacing w:after="0"/>
        <w:tabs>
          <w:tab w:leader="none" w:pos="4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acknowledge and agree that the consideration set forth in this Release is in addition to anything of value to which I am entitled by law or Xerox policy.</w:t>
      </w:r>
    </w:p>
    <w:p>
      <w:pPr>
        <w:spacing w:after="0" w:line="113" w:lineRule="exact"/>
        <w:rPr>
          <w:rFonts w:ascii="Arial" w:cs="Arial" w:eastAsia="Arial" w:hAnsi="Arial"/>
          <w:sz w:val="16"/>
          <w:szCs w:val="16"/>
          <w:color w:val="auto"/>
        </w:rPr>
      </w:pPr>
    </w:p>
    <w:p>
      <w:pPr>
        <w:ind w:left="452" w:right="320" w:hanging="452"/>
        <w:spacing w:after="0" w:line="268"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understand and agree that this Release and Xerox’s agreement to provide consideration to me should not be construed, in any way, as an admission by Xerox of any wrongdoing or liability to me.</w:t>
      </w:r>
    </w:p>
    <w:p>
      <w:pPr>
        <w:spacing w:after="0" w:line="50" w:lineRule="exact"/>
        <w:rPr>
          <w:rFonts w:ascii="Arial" w:cs="Arial" w:eastAsia="Arial" w:hAnsi="Arial"/>
          <w:sz w:val="18"/>
          <w:szCs w:val="18"/>
          <w:color w:val="auto"/>
        </w:rPr>
      </w:pPr>
    </w:p>
    <w:p>
      <w:pPr>
        <w:ind w:left="452" w:right="240" w:hanging="452"/>
        <w:spacing w:after="0" w:line="259"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understand that nothing set forth in this Release limits my right to file, or prevents me from filing, a charge or complaint with the EEOC or any comparable state agency, nor does anything in this Release limit my right to participate in an investigation or proceeding conducted by the EEOC or any comparable state agency.</w:t>
      </w:r>
    </w:p>
    <w:p>
      <w:pPr>
        <w:spacing w:after="0" w:line="59" w:lineRule="exact"/>
        <w:rPr>
          <w:rFonts w:ascii="Arial" w:cs="Arial" w:eastAsia="Arial" w:hAnsi="Arial"/>
          <w:sz w:val="18"/>
          <w:szCs w:val="18"/>
          <w:color w:val="auto"/>
        </w:rPr>
      </w:pPr>
    </w:p>
    <w:p>
      <w:pPr>
        <w:ind w:left="452" w:right="80" w:hanging="452"/>
        <w:spacing w:after="0" w:line="268"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understand that nothing in this Release limits my right to challenge this Release as not being knowing and voluntary under the ADEA or the OWBPA if I feel this Release does not comply with the requirements of those statutes.</w:t>
      </w:r>
    </w:p>
    <w:p>
      <w:pPr>
        <w:spacing w:after="0" w:line="50" w:lineRule="exact"/>
        <w:rPr>
          <w:rFonts w:ascii="Arial" w:cs="Arial" w:eastAsia="Arial" w:hAnsi="Arial"/>
          <w:sz w:val="18"/>
          <w:szCs w:val="18"/>
          <w:color w:val="auto"/>
        </w:rPr>
      </w:pPr>
    </w:p>
    <w:p>
      <w:pPr>
        <w:ind w:left="452" w:right="20" w:hanging="452"/>
        <w:spacing w:after="0" w:line="298" w:lineRule="auto"/>
        <w:tabs>
          <w:tab w:leader="none" w:pos="4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Except as provided in paragraphs 5 and 6 above, however, I agree that I will not file or pursue any charge or claim with any governmental agency or any court against Xerox based on anything that occurred before I signed this Release. If I do not comply with my obligations under this paragraph, I shall repay to Xerox upon demand all of the monies paid to me by Xerox as salary continuance in consideration for this Release, and I agree to pay all of Xerox’s costs and expenses in defending the claim or action, including Xerox’s reasonable attorney’s fees.</w:t>
      </w:r>
    </w:p>
    <w:p>
      <w:pPr>
        <w:spacing w:after="0" w:line="31" w:lineRule="exact"/>
        <w:rPr>
          <w:rFonts w:ascii="Arial" w:cs="Arial" w:eastAsia="Arial" w:hAnsi="Arial"/>
          <w:sz w:val="16"/>
          <w:szCs w:val="16"/>
          <w:color w:val="auto"/>
        </w:rPr>
      </w:pPr>
    </w:p>
    <w:p>
      <w:pPr>
        <w:ind w:left="452" w:right="520" w:hanging="452"/>
        <w:spacing w:after="0" w:line="268"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understand and acknowledge that Xerox policy provides that for a period of one year after the termination of my employment with Xerox, I am not eligible for rehire as an employee, or for retention as a contract worker or consultant.</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Xerox advises me as follows:</w:t>
      </w:r>
    </w:p>
    <w:p>
      <w:pPr>
        <w:spacing w:after="0" w:line="84" w:lineRule="exact"/>
        <w:rPr>
          <w:rFonts w:ascii="Arial" w:cs="Arial" w:eastAsia="Arial" w:hAnsi="Arial"/>
          <w:sz w:val="18"/>
          <w:szCs w:val="18"/>
          <w:color w:val="auto"/>
        </w:rPr>
      </w:pPr>
    </w:p>
    <w:p>
      <w:pPr>
        <w:ind w:left="892" w:hanging="325"/>
        <w:spacing w:after="0"/>
        <w:tabs>
          <w:tab w:leader="none" w:pos="892" w:val="left"/>
        </w:tabs>
        <w:numPr>
          <w:ilvl w:val="1"/>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TO CONSULT WITH AN ATTORNEY OF MY CHOOSING TO COUNSEL ME AS TO MY RIGHTS BEFORE I SIGN THIS RELEASE;</w:t>
      </w:r>
    </w:p>
    <w:p>
      <w:pPr>
        <w:sectPr>
          <w:pgSz w:w="11900" w:h="16838" w:orient="portrait"/>
          <w:cols w:equalWidth="0" w:num="1">
            <w:col w:w="11392"/>
          </w:cols>
          <w:pgMar w:left="248" w:top="280" w:right="259" w:bottom="1440" w:gutter="0" w:footer="0" w:header="0"/>
        </w:sectPr>
      </w:pPr>
    </w:p>
    <w:bookmarkStart w:id="60" w:name="page61"/>
    <w:bookmarkEnd w:id="60"/>
    <w:p>
      <w:pPr>
        <w:ind w:left="900" w:right="560" w:hanging="325"/>
        <w:spacing w:after="0" w:line="275" w:lineRule="auto"/>
        <w:tabs>
          <w:tab w:leader="none" w:pos="900"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TAKE SUFFICIENT TIME TO DECIDE WHETHER TO SIGN THIS RELEASE. I HAVE 21 DAYS FROM THE DATE THIS RELEASE IS PROVIDED TO ME TO CONSIDER IT BEFORE I SIGN AND RETURN IT TO XEROX;</w:t>
      </w:r>
    </w:p>
    <w:p>
      <w:pPr>
        <w:spacing w:after="0" w:line="38" w:lineRule="exact"/>
        <w:rPr>
          <w:rFonts w:ascii="Arial" w:cs="Arial" w:eastAsia="Arial" w:hAnsi="Arial"/>
          <w:sz w:val="18"/>
          <w:szCs w:val="18"/>
          <w:b w:val="1"/>
          <w:bCs w:val="1"/>
          <w:color w:val="auto"/>
        </w:rPr>
      </w:pPr>
    </w:p>
    <w:p>
      <w:pPr>
        <w:ind w:left="900" w:right="140" w:hanging="325"/>
        <w:spacing w:after="0" w:line="275"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b w:val="1"/>
          <w:bCs w:val="1"/>
          <w:color w:val="auto"/>
        </w:rPr>
        <w:t>THAT EVEN AFTER I SIGN AND RETURN THIS RELEASE TO XEROX, I WILL HAVE 7 DAYS THEREAFTER TO CHANGE MY MIND AND REVOKE MY RELEASE BY ASKING XEROX FOR ITS RETURN.</w:t>
      </w:r>
    </w:p>
    <w:p>
      <w:pPr>
        <w:spacing w:after="0" w:line="44"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understand and agree that this Release waives all claims I may have at the time I sign it, including claims I do not then know about or suspect. I further understand and acknowledge that California Civil Code, Section 1542 provides: “A GENERAL RELEASE DOES NOT EXTEND TO CLAIMS WHICH THE CREDITOR DOES NOT KNOW OR SUSPECT EXISTS IN HIS FAVOR AT THE TIME OF EXECUTING THE RELEASE, WHICH IF KNOWN BY HIM MUST HAVE MATERIALLY AFFECTED HIS SETTLEMENT WITH THE DEBTOR.” I waive any rights I may have under that Code section, if applicable, or any other similar state or federal statute or common law principle of similar effect.</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understand that in signing this release, I thereby waive all claims of my successors, beneficiaries, heirs and assigns.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this document provided to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23926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signed and returned to Xerox: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23926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32"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23926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6"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Employee signature</w:t>
      </w:r>
    </w:p>
    <w:p>
      <w:pPr>
        <w:sectPr>
          <w:pgSz w:w="11900" w:h="16838" w:orient="portrait"/>
          <w:cols w:equalWidth="0" w:num="1">
            <w:col w:w="11340"/>
          </w:cols>
          <w:pgMar w:left="240" w:top="274" w:right="3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to Letter Agreement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Engagement in Detrimental Activity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 of Detrimental Activity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“Detrimental Activity” shall mean:</w:t>
      </w:r>
    </w:p>
    <w:p>
      <w:pPr>
        <w:spacing w:after="0" w:line="171" w:lineRule="exact"/>
        <w:rPr>
          <w:sz w:val="20"/>
          <w:szCs w:val="20"/>
          <w:color w:val="auto"/>
        </w:rPr>
      </w:pPr>
    </w:p>
    <w:p>
      <w:pPr>
        <w:ind w:firstLine="8"/>
        <w:spacing w:after="0" w:line="298" w:lineRule="auto"/>
        <w:tabs>
          <w:tab w:leader="none" w:pos="2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one (1) year following your termination of employment with the Company, directly or indirectly (i) engaging as an employee, proprietor, partner, agent, consultant or otherwise, by any means, in any business that is competitive with the business of the Company or (ii) engaging as an employee of or providing services as a consultant to another firm or corporation (other than the Company or an affiliate) that is a direct competitor of the Company in any business in which the Company is presently engaged, unless the Company has previously advised in writing that it consents to such engagement ; or</w:t>
      </w:r>
    </w:p>
    <w:p>
      <w:pPr>
        <w:spacing w:after="0" w:line="112" w:lineRule="exact"/>
        <w:rPr>
          <w:rFonts w:ascii="Arial" w:cs="Arial" w:eastAsia="Arial" w:hAnsi="Arial"/>
          <w:sz w:val="16"/>
          <w:szCs w:val="16"/>
          <w:color w:val="auto"/>
        </w:rPr>
      </w:pPr>
    </w:p>
    <w:p>
      <w:pPr>
        <w:ind w:right="80" w:firstLine="8"/>
        <w:spacing w:after="0" w:line="268" w:lineRule="auto"/>
        <w:tabs>
          <w:tab w:leader="none" w:pos="2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Disclosing confidential or proprietary business information of the Company, including but not limited to violating the Proprietary Information and Conflict of Interest Agreement entered into between the Company and Employee;</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Making any defamatory, derogatory, disparaging or inflammatory statements about the Company, its management or its business;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Violating any rules, policies, procedures or guidelines of the Company, including but not limited to the Company’s Business Ethics Policy;</w:t>
      </w:r>
    </w:p>
    <w:p>
      <w:pPr>
        <w:spacing w:after="0" w:line="171" w:lineRule="exact"/>
        <w:rPr>
          <w:rFonts w:ascii="Arial" w:cs="Arial" w:eastAsia="Arial" w:hAnsi="Arial"/>
          <w:sz w:val="18"/>
          <w:szCs w:val="18"/>
          <w:color w:val="auto"/>
        </w:rPr>
      </w:pPr>
    </w:p>
    <w:p>
      <w:pPr>
        <w:ind w:right="140" w:firstLine="8"/>
        <w:spacing w:after="0" w:line="268" w:lineRule="auto"/>
        <w:tabs>
          <w:tab w:leader="none" w:pos="2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 five (5) year period from your last day of active employment with the Company, directly or indirectly soliciting, inducing, encouraging or assisting any employee of the Company to leave his or her employment with the Company;</w:t>
      </w:r>
    </w:p>
    <w:p>
      <w:pPr>
        <w:sectPr>
          <w:pgSz w:w="11900" w:h="16838" w:orient="portrait"/>
          <w:cols w:equalWidth="0" w:num="1">
            <w:col w:w="11420"/>
          </w:cols>
          <w:pgMar w:left="240" w:top="274" w:right="239" w:bottom="1440" w:gutter="0" w:footer="0" w:header="0"/>
        </w:sectPr>
      </w:pPr>
    </w:p>
    <w:bookmarkStart w:id="62" w:name="page63"/>
    <w:bookmarkEnd w:id="62"/>
    <w:p>
      <w:pPr>
        <w:ind w:firstLine="8"/>
        <w:spacing w:after="0" w:line="259" w:lineRule="auto"/>
        <w:tabs>
          <w:tab w:leader="none" w:pos="249"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 five (5) year period from your last day of active employment with the Company, directly or indirectly soliciting or accepting business from any customer or potential customer of the Company, or soliciting, inducing or encouraging any customer, potential customer or supplier of the Company to reduce the level of business it does with the Company;</w:t>
      </w:r>
    </w:p>
    <w:p>
      <w:pPr>
        <w:spacing w:after="0" w:line="140"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Being convicted of, or entry of a guilty plea with respect to, a felony, whether or not connected with the Company; or</w:t>
      </w:r>
    </w:p>
    <w:p>
      <w:pPr>
        <w:spacing w:after="0" w:line="171" w:lineRule="exact"/>
        <w:rPr>
          <w:rFonts w:ascii="Arial" w:cs="Arial" w:eastAsia="Arial" w:hAnsi="Arial"/>
          <w:sz w:val="18"/>
          <w:szCs w:val="18"/>
          <w:color w:val="auto"/>
        </w:rPr>
      </w:pPr>
    </w:p>
    <w:p>
      <w:pPr>
        <w:ind w:right="560" w:firstLine="8"/>
        <w:spacing w:after="0" w:line="456" w:lineRule="auto"/>
        <w:tabs>
          <w:tab w:leader="none" w:pos="2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Engaging in any other conduct or act reasonably determined by the Company to be injurious, detrimental or prejudicial to any interest of the Company. Nothing contained in this exhibit shall be construed to restrict the executive’s reporting obligations, if any.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Consequences of Engagement in Detrimental Activity</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the executive who is a party to the Letter Agreement (or such individuals acting in concert with him or her) engages in Detrimental Activity to the Company, as determined in the Company’s reasonable sole discretion, such discretion exercised prior to a change in control of the Company, the following additional consequences shall apply:</w:t>
      </w:r>
    </w:p>
    <w:p>
      <w:pPr>
        <w:spacing w:after="0" w:line="140" w:lineRule="exact"/>
        <w:rPr>
          <w:sz w:val="20"/>
          <w:szCs w:val="20"/>
          <w:color w:val="auto"/>
        </w:rPr>
      </w:pPr>
    </w:p>
    <w:p>
      <w:pPr>
        <w:ind w:right="320" w:firstLine="8"/>
        <w:spacing w:after="0" w:line="332" w:lineRule="auto"/>
        <w:tabs>
          <w:tab w:leader="none" w:pos="23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outstanding equity awards under the 2004 Performance Incentive Plan, the 1991 Long-term Incentive Plan, the 1998 Employee Stock Option Plan, or pursuant to any bonus or retention plans or programs (“Awards”) shall be cancelled and be of no further force or effect;</w:t>
      </w:r>
    </w:p>
    <w:p>
      <w:pPr>
        <w:spacing w:after="0" w:line="85" w:lineRule="exact"/>
        <w:rPr>
          <w:rFonts w:ascii="Arial" w:cs="Arial" w:eastAsia="Arial" w:hAnsi="Arial"/>
          <w:sz w:val="16"/>
          <w:szCs w:val="16"/>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payment of salary continuance shall terminate, any amounts paid shall be rescinded in full by the Company and shall be repaid by the executive (or, if</w:t>
      </w:r>
    </w:p>
    <w:p>
      <w:pPr>
        <w:spacing w:after="0" w:line="38"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applicable, his or her spouse or beneficiary), the executive’s employment with the Company will terminate and any benefits described in the Letter Agreement, or otherwise, that are dependent upon continued employment, including, without limitation, continued vesting of benefits and determination of years of service, will also terminate, and any exercise, payment or delivery of an Award within six months prior to such Detrimental Activity may be rescinded at the sole discretion of the Company. In the event of any such rescission, the executive (or, if applicable, his or her spouse or beneficiary) shall pay to the Company the amount of any gain realized or payment received as a result of the rescinded exercise, payment or delivery, in such manner and on such terms and conditions as may be required by the Company;</w:t>
      </w:r>
    </w:p>
    <w:p>
      <w:pPr>
        <w:spacing w:after="0" w:line="148" w:lineRule="exact"/>
        <w:rPr>
          <w:rFonts w:ascii="Arial" w:cs="Arial" w:eastAsia="Arial" w:hAnsi="Arial"/>
          <w:sz w:val="16"/>
          <w:szCs w:val="16"/>
          <w:color w:val="auto"/>
        </w:rPr>
      </w:pPr>
    </w:p>
    <w:p>
      <w:pPr>
        <w:ind w:right="420" w:firstLine="8"/>
        <w:spacing w:after="0" w:line="268" w:lineRule="auto"/>
        <w:tabs>
          <w:tab w:leader="none" w:pos="2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unfunded retirement benefits including, without limitation, under the Unfunded Retirement Income Guarantee Plan and the Unfunded Supplemental Executive Retirement Plan, shall be forfeited; and</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have the right to an injunction or other equitable relief and to all other appropriate legal remedies, including damages.</w:t>
      </w:r>
    </w:p>
    <w:p>
      <w:pPr>
        <w:sectPr>
          <w:pgSz w:w="11900" w:h="16838" w:orient="portrait"/>
          <w:cols w:equalWidth="0" w:num="1">
            <w:col w:w="11420"/>
          </w:cols>
          <w:pgMar w:left="240" w:top="2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1269BC"/>
        </w:rPr>
        <w:t>EXHIBIT 10(a)(2)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189230</wp:posOffset>
            </wp:positionV>
            <wp:extent cx="1071880"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7188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320"/>
        <w:spacing w:after="0"/>
        <w:rPr>
          <w:sz w:val="20"/>
          <w:szCs w:val="20"/>
          <w:color w:val="auto"/>
        </w:rPr>
      </w:pPr>
      <w:r>
        <w:rPr>
          <w:rFonts w:ascii="Arial" w:cs="Arial" w:eastAsia="Arial" w:hAnsi="Arial"/>
          <w:sz w:val="18"/>
          <w:szCs w:val="18"/>
          <w:b w:val="1"/>
          <w:bCs w:val="1"/>
          <w:color w:val="1269BC"/>
        </w:rPr>
        <w:t>Sender’s Name</w:t>
      </w:r>
    </w:p>
    <w:p>
      <w:pPr>
        <w:spacing w:after="0" w:line="13" w:lineRule="exact"/>
        <w:rPr>
          <w:sz w:val="20"/>
          <w:szCs w:val="20"/>
          <w:color w:val="auto"/>
        </w:rPr>
      </w:pPr>
    </w:p>
    <w:p>
      <w:pPr>
        <w:ind w:left="9320"/>
        <w:spacing w:after="0"/>
        <w:rPr>
          <w:sz w:val="20"/>
          <w:szCs w:val="20"/>
          <w:color w:val="auto"/>
        </w:rPr>
      </w:pPr>
      <w:r>
        <w:rPr>
          <w:rFonts w:ascii="Arial" w:cs="Arial" w:eastAsia="Arial" w:hAnsi="Arial"/>
          <w:sz w:val="18"/>
          <w:szCs w:val="18"/>
          <w:i w:val="1"/>
          <w:iCs w:val="1"/>
          <w:color w:val="auto"/>
        </w:rPr>
        <w:t>Sender’s Title</w:t>
      </w:r>
    </w:p>
    <w:p>
      <w:pPr>
        <w:ind w:left="9320"/>
        <w:spacing w:after="0"/>
        <w:rPr>
          <w:sz w:val="20"/>
          <w:szCs w:val="20"/>
          <w:color w:val="auto"/>
        </w:rPr>
      </w:pPr>
      <w:r>
        <w:rPr>
          <w:rFonts w:ascii="Arial" w:cs="Arial" w:eastAsia="Arial" w:hAnsi="Arial"/>
          <w:sz w:val="18"/>
          <w:szCs w:val="18"/>
          <w:color w:val="auto"/>
        </w:rPr>
        <w:t>Operating Company</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Xerox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Senders address</w:t>
      </w:r>
    </w:p>
    <w:p>
      <w:pPr>
        <w:spacing w:after="0" w:line="104" w:lineRule="exact"/>
        <w:rPr>
          <w:sz w:val="20"/>
          <w:szCs w:val="20"/>
          <w:color w:val="auto"/>
        </w:rPr>
      </w:pPr>
    </w:p>
    <w:p>
      <w:pPr>
        <w:sectPr>
          <w:pgSz w:w="11900" w:h="16838" w:orient="portrait"/>
          <w:cols w:equalWidth="0" w:num="2">
            <w:col w:w="8600" w:space="720"/>
            <w:col w:w="2100"/>
          </w:cols>
          <w:pgMar w:left="240" w:top="121" w:right="239" w:bottom="1440" w:gutter="0" w:footer="0" w:header="0"/>
          <w:type w:val="continuous"/>
        </w:sectPr>
      </w:pPr>
    </w:p>
    <w:p>
      <w:pPr>
        <w:ind w:left="9320"/>
        <w:spacing w:after="0"/>
        <w:rPr>
          <w:sz w:val="20"/>
          <w:szCs w:val="20"/>
          <w:color w:val="auto"/>
        </w:rPr>
      </w:pPr>
      <w:r>
        <w:rPr>
          <w:rFonts w:ascii="Arial" w:cs="Arial" w:eastAsia="Arial" w:hAnsi="Arial"/>
          <w:sz w:val="16"/>
          <w:szCs w:val="16"/>
          <w:color w:val="auto"/>
        </w:rPr>
        <w:t>email.address@xerox.com</w:t>
      </w:r>
    </w:p>
    <w:p>
      <w:pPr>
        <w:spacing w:after="0" w:line="14"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tel 000.000.0000</w:t>
      </w:r>
    </w:p>
    <w:p>
      <w:pPr>
        <w:ind w:left="9320"/>
        <w:spacing w:after="0"/>
        <w:rPr>
          <w:sz w:val="20"/>
          <w:szCs w:val="20"/>
          <w:color w:val="auto"/>
        </w:rPr>
      </w:pPr>
      <w:r>
        <w:rPr>
          <w:rFonts w:ascii="Arial" w:cs="Arial" w:eastAsia="Arial" w:hAnsi="Arial"/>
          <w:sz w:val="18"/>
          <w:szCs w:val="18"/>
          <w:color w:val="auto"/>
        </w:rPr>
        <w:t>fax 000.000.0000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First Name Last Name</w:t>
      </w:r>
    </w:p>
    <w:p>
      <w:pPr>
        <w:spacing w:after="0" w:line="234" w:lineRule="auto"/>
        <w:rPr>
          <w:sz w:val="20"/>
          <w:szCs w:val="20"/>
          <w:color w:val="auto"/>
        </w:rPr>
      </w:pPr>
      <w:r>
        <w:rPr>
          <w:rFonts w:ascii="Arial" w:cs="Arial" w:eastAsia="Arial" w:hAnsi="Arial"/>
          <w:sz w:val="18"/>
          <w:szCs w:val="18"/>
          <w:i w:val="1"/>
          <w:iCs w:val="1"/>
          <w:color w:val="auto"/>
        </w:rPr>
        <w:t>Title</w:t>
      </w:r>
    </w:p>
    <w:p>
      <w:pPr>
        <w:spacing w:after="0" w:line="235" w:lineRule="auto"/>
        <w:rPr>
          <w:sz w:val="20"/>
          <w:szCs w:val="20"/>
          <w:color w:val="auto"/>
        </w:rPr>
      </w:pPr>
      <w:r>
        <w:rPr>
          <w:rFonts w:ascii="Arial" w:cs="Arial" w:eastAsia="Arial" w:hAnsi="Arial"/>
          <w:sz w:val="18"/>
          <w:szCs w:val="18"/>
          <w:color w:val="auto"/>
        </w:rPr>
        <w:t>Street Address Line 1</w:t>
      </w:r>
    </w:p>
    <w:p>
      <w:pPr>
        <w:spacing w:after="0" w:line="235" w:lineRule="auto"/>
        <w:rPr>
          <w:sz w:val="20"/>
          <w:szCs w:val="20"/>
          <w:color w:val="auto"/>
        </w:rPr>
      </w:pPr>
      <w:r>
        <w:rPr>
          <w:rFonts w:ascii="Arial" w:cs="Arial" w:eastAsia="Arial" w:hAnsi="Arial"/>
          <w:sz w:val="18"/>
          <w:szCs w:val="18"/>
          <w:color w:val="auto"/>
        </w:rPr>
        <w:t>Street Address Line 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Addressee: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summarizes the arrangements for your retirement from Xerox Corporation (the Company).</w:t>
      </w:r>
    </w:p>
    <w:p>
      <w:pPr>
        <w:sectPr>
          <w:pgSz w:w="11900" w:h="16838" w:orient="portrait"/>
          <w:cols w:equalWidth="0" w:num="1">
            <w:col w:w="11420"/>
          </w:cols>
          <w:pgMar w:left="240" w:top="121" w:right="239" w:bottom="1440" w:gutter="0" w:footer="0" w:header="0"/>
          <w:type w:val="continuous"/>
        </w:sectPr>
      </w:pP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Last day of active employment:</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Retirement Date: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The day after active employment ends</w:t>
      </w:r>
    </w:p>
    <w:p>
      <w:pPr>
        <w:spacing w:after="0" w:line="180" w:lineRule="exact"/>
        <w:rPr>
          <w:sz w:val="20"/>
          <w:szCs w:val="20"/>
          <w:color w:val="auto"/>
        </w:rPr>
      </w:pPr>
    </w:p>
    <w:p>
      <w:pPr>
        <w:sectPr>
          <w:pgSz w:w="11900" w:h="16838" w:orient="portrait"/>
          <w:cols w:equalWidth="0" w:num="2">
            <w:col w:w="2880" w:space="540"/>
            <w:col w:w="8000"/>
          </w:cols>
          <w:pgMar w:left="240" w:top="121" w:right="239" w:bottom="1440" w:gutter="0" w:footer="0" w:header="0"/>
          <w:type w:val="continuous"/>
        </w:sectPr>
      </w:pPr>
    </w:p>
    <w:p>
      <w:pPr>
        <w:ind w:right="280"/>
        <w:spacing w:after="0" w:line="299" w:lineRule="auto"/>
        <w:rPr>
          <w:sz w:val="20"/>
          <w:szCs w:val="20"/>
          <w:color w:val="auto"/>
        </w:rPr>
      </w:pPr>
      <w:r>
        <w:rPr>
          <w:rFonts w:ascii="Arial" w:cs="Arial" w:eastAsia="Arial" w:hAnsi="Arial"/>
          <w:sz w:val="16"/>
          <w:szCs w:val="16"/>
          <w:color w:val="auto"/>
        </w:rPr>
        <w:t>Notwithstanding anything else contained in this letter, if you (or those acting in concert with you) engage in Detrimental Activity as defined in the attached Exhibit, the consequence set forth therein shall apply. This agreement is subject to the approval of the Compensation Committee.</w:t>
      </w:r>
    </w:p>
    <w:p>
      <w:pPr>
        <w:spacing w:after="0" w:line="10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Summarized below are the relevant provisions of the plans and programs in which you participate that apply to your long-term incentive awards, 401(k) savings accounts, pension benefits, life insurance benefits and other benefits arrangements.</w:t>
      </w:r>
    </w:p>
    <w:p>
      <w:pPr>
        <w:spacing w:after="0" w:line="155"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Assuming that you will have met the age and service conditions of such plans and programs, you will be treated as a retiree for the purposes thereof effective on your Retirement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99"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Stock grants (including stock options) awarded to you prior to the commencement of your retirement shall continue to vest and/or remain exercisable per the terms of the awards and the relevant plans. [You will not be eligible for additional stock awards in 20XX.]</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[delete if 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Your deferred compensation accounts will be paid out according to the terms of your prior elections.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Savings Plan Account</w:t>
      </w:r>
    </w:p>
    <w:p>
      <w:pPr>
        <w:spacing w:after="0" w:line="99"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Under relevant plan provisions, you have choices available regarding the continued investment of your account balances and the time and form of distribution. At separation, you will have the opportunity to elect how and when the proceeds of your 401(k) will be distributed. Information on these choices will be sent by the Benefits Center upon your retirement.</w:t>
      </w:r>
    </w:p>
    <w:p>
      <w:pPr>
        <w:sectPr>
          <w:pgSz w:w="11900" w:h="16838" w:orient="portrait"/>
          <w:cols w:equalWidth="0" w:num="1">
            <w:col w:w="11420"/>
          </w:cols>
          <w:pgMar w:left="240" w:top="121" w:right="2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Stock Ownership Plan (ESOP)</w:t>
      </w:r>
    </w:p>
    <w:p>
      <w:pPr>
        <w:spacing w:after="0" w:line="9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As an active employee, you can only take a distribution of ESOP in stock. At separation, your ESOP account can be taken as cash, in stock, or rolled over to the Xerox 401(k) savings plan or your IRA, or you may defer settlement with the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[If a RIGP participant]Effective on your retirement date, you will become a retiree of Xerox. As a retiree, you will receive pension benefits accrued in the Retirement Income Guarantee Plan (RIGP). Your RIGP benefits are projected to provide a lump-sum value of approximately [$X]. Please keep in mind that this is only an estimate and that the actual benefits paid will be per the terms of the plan.</w:t>
      </w:r>
    </w:p>
    <w:p>
      <w:pPr>
        <w:spacing w:after="0" w:line="15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[If SERP eligible] In addition to your vested RIGP benefit, you will be eligible to receive a benefit under the Unfunded Retirement Income Guarantee Plan (URIGP) and the Unfunded Supplemental Executive Retirement Plan (SERP). Your retirement income benefits under URIGP and SERP are unreduced for commencement at age 60 or later and will be offset by your RIGP benefits. Payments will commence at the end of [Month/Year]. As a result, your first payment will equal 7 months worth of payments to include the first 6 months following your last day of active employment plus your [enter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month of payment] payment and will reflect your survivor election. All payments will be made in monthly installments. [For non-U.S. officers: The final SERP amount you will receive will be reduced by certain amounts payable in the same year by the Company or any subsidiary of the Company, as provided under SERP including but not limited to any pension, retirement or post-retirement corporate or statutory benefits that you may receive.] Your URIGP and SERP benefit is estimated to be approximately [$X] per year (based on a 50% joint and survivor annuity). Please keep in mind that this is only an estimate and does not reflect taxes owed. The actual benefits will be paid per the plan’s terms. These URIGP and SERP benefit are unfunded and not tax qualified. This means you are an unsecured general creditor of the Company with respect to these benefits.</w:t>
      </w:r>
    </w:p>
    <w:p>
      <w:pPr>
        <w:spacing w:after="0" w:line="15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[If URIGP but not SERP eligible] In addition to your vested RIGP benefit, depending on your age at retirement, you will be eligible to receive a benefit under the Unfunded Retirement Income Guarantee Plan (URIGP). Your retirement income benefits under URIGP will be offset by your RIGP benefits. Payments will commence at the end of [Month /Year]. As a result, your first payment will equal 7 months worth of payments to include the first 6 months following your last day of active employment plus your [enter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month of payment] payment and will reflect your survivor election. All payments will be made in monthly installments on the last day of each month. Your URIGP benefit is estimated to be approximately [$X] per year (based on a 50% joint and survivor annuity). Please keep in mind that this is only an estimate and does not reflect taxes owed. The actual benefits will be paid per the plan’s terms. These URIGP benefits are unfunded and not tax qualified. This means you are an unsecured general creditor of the Company with respect to these benefits.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Benefits</w:t>
      </w:r>
    </w:p>
    <w:p>
      <w:pPr>
        <w:spacing w:after="0" w:line="99"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As a retiree, you will receive medical coverage under Xerox Retiree Flex Health Plan or a successor plan, if any. As you get closer to your retirement date, an information package will be sent to you from the Xerox Benefits Center.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You will be eligible to receive a cash bonus for [20XX] as determined by the Compensation Committee in early [20XX] and payable in that year.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[For former CLIP participants] You may continue in the Xerox Universal Life Plan (XUL). Upon retirement, your death benefit will be equal to [$X].</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make contributions pursuant to the provisions of XUL until age 65 or July 2013, whichever is later.</w:t>
      </w:r>
    </w:p>
    <w:p>
      <w:pPr>
        <w:spacing w:after="0" w:line="158"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[For non-CLIP participants] Upon retirement, you will receive correspondence from MetLife, explaining that you have the opportunity to continue coverage approximately equal to your Xerox Universal Life Plan (XUL) coverage of [$X]. If you choose to continue coverage, MetLife will bill you directly.</w:t>
      </w:r>
    </w:p>
    <w:p>
      <w:pPr>
        <w:sectPr>
          <w:pgSz w:w="11900" w:h="16838" w:orient="portrait"/>
          <w:cols w:equalWidth="0" w:num="1">
            <w:col w:w="11400"/>
          </w:cols>
          <w:pgMar w:left="240" w:top="269"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Arrangements</w:t>
      </w:r>
    </w:p>
    <w:p>
      <w:pPr>
        <w:spacing w:after="0" w:line="99" w:lineRule="exact"/>
        <w:rPr>
          <w:sz w:val="20"/>
          <w:szCs w:val="20"/>
          <w:color w:val="auto"/>
        </w:rPr>
      </w:pPr>
    </w:p>
    <w:p>
      <w:pPr>
        <w:ind w:right="620"/>
        <w:spacing w:after="0" w:line="238" w:lineRule="auto"/>
        <w:rPr>
          <w:sz w:val="20"/>
          <w:szCs w:val="20"/>
          <w:color w:val="auto"/>
        </w:rPr>
      </w:pPr>
      <w:r>
        <w:rPr>
          <w:rFonts w:ascii="Arial" w:cs="Arial" w:eastAsia="Arial" w:hAnsi="Arial"/>
          <w:sz w:val="18"/>
          <w:szCs w:val="18"/>
          <w:color w:val="auto"/>
        </w:rPr>
        <w:t>You will relinquish your position as an Officer of Xerox Corporation and as a director and officer of any subsidiary company as soon as administratively feasible after your active employment ends. At the appropriate time, a representative of Xerox Corporation will contact you regarding your resignation as a Corporate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You will be paid for any accrued and unused vacation upon separation from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Your Company financial planning assistance will be continued through the tax year in which your active employment 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You will also be eligible for your physical under the Executive Physical Program through the calendar in which your active employment ends.</w:t>
      </w:r>
    </w:p>
    <w:p>
      <w:pPr>
        <w:spacing w:after="0" w:line="140"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i w:val="1"/>
          <w:iCs w:val="1"/>
          <w:color w:val="auto"/>
        </w:rPr>
        <w:t>For the Xerox sponsored employee benefit plans summarized in this letter, if there is a discrepancy between this letter and the official plan documents, the terms of the plan documents govern.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You will be entitled to be indemnified with respect to all periods of your service as a director or officer of the Company or any of its subsidiaries in accordance with 1) the provisions of Sections 721 through 725 of the Business Corporation Law of the State of New York and provisions of California Labor Code Section 2802 2) Section 2 of Article VIII of the by-laws of the Company as in effect on the date of commencement of salary continuance and 3) the Company directors and officers liability insurance policies with Federal Insurance Company, XL Specialty Insurance Company, St. Paul Mercury Insurance Company, Twin City Fire Insurance Company, U.S. Specialty Insurance Company, Arch Specialty Insurance Company, ACE American Insurance Company, Allied World Assurance Company and Axis Reinsurance, or any replacement or substitute thereof or any addition thereto.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[include only special provisions like perquisites or bonus not otherwise entitled to] or any other consideration provided for in this letter shall not become effective unless you execute and deliver to the Company the release in the form attached immediately prior to the scheduled commencement thereof. Any amount otherwise scheduled to be paid on any date shall not be paid, and shall be forfeited, unless the release has been delivered to the Company by such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Cooperation in Litigation</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You will cooperate fully, without additional compensation, with the Company and its counsel in any litigation that arises out of or is related to your service with the Company or any of its subsidiaries, or in which you are named as a party. That cooperation includes making yourself available for reasonable periods of time upon reasonable notice for consultation with the Company’s counsel in any such litigation, promptly notifying the Company’s General Counsel if you are subpoenaed or requested by a third party to testify or to be interviewed in connection with any such litigation or legal preceding, and testifying in such litigation.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Heirs, Successors or Assigns</w:t>
      </w:r>
    </w:p>
    <w:p>
      <w:pPr>
        <w:spacing w:after="0" w:line="9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This agreement and any rights, responsibilities and obligations hereunder shall be binding upon any heirs, successors or assigns. This agreement shall not be assigned without prior written notice to and consent of the other party to this agreement.</w:t>
      </w:r>
    </w:p>
    <w:p>
      <w:pPr>
        <w:sectPr>
          <w:pgSz w:w="11900" w:h="16838" w:orient="portrait"/>
          <w:cols w:equalWidth="0" w:num="1">
            <w:col w:w="11360"/>
          </w:cols>
          <w:pgMar w:left="240" w:top="269"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[Manager’s Name]</w:t>
      </w:r>
    </w:p>
    <w:p>
      <w:pPr>
        <w:spacing w:after="0" w:line="158"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]/cd</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AGREED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260985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260985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b w:val="1"/>
          <w:bCs w:val="1"/>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7620</wp:posOffset>
            </wp:positionV>
            <wp:extent cx="25298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i w:val="1"/>
          <w:iCs w:val="1"/>
          <w:color w:val="auto"/>
        </w:rPr>
        <w:t>Employee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7620</wp:posOffset>
            </wp:positionV>
            <wp:extent cx="22123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i w:val="1"/>
          <w:iCs w:val="1"/>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7620</wp:posOffset>
            </wp:positionV>
            <wp:extent cx="25984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RELEASE</w:t>
      </w:r>
    </w:p>
    <w:p>
      <w:pPr>
        <w:spacing w:after="0" w:line="220" w:lineRule="exact"/>
        <w:rPr>
          <w:sz w:val="20"/>
          <w:szCs w:val="20"/>
          <w:color w:val="auto"/>
        </w:rPr>
      </w:pPr>
    </w:p>
    <w:p>
      <w:pPr>
        <w:ind w:left="460" w:right="240" w:hanging="452"/>
        <w:spacing w:after="0" w:line="264"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consideration of Xerox Corporation’s (“Xerox”) agreement to provide me with [add language here that describes the extra consideration provided in exchange for the release] and other valuable consideration, as set forth in the letter agreement dated [provide date here]</w:t>
      </w:r>
    </w:p>
    <w:p>
      <w:pPr>
        <w:ind w:left="460"/>
        <w:spacing w:after="0" w:line="238" w:lineRule="auto"/>
        <w:rPr>
          <w:sz w:val="20"/>
          <w:szCs w:val="20"/>
          <w:color w:val="auto"/>
        </w:rPr>
      </w:pPr>
      <w:r>
        <w:rPr>
          <w:rFonts w:ascii="Arial" w:cs="Arial" w:eastAsia="Arial" w:hAnsi="Arial"/>
          <w:sz w:val="18"/>
          <w:szCs w:val="18"/>
          <w:color w:val="auto"/>
        </w:rPr>
        <w:t>I, , release Xerox from all the claims described in this Release. For purposes of this Release, “Xerox” includes its employees, directors, officers, agents, stockholders, subsidiaries, affiliates, successors, assigns, and the Xerox employee benefit plans in which I either am now or have been a participant, and the trustees, administrators, successors, agents and assigns of those plans.</w:t>
      </w:r>
    </w:p>
    <w:p>
      <w:pPr>
        <w:sectPr>
          <w:pgSz w:w="11900" w:h="16838" w:orient="portrait"/>
          <w:cols w:equalWidth="0" w:num="1">
            <w:col w:w="11360"/>
          </w:cols>
          <w:pgMar w:left="240" w:top="291" w:right="299" w:bottom="1440" w:gutter="0" w:footer="0" w:header="0"/>
        </w:sectPr>
      </w:pPr>
    </w:p>
    <w:bookmarkStart w:id="67" w:name="page68"/>
    <w:bookmarkEnd w:id="67"/>
    <w:p>
      <w:pPr>
        <w:ind w:left="452" w:right="360" w:hanging="452"/>
        <w:spacing w:after="0" w:line="238" w:lineRule="auto"/>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release Xerox from any and all claims, even if I don’t know about the claim at this time, based on anything that has occurred prior to the date I sign this Release. For example, I release Xerox from any claims based on all laws, such as the following (all laws as currently amended):</w:t>
      </w:r>
    </w:p>
    <w:p>
      <w:pPr>
        <w:spacing w:after="0" w:line="73"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Age Discrimination and Employment Act of 1967 (ADEA)</w:t>
      </w:r>
    </w:p>
    <w:p>
      <w:pPr>
        <w:spacing w:after="0" w:line="7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Older Workers’ Benefits Protection Act of 1990 (OWBPA)</w:t>
      </w:r>
    </w:p>
    <w:p>
      <w:pPr>
        <w:spacing w:after="0" w:line="7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Title VII of the Civil Rights Act of 1964</w:t>
      </w:r>
    </w:p>
    <w:p>
      <w:pPr>
        <w:spacing w:after="0" w:line="7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Civil Rights Acts of 1866, 1870, 1871 and 1991</w:t>
      </w:r>
    </w:p>
    <w:p>
      <w:pPr>
        <w:spacing w:after="0" w:line="7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Americans with Disabilities Act of 1990</w:t>
      </w:r>
    </w:p>
    <w:p>
      <w:pPr>
        <w:spacing w:after="0" w:line="7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Rehabilitation Act of 1973</w:t>
      </w:r>
    </w:p>
    <w:p>
      <w:pPr>
        <w:spacing w:after="0" w:line="7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Family and Medical Leave Act of 1993</w:t>
      </w:r>
    </w:p>
    <w:p>
      <w:pPr>
        <w:spacing w:after="0" w:line="7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Equal Pay Act of 1963</w:t>
      </w:r>
    </w:p>
    <w:p>
      <w:pPr>
        <w:spacing w:after="0" w:line="7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Fair Labor Standards Act of 1938</w:t>
      </w:r>
    </w:p>
    <w:p>
      <w:pPr>
        <w:spacing w:after="0" w:line="7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Employee Retirement Income Security Act of 1974</w:t>
      </w:r>
    </w:p>
    <w:p>
      <w:pPr>
        <w:spacing w:after="0" w:line="7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Worker Adjustment and Retraining Notification Act of 1989</w:t>
      </w:r>
    </w:p>
    <w:p>
      <w:pPr>
        <w:spacing w:after="0" w:line="7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Uniformed Services Reemployment Rights Act of 1994</w:t>
      </w:r>
    </w:p>
    <w:p>
      <w:pPr>
        <w:spacing w:after="0" w:line="7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Vietnam Era Veteran’s Readjustment Assistance Act of 1974</w:t>
      </w:r>
    </w:p>
    <w:p>
      <w:pPr>
        <w:spacing w:after="0" w:line="77" w:lineRule="exact"/>
        <w:rPr>
          <w:sz w:val="20"/>
          <w:szCs w:val="20"/>
          <w:color w:val="auto"/>
        </w:rPr>
      </w:pPr>
    </w:p>
    <w:p>
      <w:pPr>
        <w:ind w:left="452"/>
        <w:spacing w:after="0" w:line="236" w:lineRule="auto"/>
        <w:rPr>
          <w:sz w:val="20"/>
          <w:szCs w:val="20"/>
          <w:color w:val="auto"/>
        </w:rPr>
      </w:pPr>
      <w:r>
        <w:rPr>
          <w:rFonts w:ascii="Arial" w:cs="Arial" w:eastAsia="Arial" w:hAnsi="Arial"/>
          <w:sz w:val="18"/>
          <w:szCs w:val="18"/>
          <w:color w:val="auto"/>
        </w:rPr>
        <w:t>I also release Xerox from claims based on the laws of the state(s) where I am employed and reside, such as state fair employment practice laws or any other law, whether federal, state or local, concerning employment. I release Xerox from claims based on discrimination in employment such as claims arising out of the offer of employment to me by Xerox, the hiring of me by Xerox, any employment contract between Xerox and me, any promises made by Xerox regarding future employment, or based on the termination of my employment. Finally, I also release Xerox from claims under state contract or tort law, and from all claims for punitive or compensatory damages, costs or attorney’s fees.</w:t>
      </w:r>
    </w:p>
    <w:p>
      <w:pPr>
        <w:spacing w:after="0" w:line="75" w:lineRule="exact"/>
        <w:rPr>
          <w:sz w:val="20"/>
          <w:szCs w:val="20"/>
          <w:color w:val="auto"/>
        </w:rPr>
      </w:pPr>
    </w:p>
    <w:p>
      <w:pPr>
        <w:ind w:left="452" w:right="320" w:hanging="452"/>
        <w:spacing w:after="0" w:line="239"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acknowledge and agree that the consideration set forth in this Release is in addition to anything of value to which I am entitled by law or Xerox policy.</w:t>
      </w:r>
    </w:p>
    <w:p>
      <w:pPr>
        <w:spacing w:after="0" w:line="73" w:lineRule="exact"/>
        <w:rPr>
          <w:rFonts w:ascii="Arial" w:cs="Arial" w:eastAsia="Arial" w:hAnsi="Arial"/>
          <w:sz w:val="18"/>
          <w:szCs w:val="18"/>
          <w:color w:val="auto"/>
        </w:rPr>
      </w:pPr>
    </w:p>
    <w:p>
      <w:pPr>
        <w:ind w:left="452" w:right="140" w:hanging="452"/>
        <w:spacing w:after="0" w:line="239"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understand and agree that this Release and Xerox’s agreement to provide consideration to me should not be construed, in any way, as an admission by Xerox of any wrongdoing or liability to me.</w:t>
      </w:r>
    </w:p>
    <w:p>
      <w:pPr>
        <w:spacing w:after="0" w:line="73" w:lineRule="exact"/>
        <w:rPr>
          <w:rFonts w:ascii="Arial" w:cs="Arial" w:eastAsia="Arial" w:hAnsi="Arial"/>
          <w:sz w:val="18"/>
          <w:szCs w:val="18"/>
          <w:color w:val="auto"/>
        </w:rPr>
      </w:pPr>
    </w:p>
    <w:p>
      <w:pPr>
        <w:jc w:val="both"/>
        <w:ind w:left="452" w:right="220" w:hanging="452"/>
        <w:spacing w:after="0" w:line="238"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understand that nothing set forth in this Release limits my right to file, or prevents me from filing, a charge or complaint with the EEOC or any comparable state agency, nor does anything in this Release limit my right to participate in an investigation or proceeding conducted by the EEOC or any comparable state agency.</w:t>
      </w:r>
    </w:p>
    <w:p>
      <w:pPr>
        <w:spacing w:after="0" w:line="72" w:lineRule="exact"/>
        <w:rPr>
          <w:rFonts w:ascii="Arial" w:cs="Arial" w:eastAsia="Arial" w:hAnsi="Arial"/>
          <w:sz w:val="18"/>
          <w:szCs w:val="18"/>
          <w:color w:val="auto"/>
        </w:rPr>
      </w:pPr>
    </w:p>
    <w:p>
      <w:pPr>
        <w:ind w:left="452" w:right="60" w:hanging="452"/>
        <w:spacing w:after="0" w:line="239"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understand that nothing in this Release limits my right to challenge this Release as not being knowing and voluntary under the ADEA or the OWBPA if I feel this Release does not comply with the requirements of those statutes.</w:t>
      </w:r>
    </w:p>
    <w:p>
      <w:pPr>
        <w:spacing w:after="0" w:line="73" w:lineRule="exact"/>
        <w:rPr>
          <w:rFonts w:ascii="Arial" w:cs="Arial" w:eastAsia="Arial" w:hAnsi="Arial"/>
          <w:sz w:val="18"/>
          <w:szCs w:val="18"/>
          <w:color w:val="auto"/>
        </w:rPr>
      </w:pPr>
    </w:p>
    <w:p>
      <w:pPr>
        <w:ind w:left="452" w:hanging="452"/>
        <w:spacing w:after="0" w:line="236"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provided in paragraphs 5 and 6 above, however, I agree that I will not file or pursue any charge or claim with any governmental agency or any court against Xerox based on anything that occurred before I signed this Release. If I do not comply with my obligations under this paragraph, I shall repay to Xerox upon demand all of the monies or other benefits, as applicable, paid to me by Xerox in consideration for this Release, and I agree to pay all of Xerox’s costs and expenses in defending the claim or action, including Xerox’s reasonable attorney’s fees.</w:t>
      </w:r>
    </w:p>
    <w:p>
      <w:pPr>
        <w:spacing w:after="0" w:line="76" w:lineRule="exact"/>
        <w:rPr>
          <w:rFonts w:ascii="Arial" w:cs="Arial" w:eastAsia="Arial" w:hAnsi="Arial"/>
          <w:sz w:val="18"/>
          <w:szCs w:val="18"/>
          <w:color w:val="auto"/>
        </w:rPr>
      </w:pPr>
    </w:p>
    <w:p>
      <w:pPr>
        <w:ind w:left="452" w:right="180" w:hanging="452"/>
        <w:spacing w:after="0" w:line="239"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understand and acknowledge that Xerox policy provides that for a period of one year after the termination of my employment with Xerox, I am not eligible for rehire as an employee, or for retention as a contract worker or consultant.</w:t>
      </w:r>
    </w:p>
    <w:p>
      <w:pPr>
        <w:sectPr>
          <w:pgSz w:w="11900" w:h="16838" w:orient="portrait"/>
          <w:cols w:equalWidth="0" w:num="1">
            <w:col w:w="11392"/>
          </w:cols>
          <w:pgMar w:left="248" w:top="291" w:right="259" w:bottom="1440" w:gutter="0" w:footer="0" w:header="0"/>
        </w:sectPr>
      </w:pPr>
    </w:p>
    <w:bookmarkStart w:id="68" w:name="page69"/>
    <w:bookmarkEnd w:id="68"/>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advises me as follows:</w:t>
      </w:r>
    </w:p>
    <w:p>
      <w:pPr>
        <w:spacing w:after="0" w:line="54" w:lineRule="exact"/>
        <w:rPr>
          <w:rFonts w:ascii="Arial" w:cs="Arial" w:eastAsia="Arial" w:hAnsi="Arial"/>
          <w:sz w:val="18"/>
          <w:szCs w:val="18"/>
          <w:color w:val="auto"/>
        </w:rPr>
      </w:pPr>
    </w:p>
    <w:p>
      <w:pPr>
        <w:ind w:left="900" w:hanging="325"/>
        <w:spacing w:after="0"/>
        <w:tabs>
          <w:tab w:leader="none" w:pos="900" w:val="left"/>
        </w:tabs>
        <w:numPr>
          <w:ilvl w:val="1"/>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TO CONSULT WITH AN ATTORNEY OF MY CHOOSING TO COUNSEL ME AS TO MY RIGHTS BEFORE I SIGN THIS RELEASE;</w:t>
      </w:r>
    </w:p>
    <w:p>
      <w:pPr>
        <w:spacing w:after="0" w:line="99" w:lineRule="exact"/>
        <w:rPr>
          <w:rFonts w:ascii="Arial" w:cs="Arial" w:eastAsia="Arial" w:hAnsi="Arial"/>
          <w:sz w:val="16"/>
          <w:szCs w:val="16"/>
          <w:b w:val="1"/>
          <w:bCs w:val="1"/>
          <w:color w:val="auto"/>
        </w:rPr>
      </w:pPr>
    </w:p>
    <w:p>
      <w:pPr>
        <w:ind w:left="900" w:right="740" w:hanging="325"/>
        <w:spacing w:after="0" w:line="264" w:lineRule="auto"/>
        <w:tabs>
          <w:tab w:leader="none" w:pos="900"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TO TAKE SUFFICIENT TIME TO DECIDE WHETHER TO SIGN THIS RELEASE. I HAVE 21 DAYS FROM THE DATE THIS RELEASE IS PROVIDED TO ME TO CONSIDER IT BEFORE I SIGN AND RETURN IT TO XEROX;</w:t>
      </w:r>
    </w:p>
    <w:p>
      <w:pPr>
        <w:spacing w:after="0" w:line="30" w:lineRule="exact"/>
        <w:rPr>
          <w:rFonts w:ascii="Arial" w:cs="Arial" w:eastAsia="Arial" w:hAnsi="Arial"/>
          <w:sz w:val="18"/>
          <w:szCs w:val="18"/>
          <w:b w:val="1"/>
          <w:bCs w:val="1"/>
          <w:color w:val="auto"/>
        </w:rPr>
      </w:pPr>
    </w:p>
    <w:p>
      <w:pPr>
        <w:ind w:left="900" w:right="300" w:hanging="325"/>
        <w:spacing w:after="0" w:line="264" w:lineRule="auto"/>
        <w:tabs>
          <w:tab w:leader="none" w:pos="900"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THAT EVEN AFTER I SIGN AND RETURN THIS RELEASE TO XEROX, I WILL HAVE 7 DAYS THEREAFTER TO CHANGE MY MIND AND REVOKE MY RELEASE BY ASKING XEROX FOR ITS RETURN.</w:t>
      </w:r>
    </w:p>
    <w:p>
      <w:pPr>
        <w:spacing w:after="0" w:line="52" w:lineRule="exact"/>
        <w:rPr>
          <w:rFonts w:ascii="Arial" w:cs="Arial" w:eastAsia="Arial" w:hAnsi="Arial"/>
          <w:sz w:val="18"/>
          <w:szCs w:val="18"/>
          <w:b w:val="1"/>
          <w:bCs w:val="1"/>
          <w:color w:val="auto"/>
        </w:rPr>
      </w:pPr>
    </w:p>
    <w:p>
      <w:pPr>
        <w:ind w:left="460" w:hanging="452"/>
        <w:spacing w:after="0" w:line="273"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understand and agree that this Release waives all claims I may have at the time I sign it, including claims I do not then know about or suspect. I further understand and acknowledge that California Civil Code, Section 1542 provides: “A GENERAL RELEASE DOES NOT EXTEND TO CLAIMS WHICH THE CREDITOR DOES NOT KNOW OR SUSPECT EXISTS IN HIS FAVOR AT THE TIME OF EXECUTING THE RELEASE, WHICH IF KNOWN BY HIM MUST HAVE MATERIALLY AFFECTED HIS SETTLEMENT WITH THE DEBTOR.” I waive any rights I may have under that Code section, if applicable, or any other similar state or federal statute or common law principle of similar effect.</w:t>
      </w:r>
    </w:p>
    <w:p>
      <w:pPr>
        <w:spacing w:after="0" w:line="47"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understand that in signing this release, I thereby waive all claims of my successors, beneficiaries, heirs and assigns.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this document provided to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-4445</wp:posOffset>
            </wp:positionV>
            <wp:extent cx="23926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signed and returned to Xerox: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-4445</wp:posOffset>
            </wp:positionV>
            <wp:extent cx="23926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-4445</wp:posOffset>
            </wp:positionV>
            <wp:extent cx="23926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8"/>
          <w:szCs w:val="18"/>
          <w:i w:val="1"/>
          <w:iCs w:val="1"/>
          <w:color w:val="auto"/>
        </w:rPr>
        <w:t>Employee signature</w:t>
      </w:r>
    </w:p>
    <w:p>
      <w:pPr>
        <w:sectPr>
          <w:pgSz w:w="11900" w:h="16838" w:orient="portrait"/>
          <w:cols w:equalWidth="0" w:num="1">
            <w:col w:w="11340"/>
          </w:cols>
          <w:pgMar w:left="240" w:top="291" w:right="31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to Letter Agreement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Engagement in Detrimental Activity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 of Detrimental Activity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“Detrimental Activity” shall mean:</w:t>
      </w:r>
    </w:p>
    <w:p>
      <w:pPr>
        <w:spacing w:after="0" w:line="158" w:lineRule="exact"/>
        <w:rPr>
          <w:sz w:val="20"/>
          <w:szCs w:val="20"/>
          <w:color w:val="auto"/>
        </w:rPr>
      </w:pPr>
    </w:p>
    <w:p>
      <w:pPr>
        <w:ind w:right="60" w:firstLine="8"/>
        <w:spacing w:after="0" w:line="236" w:lineRule="auto"/>
        <w:tabs>
          <w:tab w:leader="none" w:pos="2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one (1) year following your termination of employment with the Company, directly or indirectly (i) engaging as an employee, proprietor, partner, agent, consultant or otherwise, by any means, in any business that is competitive with the business of the Company or (ii) engaging as an employee of or providing services as a consultant to another firm or corporation (other than the Company or an affiliate) that is a direct competitor of the Company in any business in which the Company is presently engaged, unless the Company has previously advised in writing that it consents to such engagement ; or</w:t>
      </w:r>
    </w:p>
    <w:p>
      <w:pPr>
        <w:spacing w:after="0" w:line="157" w:lineRule="exact"/>
        <w:rPr>
          <w:rFonts w:ascii="Arial" w:cs="Arial" w:eastAsia="Arial" w:hAnsi="Arial"/>
          <w:sz w:val="18"/>
          <w:szCs w:val="18"/>
          <w:color w:val="auto"/>
        </w:rPr>
      </w:pPr>
    </w:p>
    <w:p>
      <w:pPr>
        <w:ind w:right="60" w:firstLine="8"/>
        <w:spacing w:after="0" w:line="239" w:lineRule="auto"/>
        <w:tabs>
          <w:tab w:leader="none" w:pos="2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Disclosing confidential or proprietary business information of the Company, including but not limited to violating the Proprietary Information and Conflict of Interest Agreement entered into between the Company and Employee;</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Making any defamatory, derogatory, disparaging or inflammatory statements about the Company, its management or its business;</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Violating any rules, policies, procedures or guidelines of the Company, including but not limited to the Company’s Business Ethics Policy;</w:t>
      </w:r>
    </w:p>
    <w:p>
      <w:pPr>
        <w:spacing w:after="0" w:line="157" w:lineRule="exact"/>
        <w:rPr>
          <w:rFonts w:ascii="Arial" w:cs="Arial" w:eastAsia="Arial" w:hAnsi="Arial"/>
          <w:sz w:val="18"/>
          <w:szCs w:val="18"/>
          <w:color w:val="auto"/>
        </w:rPr>
      </w:pPr>
    </w:p>
    <w:p>
      <w:pPr>
        <w:ind w:right="260" w:firstLine="8"/>
        <w:spacing w:after="0" w:line="239" w:lineRule="auto"/>
        <w:tabs>
          <w:tab w:leader="none" w:pos="2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 five (5) year period from your last day of active employment with the Company, directly or indirectly soliciting, inducing, encouraging or assisting any employee of the Company to leave his or her employment with the Company;</w:t>
      </w:r>
    </w:p>
    <w:p>
      <w:pPr>
        <w:spacing w:after="0" w:line="154" w:lineRule="exact"/>
        <w:rPr>
          <w:rFonts w:ascii="Arial" w:cs="Arial" w:eastAsia="Arial" w:hAnsi="Arial"/>
          <w:sz w:val="18"/>
          <w:szCs w:val="18"/>
          <w:color w:val="auto"/>
        </w:rPr>
      </w:pPr>
    </w:p>
    <w:p>
      <w:pPr>
        <w:ind w:right="120" w:firstLine="8"/>
        <w:spacing w:after="0" w:line="238" w:lineRule="auto"/>
        <w:tabs>
          <w:tab w:leader="none" w:pos="2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 five (5) year period from your last day of active employment with the Company, directly or indirectly soliciting or accepting business from any customer or potential customer of the Company, or soliciting, inducing or encouraging any customer, potential customer or supplier of the Company to reduce the level of business it does with the Company;</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Being convicted of, or entry of a guilty plea with respect to, a felony, whether or not connected with the Company; or</w:t>
      </w:r>
    </w:p>
    <w:p>
      <w:pPr>
        <w:spacing w:after="0" w:line="157" w:lineRule="exact"/>
        <w:rPr>
          <w:rFonts w:ascii="Arial" w:cs="Arial" w:eastAsia="Arial" w:hAnsi="Arial"/>
          <w:sz w:val="18"/>
          <w:szCs w:val="18"/>
          <w:color w:val="auto"/>
        </w:rPr>
      </w:pPr>
    </w:p>
    <w:p>
      <w:pPr>
        <w:ind w:right="300" w:firstLine="8"/>
        <w:spacing w:after="0" w:line="239" w:lineRule="auto"/>
        <w:tabs>
          <w:tab w:leader="none" w:pos="2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Engaging in any other conduct or act reasonably determined by the Company to be injurious, detrimental or prejudicial to any interest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Nothing contained in this exhibit shall be construed to restrict the executive’s reporting obligations, if 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Consequences of Engagement in Detrimental Activity</w:t>
      </w:r>
    </w:p>
    <w:p>
      <w:pPr>
        <w:spacing w:after="0" w:line="7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If the executive who is a party to the Letter Agreement (or such individuals acting in concert with him or her) engages in Detrimental Activity to the Company, as determined in the Company’s reasonable sole discretion, such discretion exercised prior to a change in control of the Company, the following additional consequences shall apply:</w:t>
      </w:r>
    </w:p>
    <w:p>
      <w:pPr>
        <w:spacing w:after="0" w:line="154" w:lineRule="exact"/>
        <w:rPr>
          <w:sz w:val="20"/>
          <w:szCs w:val="20"/>
          <w:color w:val="auto"/>
        </w:rPr>
      </w:pPr>
    </w:p>
    <w:p>
      <w:pPr>
        <w:ind w:right="400" w:firstLine="8"/>
        <w:spacing w:after="0" w:line="299" w:lineRule="auto"/>
        <w:tabs>
          <w:tab w:leader="none" w:pos="26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outstanding equity awards under the 2004 Performance Incentive Plan, the 1991 Long-term Incentive Plan, the 1998 Employee Stock Option Plan, or pursuant to any bonus or retention plans or programs (“Awards”) shall be cancelled and be of no further force or effect;</w:t>
      </w:r>
    </w:p>
    <w:p>
      <w:pPr>
        <w:spacing w:after="0" w:line="108" w:lineRule="exact"/>
        <w:rPr>
          <w:rFonts w:ascii="Arial" w:cs="Arial" w:eastAsia="Arial" w:hAnsi="Arial"/>
          <w:sz w:val="16"/>
          <w:szCs w:val="16"/>
          <w:color w:val="auto"/>
        </w:rPr>
      </w:pPr>
    </w:p>
    <w:p>
      <w:pPr>
        <w:ind w:firstLine="8"/>
        <w:spacing w:after="0" w:line="270" w:lineRule="auto"/>
        <w:tabs>
          <w:tab w:leader="none" w:pos="263"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payment of salary continuance shall terminate, any amounts paid shall be rescinded in full by the Company and shall be repaid by the executive (or, if applicable, his or her spouse or beneficiary), the executive’s employment with the Company will terminate and any benefits described in the Letter Agreement, or otherwise, that are dependent upon continued employment, including, without limitation, continued vesting of benefits and determination of years of service, will also terminate, and any exercise, payment or delivery of an Award within six months prior to such Detrimental Activity may be rescinded at the sole discretion of the Company. In the event of any such rescission, the executive (or, if applicable, his or her spouse or beneficiary) shall pay to the Company the amount of any gain realized or payment received as a result of the rescinded exercise, payment or delivery, in such manner and on such terms and conditions as may be required by the Company;</w:t>
      </w:r>
    </w:p>
    <w:p>
      <w:pPr>
        <w:spacing w:after="0" w:line="131" w:lineRule="exact"/>
        <w:rPr>
          <w:rFonts w:ascii="Arial" w:cs="Arial" w:eastAsia="Arial" w:hAnsi="Arial"/>
          <w:sz w:val="16"/>
          <w:szCs w:val="16"/>
          <w:color w:val="auto"/>
        </w:rPr>
      </w:pPr>
    </w:p>
    <w:p>
      <w:pPr>
        <w:ind w:right="500" w:firstLine="8"/>
        <w:spacing w:after="0" w:line="239" w:lineRule="auto"/>
        <w:tabs>
          <w:tab w:leader="none" w:pos="2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unfunded retirement benefits including, without limitation, under the Unfunded Retirement Income Guarantee Plan and the Unfunded Supplemental Executive Retirement Plan, shall be forfeited; and</w:t>
      </w:r>
    </w:p>
    <w:p>
      <w:pPr>
        <w:spacing w:after="0" w:line="154"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have the right to an injunction or other equitable relief and to all other appropriate legal remedies, including damages.</w:t>
      </w:r>
    </w:p>
    <w:p>
      <w:pPr>
        <w:sectPr>
          <w:pgSz w:w="11900" w:h="16838" w:orient="portrait"/>
          <w:cols w:equalWidth="0" w:num="1">
            <w:col w:w="11380"/>
          </w:cols>
          <w:pgMar w:left="240" w:top="269" w:right="2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10(e)(19)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Performance Incentive Plan for 2009 (“APIP”) for Second Half 2009</w:t>
      </w:r>
    </w:p>
    <w:p>
      <w:pPr>
        <w:spacing w:after="0" w:line="177"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Under the 2009 APIP, executive officers of the Company are eligible to receive performance related cash payments. Payments are, in general, only made if performance objectives established by the Compensation Committee of the Board of Directors (the “Committee”) are met.</w:t>
      </w:r>
    </w:p>
    <w:p>
      <w:pPr>
        <w:spacing w:after="0" w:line="8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Committee previously approved an incentive target opportunity for the second half of 2009, expressed as a percentage of base salary, for each participating officer. The Committee established overall threshold, base, target and maximum measures of performance for the second half of 2009 APIP at its July 2009 meeting. The performance measures and weightings for the second half of 2009 were Cash Flow from Operations (65%) and Earnings per Share (35%). Certain additional goals were established for some officers based on business unit goals.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performance against the second half 2009 APIP goals was as follows: on an adjusted basis, earnings per share and cash flow from operations exceeded maximum, resulting in an overall factor of 175% for the second half of 2009. These results, when combined with the previously approved results for the first half of 2009, yield a total payment of 150% of target for full fiscal 2009.</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1269BC"/>
        </w:rPr>
        <w:t>EXHIBIT 10(e)(20)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269BC"/>
        </w:rPr>
        <w:t>Annual Performance Incentive Plan for 2010 (“2010 APIP”)</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the 2010 APIP, executive officers of the Company are eligible to receive performance related cash payments. Payments are, in general, only made if performance objectives established by the Compensation Committee of the Board of Directors (the “Committee”) are met.</w:t>
      </w:r>
    </w:p>
    <w:p>
      <w:pPr>
        <w:spacing w:after="0" w:line="15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Committee approved incentive opportunities for 2010, expressed as a percentage of base salary for each participating officer. Certain additional goals were established for some officers based on business unit goals. The Committee also established overall threshold, target and maximum measures of performance for the 2010 APIP. The performance measures and weightings are adjusted Earnings per Share (weighted at 40%), Cash Flow from Operations (weighted at 40%) and Pro Forma Revenue Growth (adjusted to exclude the impact of changes in the translation of foreign currencies into U.S. dollars) (weighted at 20%).</w:t>
      </w:r>
    </w:p>
    <w:p>
      <w:pPr>
        <w:spacing w:after="0" w:line="15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Individual awards will be subject to the review and approval of the Committee following the completion of the 2010 fiscal year, with payment to be made within the first four months of 2011.</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1269BC"/>
        </w:rPr>
        <w:t>EXHIBIT 10(e)(21)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269BC"/>
        </w:rPr>
        <w:t>2010 Executive Long-Term Incentive Program (“2010 E-LTIP”)</w:t>
      </w:r>
    </w:p>
    <w:p>
      <w:pPr>
        <w:spacing w:after="0" w:line="180"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Under the 2010 E-LTIP, executive officers of the Company are eligible to receive performance shares based on certain performance measures established by the Compensation Committee of the Board of Directors (the “Committee”).</w:t>
      </w:r>
    </w:p>
    <w:p>
      <w:pPr>
        <w:spacing w:after="0" w:line="15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performance elements and corresponding weights for the 2010 E-LTIP are: (i) (60%) Earnings Per Share: Diluted Earnings Per Share from Continuing Operations as reported in the Company’s audited consolidated financial statements, as adjusted on an after-tax basis for the following discretely disclosed (in either Management’s Discussion and Analysis/MD&amp;A or the footnotes to the financial statements) items: direct costs of acquisition and acquisition-related expenses including, but not limited to, acquired in-process research and development and integration costs; amortization of acquisition-related intangibles; restructuring and asset impairment charges; our share of after-tax effects of restructuring charges incurred by Fuji Xerox; and remeasurement losses on net monetary assets affected by the 2010 Venezuelan currency devaluation. In addition, EPS will also be adjusted on an after-tax basis for the following discretely disclosed items (if equal to or greater than $50 million pre-tax on an individual basis, or in the aggregate per item, with the exception of income tax and Fuji Xerox adjustments): gains/(losses) from litigation, regulatory matters or any changes in enacted law (including tax law); gains/(losses) from asset sales or business divestitures; gains/(losses) resulting from acts of war, terrorism or natural disasters; the initial effect of changes in accounting principles that are included within Income from Continuing Operations; impairment of goodwill and other intangibles; gains/(losses) from the settlement of tax audits (if equal to or greater than $30 million on an individual basis, or in the aggregate per item); gains/(losses) on early extinguishment of debt; non-restructuring related impairments of long-lived assets; and our share of after-tax effects of the above noted eight items incurred by Fuji Xerox (if our share is equal to or greater than $10 million on an individual basis, or in the aggregate per item); and (ii) (40%) Cash Flow from Operations: Net Cash provided by (used for) Operating Activities as reported in the Company’s consolidated audited financial statements, as adjusted for the following items: with the exception of cash payments for restructurings, cash flow impacts (inflows and outflows) resulting from the EPS adjustments as identified above whether or not the cash flow impact and the EPS impact are in the same fiscal year; cash payments for restructurings in excess of the amount reported as current restructuring reserves in the preceding years Annual Report; special discretionary pension fundings in excess of $50 million; and cash payments for ACS customer contract inducements and set-up and transition services. Any other items approved by the Committee for adjustment of EPS or Cash Flow from Operations will be considered a modification of the award.</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1269BC"/>
        </w:rPr>
        <w:t>EXHIBIT 10(e)(22)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XEROX CORPORATION</w:t>
      </w:r>
    </w:p>
    <w:p>
      <w:pPr>
        <w:jc w:val="center"/>
        <w:spacing w:after="0"/>
        <w:rPr>
          <w:sz w:val="20"/>
          <w:szCs w:val="20"/>
          <w:color w:val="auto"/>
        </w:rPr>
      </w:pPr>
      <w:r>
        <w:rPr>
          <w:rFonts w:ascii="Arial" w:cs="Arial" w:eastAsia="Arial" w:hAnsi="Arial"/>
          <w:sz w:val="18"/>
          <w:szCs w:val="18"/>
          <w:b w:val="1"/>
          <w:bCs w:val="1"/>
          <w:color w:val="auto"/>
        </w:rPr>
        <w:t>2010 AMENDMENT AND RESTATEMENT OF THE 2004 PERFORMANCE INCENTIVE PLAN</w:t>
      </w:r>
    </w:p>
    <w:p>
      <w:pPr>
        <w:spacing w:after="0" w:line="77"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AGREEMENT, by Xerox Corporation, a New York corporation (the “Company”), dated as of the date which appears as the “Date of Agreement and Award” in the Award Summary attached hereto (the “Award Summary”) in favor of the individual whose name appears on the Award Summary, an employee of the Company, one of the Company’s subsidiaries or one of its affiliates (the “Employee”).</w:t>
      </w:r>
    </w:p>
    <w:p>
      <w:pPr>
        <w:spacing w:after="0" w:line="15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consideration of your execution and compliance with terms of confidentiality and non-compete/non-solicitation covenants in your Non-Competition and Non-Solicitation Agreement, and, in accordance with the provisions of the “2004 Performance Incentive Plan” and any amendments and/or restatements thereto (the “Plan”), the Compensation Committee of the Board of Directors of the Company (the “Committee”) or the Chief Executive Officer of the Company (the “CEO”) has authorized the execution and delivery of this Agreement.</w:t>
      </w:r>
    </w:p>
    <w:p>
      <w:pPr>
        <w:spacing w:after="0" w:line="155"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Award Summary contains the details of the awards covered by this Agreement and is incorporated herein in its entirety.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Company agrees as follows: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99" w:lineRule="exact"/>
        <w:rPr>
          <w:sz w:val="20"/>
          <w:szCs w:val="20"/>
          <w:color w:val="auto"/>
        </w:rPr>
      </w:pPr>
    </w:p>
    <w:p>
      <w:pPr>
        <w:ind w:right="340" w:firstLine="8"/>
        <w:spacing w:after="0" w:line="236" w:lineRule="auto"/>
        <w:tabs>
          <w:tab w:leader="none" w:pos="34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Award of Performance Shares</w:t>
      </w:r>
      <w:r>
        <w:rPr>
          <w:rFonts w:ascii="Arial" w:cs="Arial" w:eastAsia="Arial" w:hAnsi="Arial"/>
          <w:sz w:val="18"/>
          <w:szCs w:val="18"/>
          <w:color w:val="auto"/>
        </w:rPr>
        <w:t>. Subject to all terms and conditions of the Plan and this Agreement, the Company has awarded to the Employee on the date indicated on the Award Summary the number of Performance Shares (individually, the “PS”) as shown on the Award Summary. Notwithstanding anything herein to the contrary, only active Employees and those Employees on Short Term Disability Leave, Social Service Leave, Family Medical Leave or Paid Uniform Services Leave (pursuant to the Company’s Human Resources Policies) on the effective date of the award as shown on the Award Summary shall be eligible to receive the award.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PERFORMANCE SHARES</w:t>
      </w:r>
    </w:p>
    <w:p>
      <w:pPr>
        <w:spacing w:after="0" w:line="99" w:lineRule="exact"/>
        <w:rPr>
          <w:sz w:val="20"/>
          <w:szCs w:val="20"/>
          <w:color w:val="auto"/>
        </w:rPr>
      </w:pPr>
    </w:p>
    <w:p>
      <w:pPr>
        <w:ind w:right="120" w:firstLine="8"/>
        <w:spacing w:after="0" w:line="236" w:lineRule="auto"/>
        <w:tabs>
          <w:tab w:leader="none" w:pos="34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on or after the Vesting Date indicated on the Award Summary in connection with the PSs (the “Vesting Date”), the Company shall, without transfer or issue tax to the person entitled to receive the shares, deliver to such person a certificate or certificates for a number of shares of Common Stock equal to the number of vested PSs (subject to reduction for withholding of Employee’s taxes in relation to the award as described in Paragraph 10 below). No fractional shares shall be issued as a result of such tax withholding. Instead, the Company shall apply the equivalent of any fractional share amount to amounts withheld for taxes.</w:t>
      </w:r>
    </w:p>
    <w:p>
      <w:pPr>
        <w:spacing w:after="0" w:line="76" w:lineRule="exact"/>
        <w:rPr>
          <w:sz w:val="20"/>
          <w:szCs w:val="20"/>
          <w:color w:val="auto"/>
        </w:rPr>
      </w:pPr>
    </w:p>
    <w:p>
      <w:pPr>
        <w:jc w:val="both"/>
        <w:ind w:right="200"/>
        <w:spacing w:after="0" w:line="236" w:lineRule="auto"/>
        <w:rPr>
          <w:sz w:val="20"/>
          <w:szCs w:val="20"/>
          <w:color w:val="auto"/>
        </w:rPr>
      </w:pPr>
      <w:r>
        <w:rPr>
          <w:rFonts w:ascii="Arial" w:cs="Arial" w:eastAsia="Arial" w:hAnsi="Arial"/>
          <w:sz w:val="18"/>
          <w:szCs w:val="18"/>
          <w:color w:val="auto"/>
        </w:rPr>
        <w:t>The Committee shall set performance goals and review performance against such goals in connection with determining the payout of PSs. The award of PSs covered hereby shall be earned based on achieving one hundred percent (100%) of a target on an annual basis based on certain performance measures as shall be determined from time to time by the Committee. To the extent that performance measures are achieved at or between threshold and maximum levels (as shall be determined by the Committee) on a three-year cumulative basis, an additional award of PSs will be earned, net of shares previously earned for annual achievement. The Vesting Date for earned PS awards granted shall be set forth in the Award Summary.</w:t>
      </w:r>
    </w:p>
    <w:p>
      <w:pPr>
        <w:spacing w:after="0" w:line="75"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Upon the occurrence of an event constituting a Change in Control, all PSs and dividend equivalents outstanding on such date shall be treated pursuant to the terms set forth in the Plan. Upon payment pursuant to the terms of the Plan, such awards shall be cancelled.</w:t>
      </w:r>
    </w:p>
    <w:p>
      <w:pPr>
        <w:spacing w:after="0" w:line="74" w:lineRule="exact"/>
        <w:rPr>
          <w:sz w:val="20"/>
          <w:szCs w:val="20"/>
          <w:color w:val="auto"/>
        </w:rPr>
      </w:pPr>
    </w:p>
    <w:p>
      <w:pPr>
        <w:ind w:right="20" w:firstLine="8"/>
        <w:spacing w:after="0" w:line="235" w:lineRule="auto"/>
        <w:tabs>
          <w:tab w:leader="none" w:pos="34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xml:space="preserve"> The Employee shall become entitled to receive from the Company on the Vesting Date a cash payment equaling the same amount(s) that the holder of record of a number of shares of Common Stock equal to the number of PSs covered by this Agreement (relating exclusively to PSs earned, based on achievement of annual or three-year cumulative performance targets, not to exceed the target award amount shown on the Award Summary) that are held by the Employee on the close of business on the business day immediately preceding the Vesting Date would have been entitled to receive as dividends on such Common Stock during the period commencing on the date hereof and ending on the Vesting Date as provided under Paragraph 2. Payments under this Paragraph shall be net of any required withholding taxes. Notwithstanding anything herein to the contrary, for any Employee who is no longer an employee on the payroll of any subsidiary or affiliate of the Company on the payment date of the dividend equivalents, and such subsidiary or affiliate has determined, with the approval of the Vice President, Human Resources of the Company, that it is not administratively feasible for such subsidiary or affiliate to pay such dividend equivalents, the Employee will not be entitled to receive such dividend equivalents.</w:t>
      </w:r>
    </w:p>
    <w:p>
      <w:pPr>
        <w:spacing w:after="0" w:line="80" w:lineRule="exact"/>
        <w:rPr>
          <w:rFonts w:ascii="Arial" w:cs="Arial" w:eastAsia="Arial" w:hAnsi="Arial"/>
          <w:sz w:val="18"/>
          <w:szCs w:val="18"/>
          <w:color w:val="auto"/>
        </w:rPr>
      </w:pPr>
    </w:p>
    <w:p>
      <w:pPr>
        <w:ind w:right="180" w:firstLine="8"/>
        <w:spacing w:after="0" w:line="239" w:lineRule="auto"/>
        <w:tabs>
          <w:tab w:leader="none" w:pos="34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shall be determined by the Committee in its sole discretion from time to time as communicated to Employee in writing.</w:t>
      </w:r>
    </w:p>
    <w:p>
      <w:pPr>
        <w:spacing w:after="0" w:line="73" w:lineRule="exact"/>
        <w:rPr>
          <w:rFonts w:ascii="Arial" w:cs="Arial" w:eastAsia="Arial" w:hAnsi="Arial"/>
          <w:sz w:val="18"/>
          <w:szCs w:val="18"/>
          <w:color w:val="auto"/>
        </w:rPr>
      </w:pPr>
    </w:p>
    <w:p>
      <w:pPr>
        <w:ind w:right="80" w:firstLine="8"/>
        <w:spacing w:after="0" w:line="238" w:lineRule="auto"/>
        <w:tabs>
          <w:tab w:leader="none" w:pos="34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Holding Requirements</w:t>
      </w:r>
      <w:r>
        <w:rPr>
          <w:rFonts w:ascii="Arial" w:cs="Arial" w:eastAsia="Arial" w:hAnsi="Arial"/>
          <w:sz w:val="18"/>
          <w:szCs w:val="18"/>
          <w:color w:val="auto"/>
        </w:rPr>
        <w:t>. The Employee must retain fifty percent (50%) of the net shares of Common Stock acquired in connection with the PSs (net of withholding tax and any applicable fees) until ownership guidelines are met under Paragraph 4 hereof. Such shares shall be held in the Employee’s Morgan Stanley Smith Barney account or at another account acceptable to the Company.</w:t>
      </w:r>
    </w:p>
    <w:p>
      <w:pPr>
        <w:sectPr>
          <w:pgSz w:w="11900" w:h="16838" w:orient="portrait"/>
          <w:cols w:equalWidth="0" w:num="1">
            <w:col w:w="11420"/>
          </w:cols>
          <w:pgMar w:left="240" w:top="121" w:right="239" w:bottom="1440" w:gutter="0" w:footer="0" w:header="0"/>
        </w:sectPr>
      </w:pPr>
    </w:p>
    <w:bookmarkStart w:id="74" w:name="page75"/>
    <w:bookmarkEnd w:id="74"/>
    <w:p>
      <w:pPr>
        <w:ind w:right="84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employment terminates due to the death of the Employee, such holding requirements shall cease at the date of death. If the Employee terminates for any other reason, the holding requirement will be applicable for up to a one year period following termination.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TERMS</w:t>
      </w:r>
    </w:p>
    <w:p>
      <w:pPr>
        <w:spacing w:after="0" w:line="99" w:lineRule="exact"/>
        <w:rPr>
          <w:sz w:val="20"/>
          <w:szCs w:val="20"/>
          <w:color w:val="auto"/>
        </w:rPr>
      </w:pPr>
    </w:p>
    <w:p>
      <w:pPr>
        <w:jc w:val="both"/>
        <w:ind w:right="160" w:firstLine="8"/>
        <w:spacing w:after="0" w:line="238" w:lineRule="auto"/>
        <w:tabs>
          <w:tab w:leader="none" w:pos="34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Rights of a Shareholder</w:t>
      </w:r>
      <w:r>
        <w:rPr>
          <w:rFonts w:ascii="Arial" w:cs="Arial" w:eastAsia="Arial" w:hAnsi="Arial"/>
          <w:sz w:val="18"/>
          <w:szCs w:val="18"/>
          <w:color w:val="auto"/>
        </w:rPr>
        <w:t>. Employee shall have no rights as a shareholder with respect to any shares covered by this Agreement until the date of issuance of a stock certificate to him for such shares. Except as otherwise provided herein, no adjustment shall be made for dividends or other rights for which the record date is prior to the date such stock certificate is issued.</w:t>
      </w:r>
    </w:p>
    <w:p>
      <w:pPr>
        <w:spacing w:after="0" w:line="72" w:lineRule="exact"/>
        <w:rPr>
          <w:rFonts w:ascii="Arial" w:cs="Arial" w:eastAsia="Arial" w:hAnsi="Arial"/>
          <w:sz w:val="18"/>
          <w:szCs w:val="18"/>
          <w:color w:val="auto"/>
        </w:rPr>
      </w:pPr>
    </w:p>
    <w:p>
      <w:pPr>
        <w:ind w:right="880" w:firstLine="8"/>
        <w:spacing w:after="0" w:line="239" w:lineRule="auto"/>
        <w:tabs>
          <w:tab w:leader="none" w:pos="34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This Agreement shall not be assignable or transferable by Employee except by will or by the laws of descent and distribution.</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Death</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80" w:hanging="416"/>
        <w:spacing w:after="0"/>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Effect on PSs. In the event the Employee</w:t>
      </w:r>
    </w:p>
    <w:p>
      <w:pPr>
        <w:spacing w:after="0" w:line="76" w:lineRule="exact"/>
        <w:rPr>
          <w:rFonts w:ascii="Arial" w:cs="Arial" w:eastAsia="Arial" w:hAnsi="Arial"/>
          <w:sz w:val="18"/>
          <w:szCs w:val="18"/>
          <w:color w:val="auto"/>
        </w:rPr>
      </w:pPr>
    </w:p>
    <w:p>
      <w:pPr>
        <w:ind w:right="240" w:firstLine="921"/>
        <w:spacing w:after="0" w:line="299" w:lineRule="auto"/>
        <w:tabs>
          <w:tab w:leader="none" w:pos="1264" w:val="left"/>
        </w:tabs>
        <w:numPr>
          <w:ilvl w:val="2"/>
          <w:numId w:val="48"/>
        </w:numPr>
        <w:rPr>
          <w:rFonts w:ascii="Arial" w:cs="Arial" w:eastAsia="Arial" w:hAnsi="Arial"/>
          <w:sz w:val="16"/>
          <w:szCs w:val="16"/>
          <w:color w:val="auto"/>
        </w:rPr>
      </w:pPr>
      <w:r>
        <w:rPr>
          <w:rFonts w:ascii="Arial" w:cs="Arial" w:eastAsia="Arial" w:hAnsi="Arial"/>
          <w:sz w:val="16"/>
          <w:szCs w:val="16"/>
          <w:color w:val="auto"/>
        </w:rPr>
        <w:t>voluntarily ceases to be an Employee of the Company or any subsidiary or affiliate for any reason other than retirement, and the PSs have not vested in accordance with Paragraph 2, the PSs shall be cancelled on the date of such voluntary termination of employment.</w:t>
      </w:r>
    </w:p>
    <w:p>
      <w:pPr>
        <w:spacing w:after="0" w:line="27" w:lineRule="exact"/>
        <w:rPr>
          <w:rFonts w:ascii="Arial" w:cs="Arial" w:eastAsia="Arial" w:hAnsi="Arial"/>
          <w:sz w:val="16"/>
          <w:szCs w:val="16"/>
          <w:color w:val="auto"/>
        </w:rPr>
      </w:pPr>
    </w:p>
    <w:p>
      <w:pPr>
        <w:ind w:right="40" w:firstLine="921"/>
        <w:spacing w:after="0" w:line="235" w:lineRule="auto"/>
        <w:tabs>
          <w:tab w:leader="none" w:pos="1303" w:val="left"/>
        </w:tabs>
        <w:numPr>
          <w:ilvl w:val="2"/>
          <w:numId w:val="48"/>
        </w:numPr>
        <w:rPr>
          <w:rFonts w:ascii="Arial" w:cs="Arial" w:eastAsia="Arial" w:hAnsi="Arial"/>
          <w:sz w:val="18"/>
          <w:szCs w:val="18"/>
          <w:color w:val="auto"/>
        </w:rPr>
      </w:pPr>
      <w:r>
        <w:rPr>
          <w:rFonts w:ascii="Arial" w:cs="Arial" w:eastAsia="Arial" w:hAnsi="Arial"/>
          <w:sz w:val="18"/>
          <w:szCs w:val="18"/>
          <w:color w:val="auto"/>
        </w:rPr>
        <w:t>involuntarily ceases to be an Employee of the Company or any subsidiary or affiliate for any reason (including Disability), other than death or for Cause, or voluntarily ceases to be an Employee of the Company or any subsidiary or affiliate due to a reduction in workforce, shares will vest on a pro rata basis, which may, at the discretion of the Company, be contingent upon Employee executing a general release, and which may include an agreement with respect to engagement in detrimental activity, in a form acceptable to the Company. Such shares will vest on a pro-rata basis for annual and three-year cumulative performance if achieved in accordance with Paragraph 2, based on the Employee’s actual months of service. For the year in which termination occurs, shares earned for that year will be calculated as follows: multiply the total award earned for that year by a fraction, the numerator of which will be the number of months of full service for that year (earning period) and the denominator will be 12. Any shares earned for annual performance pursuant to this grant for years prior to such involuntary termination of employment and shares earned on a pro-rata basis for annual performance as described herein will be paid out as soon as practicable following the Vesting Date noted in the Award Summary. For three-year cumulative performance, vesting will be calculated as follows: multiply the total three-year cumulative award earned by a fraction, the numerator of which will be the number of months of full service during the three years and the denominator will be 36, and subtract from the sum the number of shares previously earned for annual performance pursuant to this grant. Payout shall occur as soon as practicable following the Vesting Date noted in the Award Summary.</w:t>
      </w:r>
    </w:p>
    <w:p>
      <w:pPr>
        <w:spacing w:after="0" w:line="79" w:lineRule="exact"/>
        <w:rPr>
          <w:rFonts w:ascii="Arial" w:cs="Arial" w:eastAsia="Arial" w:hAnsi="Arial"/>
          <w:sz w:val="18"/>
          <w:szCs w:val="18"/>
          <w:color w:val="auto"/>
        </w:rPr>
      </w:pPr>
    </w:p>
    <w:p>
      <w:pPr>
        <w:ind w:right="380" w:firstLine="921"/>
        <w:spacing w:after="0" w:line="238" w:lineRule="auto"/>
        <w:tabs>
          <w:tab w:leader="none" w:pos="1342" w:val="left"/>
        </w:tabs>
        <w:numPr>
          <w:ilvl w:val="2"/>
          <w:numId w:val="48"/>
        </w:numPr>
        <w:rPr>
          <w:rFonts w:ascii="Arial" w:cs="Arial" w:eastAsia="Arial" w:hAnsi="Arial"/>
          <w:sz w:val="18"/>
          <w:szCs w:val="18"/>
          <w:color w:val="auto"/>
        </w:rPr>
      </w:pPr>
      <w:r>
        <w:rPr>
          <w:rFonts w:ascii="Arial" w:cs="Arial" w:eastAsia="Arial" w:hAnsi="Arial"/>
          <w:sz w:val="18"/>
          <w:szCs w:val="18"/>
          <w:color w:val="auto"/>
        </w:rPr>
        <w:t>ceases to be an Employee of the Company or any subsidiary or affiliate by reason of death, 100% of the PSs pursuant to this grant shall vest on the date of death and the certificates for shares shall be delivered in accordance with Paragraph 7 to the personal representatives, heirs or legatees of the deceased Employee.</w:t>
      </w:r>
    </w:p>
    <w:p>
      <w:pPr>
        <w:spacing w:after="0" w:line="72" w:lineRule="exact"/>
        <w:rPr>
          <w:rFonts w:ascii="Arial" w:cs="Arial" w:eastAsia="Arial" w:hAnsi="Arial"/>
          <w:sz w:val="18"/>
          <w:szCs w:val="18"/>
          <w:color w:val="auto"/>
        </w:rPr>
      </w:pPr>
    </w:p>
    <w:p>
      <w:pPr>
        <w:ind w:firstLine="921"/>
        <w:spacing w:after="0" w:line="235" w:lineRule="auto"/>
        <w:tabs>
          <w:tab w:leader="none" w:pos="1352" w:val="left"/>
        </w:tabs>
        <w:numPr>
          <w:ilvl w:val="2"/>
          <w:numId w:val="48"/>
        </w:numPr>
        <w:rPr>
          <w:rFonts w:ascii="Arial" w:cs="Arial" w:eastAsia="Arial" w:hAnsi="Arial"/>
          <w:sz w:val="18"/>
          <w:szCs w:val="18"/>
          <w:color w:val="auto"/>
        </w:rPr>
      </w:pPr>
      <w:r>
        <w:rPr>
          <w:rFonts w:ascii="Arial" w:cs="Arial" w:eastAsia="Arial" w:hAnsi="Arial"/>
          <w:sz w:val="18"/>
          <w:szCs w:val="18"/>
          <w:color w:val="auto"/>
        </w:rPr>
        <w:t>ceases to be an Employee of the Company or any subsidiary or affiliate by reason of retirement, shares will vest on a pro rata basis, which may, at the discretion of the Company, be contingent upon Employee executing a general release, and which may include an agreement with respect to engagement in detrimental activity, in a form acceptable to the Company. Such shares will vest on a pro-rata basis for annual and three-year cumulative performance, if achieved in accordance with Paragraph 2, based on the Employee’s actual months of service. For the year in which retirement occurs, shares earned for that year will be calculated as follows: multiply the total award earned for that year by a fraction, the numerator of which will be the number of months of full service for that year (earning period) and the denominator will be 12. Any shares earned for annual performance pursuant to this grant for years prior to retirement and shares earned on a pro-rata basis for annual performance as described herein will be paid out as soon as practicable following the Vesting Date noted in the Award Summary. For three-year cumulative performance, vesting will be calculated as follows: multiply the total three-year cumulative award earned by a fraction, the numerator of which will be the number of months of full service during the three years and the denominator will be 36, and subtract from the sum the number of shares previously earned for annual performance pursuant to this grant. Payout shall occur as soon as practicable following the Vesting Date noted in the Award Summary; and</w:t>
      </w:r>
    </w:p>
    <w:p>
      <w:pPr>
        <w:spacing w:after="0" w:line="79" w:lineRule="exact"/>
        <w:rPr>
          <w:rFonts w:ascii="Arial" w:cs="Arial" w:eastAsia="Arial" w:hAnsi="Arial"/>
          <w:sz w:val="18"/>
          <w:szCs w:val="18"/>
          <w:color w:val="auto"/>
        </w:rPr>
      </w:pPr>
    </w:p>
    <w:p>
      <w:pPr>
        <w:ind w:right="140" w:firstLine="921"/>
        <w:spacing w:after="0" w:line="239" w:lineRule="auto"/>
        <w:tabs>
          <w:tab w:leader="none" w:pos="1313" w:val="left"/>
        </w:tabs>
        <w:numPr>
          <w:ilvl w:val="2"/>
          <w:numId w:val="48"/>
        </w:numPr>
        <w:rPr>
          <w:rFonts w:ascii="Arial" w:cs="Arial" w:eastAsia="Arial" w:hAnsi="Arial"/>
          <w:sz w:val="18"/>
          <w:szCs w:val="18"/>
          <w:color w:val="auto"/>
        </w:rPr>
      </w:pPr>
      <w:r>
        <w:rPr>
          <w:rFonts w:ascii="Arial" w:cs="Arial" w:eastAsia="Arial" w:hAnsi="Arial"/>
          <w:sz w:val="18"/>
          <w:szCs w:val="18"/>
          <w:color w:val="auto"/>
        </w:rPr>
        <w:t>ceases to be an Employee of the Company or any subsidiary or affiliate due to termination for Cause, the PSs shall be cancelled as provided under the Plan.</w:t>
      </w:r>
    </w:p>
    <w:p>
      <w:pPr>
        <w:spacing w:after="0" w:line="73" w:lineRule="exact"/>
        <w:rPr>
          <w:rFonts w:ascii="Arial" w:cs="Arial" w:eastAsia="Arial" w:hAnsi="Arial"/>
          <w:sz w:val="18"/>
          <w:szCs w:val="18"/>
          <w:color w:val="auto"/>
        </w:rPr>
      </w:pPr>
    </w:p>
    <w:p>
      <w:pPr>
        <w:ind w:right="220" w:firstLine="464"/>
        <w:spacing w:after="0" w:line="236" w:lineRule="auto"/>
        <w:tabs>
          <w:tab w:leader="none" w:pos="866"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Cessation of active employment due to commencement of long-term disability under the Company’s long-term disability plan shall not be deemed to constitute a termination of employment for purposes of this Paragraph 8 and during the continuance of such Xerox-sponsored long-term disability plan benefits the Employee shall be deemed to continue active employment with the Company. If the Employee is terminated because the Employee has received the maximum coverage under the Xerox long-term disability plan, the vesting of PSs shall be provided pursuant to Paragraph 8 (a)(ii) above.</w:t>
      </w:r>
    </w:p>
    <w:p>
      <w:pPr>
        <w:spacing w:after="0" w:line="76" w:lineRule="exact"/>
        <w:rPr>
          <w:rFonts w:ascii="Arial" w:cs="Arial" w:eastAsia="Arial" w:hAnsi="Arial"/>
          <w:sz w:val="18"/>
          <w:szCs w:val="18"/>
          <w:color w:val="auto"/>
        </w:rPr>
      </w:pPr>
    </w:p>
    <w:p>
      <w:pPr>
        <w:ind w:right="160" w:firstLine="464"/>
        <w:spacing w:after="0" w:line="236" w:lineRule="auto"/>
        <w:tabs>
          <w:tab w:leader="none" w:pos="856"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“Cause” means (i) a violation of any of the rules, policies, procedures or guidelines of the Company, including but not limited to the Company’s Business Ethics Policy and the Proprietary Information and Conflict of Interest Agreement (ii) any conduct which qualifies for “immediate discharge” under the Company’s Human Resource Policies as in effect from time to time (iii) rendering services to a firm which engages, or engaging directly or indirectly, in any business that is competitive with the Company or represents a conflict of interest with the interests of the Company; (iv) conviction of, or entering a guilty plea with respect to, a crime whether or not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91"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connected with the Company; or (v) any other conduct determined to be injurious, detrimental or prejudicial to any interest of the Company.</w:t>
      </w:r>
    </w:p>
    <w:p>
      <w:pPr>
        <w:spacing w:after="0" w:line="77" w:lineRule="exact"/>
        <w:rPr>
          <w:sz w:val="20"/>
          <w:szCs w:val="20"/>
          <w:color w:val="auto"/>
        </w:rPr>
      </w:pPr>
    </w:p>
    <w:p>
      <w:pPr>
        <w:ind w:firstLine="8"/>
        <w:spacing w:after="0" w:line="236" w:lineRule="auto"/>
        <w:tabs>
          <w:tab w:leader="none" w:pos="34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CEO, as applicable, shall determine, in its or her discretion, that the listing, registration or qualification of any shares subject to this Agreement upon any securities exchange or under any state or Federal law, or the consent or approval of any government regulatory body, is necessary or desirable as a condition of, or in connection with, the awarding of the PSs or the issue or purchase of shares hereunder, the certificates for shares may not be issued in respect of PSs in whole or in part unless such listing, registration, qualification, consent or approval shall have been effected or obtained free of any conditions not acceptable to the Committee or CEO, as applicable, and any delay caused thereby shall in no way affect the date of termination of the PSs.</w:t>
      </w:r>
    </w:p>
    <w:p>
      <w:pPr>
        <w:spacing w:after="0" w:line="75" w:lineRule="exact"/>
        <w:rPr>
          <w:rFonts w:ascii="Arial" w:cs="Arial" w:eastAsia="Arial" w:hAnsi="Arial"/>
          <w:sz w:val="18"/>
          <w:szCs w:val="18"/>
          <w:color w:val="auto"/>
        </w:rPr>
      </w:pPr>
    </w:p>
    <w:p>
      <w:pPr>
        <w:ind w:right="60" w:firstLine="8"/>
        <w:spacing w:after="0" w:line="237" w:lineRule="auto"/>
        <w:tabs>
          <w:tab w:leader="none" w:pos="43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Employee acknowledges that the ultimate responsibility for Employee’s Federal, state and municipal individual income taxes, the Employee’s portion of social security and other payroll taxes, and any other taxes related to Employee’s participation in the Plan and legally applicable to Employee, is and remains his or her responsibility and may exceed the amount actually withheld by the Company or the Employer.</w:t>
      </w:r>
    </w:p>
    <w:p>
      <w:pPr>
        <w:spacing w:after="0" w:line="73" w:lineRule="exact"/>
        <w:rPr>
          <w:rFonts w:ascii="Arial" w:cs="Arial" w:eastAsia="Arial" w:hAnsi="Arial"/>
          <w:sz w:val="18"/>
          <w:szCs w:val="18"/>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Employee acknowledges that:</w:t>
      </w:r>
    </w:p>
    <w:p>
      <w:pPr>
        <w:spacing w:after="0" w:line="76" w:lineRule="exact"/>
        <w:rPr>
          <w:rFonts w:ascii="Arial" w:cs="Arial" w:eastAsia="Arial" w:hAnsi="Arial"/>
          <w:sz w:val="18"/>
          <w:szCs w:val="18"/>
          <w:color w:val="auto"/>
        </w:rPr>
      </w:pPr>
    </w:p>
    <w:p>
      <w:pPr>
        <w:ind w:right="680" w:firstLine="464"/>
        <w:spacing w:after="0" w:line="299" w:lineRule="auto"/>
        <w:tabs>
          <w:tab w:leader="none" w:pos="866"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Plan is established voluntarily by the Company, it is discretionary in nature and it may be modified, amended, suspended or terminated by the Company at any time in a manner consistent with Section 13 of the Plan regarding Plan amendment and termination.</w:t>
      </w:r>
    </w:p>
    <w:p>
      <w:pPr>
        <w:spacing w:after="0" w:line="27" w:lineRule="exact"/>
        <w:rPr>
          <w:rFonts w:ascii="Arial" w:cs="Arial" w:eastAsia="Arial" w:hAnsi="Arial"/>
          <w:sz w:val="16"/>
          <w:szCs w:val="16"/>
          <w:color w:val="auto"/>
        </w:rPr>
      </w:pPr>
    </w:p>
    <w:p>
      <w:pPr>
        <w:ind w:right="360" w:firstLine="921"/>
        <w:spacing w:after="0" w:line="239" w:lineRule="auto"/>
        <w:tabs>
          <w:tab w:leader="none" w:pos="1323"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award of the PSs is voluntary and occasional and does not create any contractual or other right to receive future grants of PSs, or benefits in lieu of PSs, even if PSs have been granted repeatedly in the past;</w:t>
      </w:r>
    </w:p>
    <w:p>
      <w:pPr>
        <w:spacing w:after="0" w:line="73" w:lineRule="exact"/>
        <w:rPr>
          <w:rFonts w:ascii="Arial" w:cs="Arial" w:eastAsia="Arial" w:hAnsi="Arial"/>
          <w:sz w:val="18"/>
          <w:szCs w:val="18"/>
          <w:color w:val="auto"/>
        </w:rPr>
      </w:pPr>
    </w:p>
    <w:p>
      <w:pPr>
        <w:ind w:left="1320" w:hanging="399"/>
        <w:spacing w:after="0"/>
        <w:tabs>
          <w:tab w:leader="none" w:pos="13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all decisions with respect to future PS awards, if any, will be at the sole discretion of the Committee;</w:t>
      </w:r>
    </w:p>
    <w:p>
      <w:pPr>
        <w:spacing w:after="0" w:line="76" w:lineRule="exact"/>
        <w:rPr>
          <w:rFonts w:ascii="Arial" w:cs="Arial" w:eastAsia="Arial" w:hAnsi="Arial"/>
          <w:sz w:val="18"/>
          <w:szCs w:val="18"/>
          <w:color w:val="auto"/>
        </w:rPr>
      </w:pPr>
    </w:p>
    <w:p>
      <w:pPr>
        <w:ind w:right="60" w:firstLine="921"/>
        <w:spacing w:after="0" w:line="281" w:lineRule="auto"/>
        <w:tabs>
          <w:tab w:leader="none" w:pos="1323" w:val="left"/>
        </w:tabs>
        <w:numPr>
          <w:ilvl w:val="2"/>
          <w:numId w:val="49"/>
        </w:numPr>
        <w:rPr>
          <w:rFonts w:ascii="Arial" w:cs="Arial" w:eastAsia="Arial" w:hAnsi="Arial"/>
          <w:sz w:val="16"/>
          <w:szCs w:val="16"/>
          <w:color w:val="auto"/>
        </w:rPr>
      </w:pPr>
      <w:r>
        <w:rPr>
          <w:rFonts w:ascii="Arial" w:cs="Arial" w:eastAsia="Arial" w:hAnsi="Arial"/>
          <w:sz w:val="16"/>
          <w:szCs w:val="16"/>
          <w:color w:val="auto"/>
        </w:rPr>
        <w:t>Employee’s participation in the Plan shall not create a right to further employment with the Employer and shall not interfere with the ability of the Employer to terminate Employee’s employment relationship at any time; further, the PS award and Employee’s participation in the Plan will not be interpreted to form an employment contract or relationship with the Company or any subsidiary of the Company;</w:t>
      </w:r>
    </w:p>
    <w:p>
      <w:pPr>
        <w:spacing w:after="0" w:line="42" w:lineRule="exact"/>
        <w:rPr>
          <w:rFonts w:ascii="Arial" w:cs="Arial" w:eastAsia="Arial" w:hAnsi="Arial"/>
          <w:sz w:val="16"/>
          <w:szCs w:val="16"/>
          <w:color w:val="auto"/>
        </w:rPr>
      </w:pPr>
    </w:p>
    <w:p>
      <w:pPr>
        <w:ind w:left="1340" w:hanging="419"/>
        <w:spacing w:after="0"/>
        <w:tabs>
          <w:tab w:leader="none" w:pos="13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Employee is voluntarily participating in the Plan;</w:t>
      </w:r>
    </w:p>
    <w:p>
      <w:pPr>
        <w:spacing w:after="0" w:line="76" w:lineRule="exact"/>
        <w:rPr>
          <w:rFonts w:ascii="Arial" w:cs="Arial" w:eastAsia="Arial" w:hAnsi="Arial"/>
          <w:sz w:val="18"/>
          <w:szCs w:val="18"/>
          <w:color w:val="auto"/>
        </w:rPr>
      </w:pPr>
    </w:p>
    <w:p>
      <w:pPr>
        <w:ind w:right="80" w:firstLine="921"/>
        <w:spacing w:after="0" w:line="238" w:lineRule="auto"/>
        <w:tabs>
          <w:tab w:leader="none" w:pos="1274"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PSs and the shares of Common Stock subject to the PSs are an extraordinary item that does not constitute compensation of any kind for services of any kind rendered to the Company or the Employer, and which is outside the scope of Employee’s employment contract, if any;</w:t>
      </w:r>
    </w:p>
    <w:p>
      <w:pPr>
        <w:spacing w:after="0" w:line="72" w:lineRule="exact"/>
        <w:rPr>
          <w:rFonts w:ascii="Arial" w:cs="Arial" w:eastAsia="Arial" w:hAnsi="Arial"/>
          <w:sz w:val="18"/>
          <w:szCs w:val="18"/>
          <w:color w:val="auto"/>
        </w:rPr>
      </w:pPr>
    </w:p>
    <w:p>
      <w:pPr>
        <w:ind w:left="1340" w:hanging="419"/>
        <w:spacing w:after="0"/>
        <w:tabs>
          <w:tab w:leader="none" w:pos="13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PSs and the shares of Common Stock subject to the PSs are not intended to replace any pension rights or compensation;</w:t>
      </w:r>
    </w:p>
    <w:p>
      <w:pPr>
        <w:spacing w:after="0" w:line="76" w:lineRule="exact"/>
        <w:rPr>
          <w:rFonts w:ascii="Arial" w:cs="Arial" w:eastAsia="Arial" w:hAnsi="Arial"/>
          <w:sz w:val="18"/>
          <w:szCs w:val="18"/>
          <w:color w:val="auto"/>
        </w:rPr>
      </w:pPr>
    </w:p>
    <w:p>
      <w:pPr>
        <w:ind w:right="200" w:firstLine="921"/>
        <w:spacing w:after="0" w:line="237" w:lineRule="auto"/>
        <w:tabs>
          <w:tab w:leader="none" w:pos="1323"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PSs and the shares of Common Stock subject to the PSs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the Employer or any subsidiary of the Company;</w:t>
      </w:r>
    </w:p>
    <w:p>
      <w:pPr>
        <w:spacing w:after="0" w:line="73" w:lineRule="exact"/>
        <w:rPr>
          <w:rFonts w:ascii="Arial" w:cs="Arial" w:eastAsia="Arial" w:hAnsi="Arial"/>
          <w:sz w:val="18"/>
          <w:szCs w:val="18"/>
          <w:color w:val="auto"/>
        </w:rPr>
      </w:pPr>
    </w:p>
    <w:p>
      <w:pPr>
        <w:ind w:left="1280" w:hanging="359"/>
        <w:spacing w:after="0"/>
        <w:tabs>
          <w:tab w:leader="none" w:pos="12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76" w:lineRule="exact"/>
        <w:rPr>
          <w:rFonts w:ascii="Arial" w:cs="Arial" w:eastAsia="Arial" w:hAnsi="Arial"/>
          <w:sz w:val="18"/>
          <w:szCs w:val="18"/>
          <w:color w:val="auto"/>
        </w:rPr>
      </w:pPr>
    </w:p>
    <w:p>
      <w:pPr>
        <w:ind w:right="100" w:firstLine="921"/>
        <w:spacing w:after="0" w:line="236" w:lineRule="auto"/>
        <w:tabs>
          <w:tab w:leader="none" w:pos="1264" w:val="left"/>
        </w:tabs>
        <w:numPr>
          <w:ilvl w:val="2"/>
          <w:numId w:val="49"/>
        </w:numPr>
        <w:rPr>
          <w:rFonts w:ascii="Arial" w:cs="Arial" w:eastAsia="Arial" w:hAnsi="Arial"/>
          <w:sz w:val="18"/>
          <w:szCs w:val="18"/>
          <w:color w:val="auto"/>
        </w:rPr>
      </w:pPr>
      <w:r>
        <w:rPr>
          <w:rFonts w:ascii="Arial" w:cs="Arial" w:eastAsia="Arial" w:hAnsi="Arial"/>
          <w:sz w:val="18"/>
          <w:szCs w:val="18"/>
          <w:color w:val="auto"/>
        </w:rPr>
        <w:t>in consideration of the award of the PSs, no claim or entitlement to compensation or damages shall arise from forfeiture of the PSs, including, but not limited to, forfeiture resulting from termination of Employee’s employment with the Company or the Employer (for any reason whatsoever and whether or not in breach of local labor laws) and Employee irrevocably releases the Company and the Employer from any such claim that may arise; if, notwithstanding the foregoing, any such claim is found by a court of competent jurisdiction to have arisen, Employee shall be deemed irrevocably to have waived Employee’s entitlement to pursue such claim; and</w:t>
      </w:r>
    </w:p>
    <w:p>
      <w:pPr>
        <w:spacing w:after="0" w:line="76" w:lineRule="exact"/>
        <w:rPr>
          <w:rFonts w:ascii="Arial" w:cs="Arial" w:eastAsia="Arial" w:hAnsi="Arial"/>
          <w:sz w:val="18"/>
          <w:szCs w:val="18"/>
          <w:color w:val="auto"/>
        </w:rPr>
      </w:pPr>
    </w:p>
    <w:p>
      <w:pPr>
        <w:ind w:right="1020" w:firstLine="921"/>
        <w:spacing w:after="0" w:line="239" w:lineRule="auto"/>
        <w:tabs>
          <w:tab w:leader="none" w:pos="1313" w:val="left"/>
        </w:tabs>
        <w:numPr>
          <w:ilvl w:val="2"/>
          <w:numId w:val="49"/>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PSs and the benefits under the Plan, if any, will not automatically transfer to another company in the case of a merger, take-over or transfer of liability.</w:t>
      </w:r>
    </w:p>
    <w:p>
      <w:pPr>
        <w:spacing w:after="0" w:line="73" w:lineRule="exact"/>
        <w:rPr>
          <w:rFonts w:ascii="Arial" w:cs="Arial" w:eastAsia="Arial" w:hAnsi="Arial"/>
          <w:sz w:val="18"/>
          <w:szCs w:val="18"/>
          <w:color w:val="auto"/>
        </w:rPr>
      </w:pPr>
    </w:p>
    <w:p>
      <w:pPr>
        <w:ind w:right="220" w:firstLine="8"/>
        <w:spacing w:after="0" w:line="237" w:lineRule="auto"/>
        <w:tabs>
          <w:tab w:leader="none" w:pos="43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The Company is not providing any tax, legal or financial advice, nor is the Company making any recommendations regarding Employee’s participation in the Plan, or his or her acquisition or sale of the underlying shares of Common Stock. Employee is hereby advised to consult with his or her own personal tax, legal and financial advisors regarding his or her participation in the Plan before taking any action related to the Plan.</w:t>
      </w:r>
    </w:p>
    <w:p>
      <w:pPr>
        <w:spacing w:after="0" w:line="73" w:lineRule="exact"/>
        <w:rPr>
          <w:rFonts w:ascii="Arial" w:cs="Arial" w:eastAsia="Arial" w:hAnsi="Arial"/>
          <w:sz w:val="18"/>
          <w:szCs w:val="18"/>
          <w:color w:val="auto"/>
        </w:rPr>
      </w:pPr>
    </w:p>
    <w:p>
      <w:pPr>
        <w:ind w:right="80" w:firstLine="8"/>
        <w:spacing w:after="0" w:line="239" w:lineRule="auto"/>
        <w:tabs>
          <w:tab w:leader="none" w:pos="43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CEO, as applicable, may amend this Agreement in a manner not inconsistent with the Plan.</w:t>
      </w:r>
    </w:p>
    <w:p>
      <w:pPr>
        <w:spacing w:after="0" w:line="73" w:lineRule="exact"/>
        <w:rPr>
          <w:rFonts w:ascii="Arial" w:cs="Arial" w:eastAsia="Arial" w:hAnsi="Arial"/>
          <w:sz w:val="18"/>
          <w:szCs w:val="18"/>
          <w:color w:val="auto"/>
        </w:rPr>
      </w:pPr>
    </w:p>
    <w:p>
      <w:pPr>
        <w:ind w:right="120" w:firstLine="8"/>
        <w:spacing w:after="0" w:line="239" w:lineRule="auto"/>
        <w:tabs>
          <w:tab w:leader="none" w:pos="43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As used herein the term “subsidiary” shall mean any present or future corporation which would be a “subsidiary corporation” of the Company as the term is defined in Section 425 of the Internal Revenue Code of 1986 on the date of award.</w:t>
      </w:r>
    </w:p>
    <w:p>
      <w:pPr>
        <w:spacing w:after="0" w:line="73" w:lineRule="exact"/>
        <w:rPr>
          <w:rFonts w:ascii="Arial" w:cs="Arial" w:eastAsia="Arial" w:hAnsi="Arial"/>
          <w:sz w:val="18"/>
          <w:szCs w:val="18"/>
          <w:color w:val="auto"/>
        </w:rPr>
      </w:pPr>
    </w:p>
    <w:p>
      <w:pPr>
        <w:ind w:right="200" w:firstLine="8"/>
        <w:spacing w:after="0" w:line="239" w:lineRule="auto"/>
        <w:tabs>
          <w:tab w:leader="none" w:pos="43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As used herein the term “affiliate” shall mean any entity in which the Company has a significant equity interest, as determined by the Committee.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91" w:right="259" w:bottom="1440" w:gutter="0" w:footer="0" w:header="0"/>
        </w:sectPr>
      </w:pPr>
    </w:p>
    <w:bookmarkStart w:id="76" w:name="page77"/>
    <w:bookmarkEnd w:id="76"/>
    <w:p>
      <w:pPr>
        <w:ind w:firstLine="8"/>
        <w:spacing w:after="0" w:line="236" w:lineRule="auto"/>
        <w:tabs>
          <w:tab w:leader="none" w:pos="43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Non-engagement in Detrimental Activity Against the Company</w:t>
      </w:r>
      <w:r>
        <w:rPr>
          <w:rFonts w:ascii="Arial" w:cs="Arial" w:eastAsia="Arial" w:hAnsi="Arial"/>
          <w:sz w:val="18"/>
          <w:szCs w:val="18"/>
          <w:color w:val="auto"/>
        </w:rPr>
        <w:t>. If an Employee or former Employee of the Company is deemed by the Committee or its authorized delegate, as applicable, in the Committee’s or such delegate’s sole reasonable discretion as provided under the Plan, to have engaged in detrimental activity against the Company, any awards granted to such Employee or former Employee shall be cancelled and be of no further force or effect and any payment or delivery of an award within six months prior to such detrimental activity may be rescinded. In the event of any such rescission, the Employee shall pay to the Company the amount of any gain realized or payment received as a result of the rescinded exercise, payment or delivery, in such manner and on such terms and conditions as may be required by the Committee or its delegate, as applicable.</w:t>
      </w:r>
    </w:p>
    <w:p>
      <w:pPr>
        <w:spacing w:after="0" w:line="74" w:lineRule="exact"/>
        <w:rPr>
          <w:rFonts w:ascii="Arial" w:cs="Arial" w:eastAsia="Arial" w:hAnsi="Arial"/>
          <w:sz w:val="18"/>
          <w:szCs w:val="18"/>
          <w:color w:val="auto"/>
        </w:rPr>
      </w:pPr>
    </w:p>
    <w:p>
      <w:pPr>
        <w:ind w:right="160" w:firstLine="8"/>
        <w:spacing w:after="0" w:line="299" w:lineRule="auto"/>
        <w:tabs>
          <w:tab w:leader="none" w:pos="439"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Cancellation and Rescission of Award</w:t>
      </w:r>
      <w:r>
        <w:rPr>
          <w:rFonts w:ascii="Arial" w:cs="Arial" w:eastAsia="Arial" w:hAnsi="Arial"/>
          <w:sz w:val="16"/>
          <w:szCs w:val="16"/>
          <w:color w:val="auto"/>
        </w:rPr>
        <w:t>. Without limiting the foregoing Paragraph regarding non-engagement in detrimental activity against the Company, the Company may cancel any award provided hereunder if the Employee is not in compliance with all of the following conditions:</w:t>
      </w:r>
    </w:p>
    <w:p>
      <w:pPr>
        <w:spacing w:after="0" w:line="27" w:lineRule="exact"/>
        <w:rPr>
          <w:rFonts w:ascii="Arial" w:cs="Arial" w:eastAsia="Arial" w:hAnsi="Arial"/>
          <w:sz w:val="16"/>
          <w:szCs w:val="16"/>
          <w:color w:val="auto"/>
        </w:rPr>
      </w:pPr>
    </w:p>
    <w:p>
      <w:pPr>
        <w:ind w:right="480" w:firstLine="464"/>
        <w:spacing w:after="0" w:line="239" w:lineRule="auto"/>
        <w:tabs>
          <w:tab w:leader="none" w:pos="856"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 Employee shall not render services for any organization or engage directly or indirectly in any business which would cause the Employee to breach any of the post-employment prohibitions contained in any agreement between the Company and the Employee.</w:t>
      </w:r>
    </w:p>
    <w:p>
      <w:pPr>
        <w:spacing w:after="0" w:line="73" w:lineRule="exact"/>
        <w:rPr>
          <w:rFonts w:ascii="Arial" w:cs="Arial" w:eastAsia="Arial" w:hAnsi="Arial"/>
          <w:sz w:val="18"/>
          <w:szCs w:val="18"/>
          <w:color w:val="auto"/>
        </w:rPr>
      </w:pPr>
    </w:p>
    <w:p>
      <w:pPr>
        <w:ind w:right="160" w:firstLine="464"/>
        <w:spacing w:after="0" w:line="237" w:lineRule="auto"/>
        <w:tabs>
          <w:tab w:leader="none" w:pos="856"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 Employee shall not, without prior written authorization from the Company, disclose to anyone outside the Company, or use in other than the Company’s business, any confidential information or material, as specified in any agreement between the Company and the Employee which contains post-employment prohibitions, relating to the business of the Company, acquired by the Employee either during or after employment with the Company.</w:t>
      </w:r>
    </w:p>
    <w:p>
      <w:pPr>
        <w:spacing w:after="0" w:line="73" w:lineRule="exact"/>
        <w:rPr>
          <w:rFonts w:ascii="Arial" w:cs="Arial" w:eastAsia="Arial" w:hAnsi="Arial"/>
          <w:sz w:val="18"/>
          <w:szCs w:val="18"/>
          <w:color w:val="auto"/>
        </w:rPr>
      </w:pPr>
    </w:p>
    <w:p>
      <w:pPr>
        <w:ind w:firstLine="464"/>
        <w:spacing w:after="0" w:line="236" w:lineRule="auto"/>
        <w:tabs>
          <w:tab w:leader="none" w:pos="8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 Employee, pursuant to any agreement between the Company and the Employee which contains post-employment prohibitions shall disclose promptly and assign to the Company all right, title and interest in any invention or idea, patentable or not, made or conceived by the Employee during employment with the Company, relating in any manner to the actual or anticipated business, research or development work of the Company and shall do anything reasonably necessary to enable the Company to secure a patent where appropriate in the United States and in foreign countries.</w:t>
      </w:r>
    </w:p>
    <w:p>
      <w:pPr>
        <w:spacing w:after="0" w:line="76" w:lineRule="exact"/>
        <w:rPr>
          <w:rFonts w:ascii="Arial" w:cs="Arial" w:eastAsia="Arial" w:hAnsi="Arial"/>
          <w:sz w:val="18"/>
          <w:szCs w:val="18"/>
          <w:color w:val="auto"/>
        </w:rPr>
      </w:pPr>
    </w:p>
    <w:p>
      <w:pPr>
        <w:ind w:firstLine="464"/>
        <w:spacing w:after="0" w:line="236" w:lineRule="auto"/>
        <w:tabs>
          <w:tab w:leader="none" w:pos="866" w:val="left"/>
        </w:tabs>
        <w:numPr>
          <w:ilvl w:val="1"/>
          <w:numId w:val="50"/>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Paragraph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75" w:lineRule="exact"/>
        <w:rPr>
          <w:rFonts w:ascii="Arial" w:cs="Arial" w:eastAsia="Arial" w:hAnsi="Arial"/>
          <w:sz w:val="18"/>
          <w:szCs w:val="18"/>
          <w:color w:val="auto"/>
        </w:rPr>
      </w:pPr>
    </w:p>
    <w:p>
      <w:pPr>
        <w:ind w:right="100" w:firstLine="8"/>
        <w:spacing w:after="0" w:line="221" w:lineRule="auto"/>
        <w:tabs>
          <w:tab w:leader="none" w:pos="43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P.O. Box 4505, 45 Glover Avenue, 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Norwalk, Connecticut 06856-4505, addressed to the attention of Stock Plan Administrator, and if to the Employee shall be delivered personally or mailed to the Employee at his address as the same appears on the records of the Company.</w:t>
      </w:r>
    </w:p>
    <w:p>
      <w:pPr>
        <w:spacing w:after="0" w:line="74" w:lineRule="exact"/>
        <w:rPr>
          <w:rFonts w:ascii="Arial" w:cs="Arial" w:eastAsia="Arial" w:hAnsi="Arial"/>
          <w:sz w:val="18"/>
          <w:szCs w:val="18"/>
          <w:color w:val="auto"/>
        </w:rPr>
      </w:pPr>
    </w:p>
    <w:p>
      <w:pPr>
        <w:ind w:right="540" w:firstLine="8"/>
        <w:spacing w:after="0" w:line="239" w:lineRule="auto"/>
        <w:tabs>
          <w:tab w:leader="none" w:pos="43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73" w:lineRule="exact"/>
        <w:rPr>
          <w:rFonts w:ascii="Arial" w:cs="Arial" w:eastAsia="Arial" w:hAnsi="Arial"/>
          <w:sz w:val="18"/>
          <w:szCs w:val="18"/>
          <w:color w:val="auto"/>
        </w:rPr>
      </w:pPr>
    </w:p>
    <w:p>
      <w:pPr>
        <w:ind w:right="160" w:firstLine="8"/>
        <w:spacing w:after="0" w:line="237" w:lineRule="auto"/>
        <w:tabs>
          <w:tab w:leader="none" w:pos="43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discretion, decide to deliver any documents related to current or future participation in the Plan by electronic means. Employee hereby consents to receive such documents by electronic delivery and agrees to participate in the Plan through an on-line or electronic system established and maintained by the Company or a third party designated by the Company.</w:t>
      </w:r>
    </w:p>
    <w:p>
      <w:pPr>
        <w:spacing w:after="0" w:line="73" w:lineRule="exact"/>
        <w:rPr>
          <w:rFonts w:ascii="Arial" w:cs="Arial" w:eastAsia="Arial" w:hAnsi="Arial"/>
          <w:sz w:val="18"/>
          <w:szCs w:val="18"/>
          <w:color w:val="auto"/>
        </w:rPr>
      </w:pPr>
    </w:p>
    <w:p>
      <w:pPr>
        <w:ind w:right="20" w:firstLine="8"/>
        <w:spacing w:after="0" w:line="236" w:lineRule="auto"/>
        <w:tabs>
          <w:tab w:leader="none" w:pos="43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the CEO, as applicable, shall have the authority to interpret the Plan and this Agreement and to take whatever administrative actions, including correction of administrative errors in the awards subject to this Agreement and in this Agreement, as the Committee or the CEO in its or her sole good faith judgment shall be determined to be advisable. All decisions, interpretations and administrative actions made by the Committee or the CEO hereunder or under the Plan shall be binding and conclusive on the Company and the Employee. In the event there is inconsistency between the provisions of this Agreement and of the Plan, the provisions of the Plan shall govern.</w:t>
      </w:r>
    </w:p>
    <w:p>
      <w:pPr>
        <w:spacing w:after="0" w:line="75" w:lineRule="exact"/>
        <w:rPr>
          <w:rFonts w:ascii="Arial" w:cs="Arial" w:eastAsia="Arial" w:hAnsi="Arial"/>
          <w:sz w:val="18"/>
          <w:szCs w:val="18"/>
          <w:color w:val="auto"/>
        </w:rPr>
      </w:pPr>
    </w:p>
    <w:p>
      <w:pPr>
        <w:ind w:right="100" w:firstLine="8"/>
        <w:spacing w:after="0" w:line="239" w:lineRule="auto"/>
        <w:tabs>
          <w:tab w:leader="none" w:pos="43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and inure to the benefit of the parties hereto and the successors and assigns of the Company and to the extent provided in Paragraph 8 to the personal representatives, legatees and heirs of the Employee.</w:t>
      </w:r>
    </w:p>
    <w:p>
      <w:pPr>
        <w:spacing w:after="0" w:line="73" w:lineRule="exact"/>
        <w:rPr>
          <w:rFonts w:ascii="Arial" w:cs="Arial" w:eastAsia="Arial" w:hAnsi="Arial"/>
          <w:sz w:val="18"/>
          <w:szCs w:val="18"/>
          <w:color w:val="auto"/>
        </w:rPr>
      </w:pPr>
    </w:p>
    <w:p>
      <w:pPr>
        <w:ind w:firstLine="8"/>
        <w:spacing w:after="0" w:line="239" w:lineRule="auto"/>
        <w:tabs>
          <w:tab w:leader="none" w:pos="43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and any actions taken under or relating to this Agreement shall be determined in accordance with the laws of the state of New York and applicable Federal law.</w:t>
      </w:r>
    </w:p>
    <w:p>
      <w:pPr>
        <w:spacing w:after="0" w:line="74"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This grant is made and/or administered in the United States. For purposes of litigating any dispute that arises under this grant or the Agreement the parties hereby submit to and consent to the jurisdiction of the state of New York, agree that such litigation shall be conducted in the courts of Monroe County, New York, or the federal courts for the United States for the Western District of New York.</w:t>
      </w:r>
    </w:p>
    <w:p>
      <w:pPr>
        <w:spacing w:after="0" w:line="73" w:lineRule="exact"/>
        <w:rPr>
          <w:sz w:val="20"/>
          <w:szCs w:val="20"/>
          <w:color w:val="auto"/>
        </w:rPr>
      </w:pPr>
    </w:p>
    <w:p>
      <w:pPr>
        <w:ind w:right="240" w:firstLine="8"/>
        <w:spacing w:after="0" w:line="238" w:lineRule="auto"/>
        <w:tabs>
          <w:tab w:leader="none" w:pos="439"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91" w:right="259" w:bottom="1440" w:gutter="0" w:footer="0" w:header="0"/>
        </w:sectPr>
      </w:pPr>
    </w:p>
    <w:bookmarkStart w:id="77" w:name="page78"/>
    <w:bookmarkEnd w:id="77"/>
    <w:p>
      <w:pPr>
        <w:ind w:left="-8" w:right="440" w:firstLine="8"/>
        <w:spacing w:after="0" w:line="239" w:lineRule="auto"/>
        <w:tabs>
          <w:tab w:leader="none" w:pos="28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73" w:lineRule="exact"/>
        <w:rPr>
          <w:rFonts w:ascii="Arial" w:cs="Arial" w:eastAsia="Arial" w:hAnsi="Arial"/>
          <w:sz w:val="18"/>
          <w:szCs w:val="18"/>
          <w:color w:val="auto"/>
        </w:rPr>
      </w:pPr>
    </w:p>
    <w:p>
      <w:pPr>
        <w:ind w:left="-8" w:right="160" w:firstLine="8"/>
        <w:spacing w:after="0" w:line="236" w:lineRule="auto"/>
        <w:tabs>
          <w:tab w:leader="none" w:pos="28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PS award shall be subject to any special terms and conditions set forth in any appendix to this Agreement for Employee’s country (the “Appendix”). Moreover, if Employee relocates to one of the countries included in the Appendix, the special terms and conditions for such country will apply to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76" w:lineRule="exact"/>
        <w:rPr>
          <w:rFonts w:ascii="Arial" w:cs="Arial" w:eastAsia="Arial" w:hAnsi="Arial"/>
          <w:sz w:val="18"/>
          <w:szCs w:val="18"/>
          <w:color w:val="auto"/>
        </w:rPr>
      </w:pPr>
    </w:p>
    <w:p>
      <w:pPr>
        <w:ind w:left="-8" w:firstLine="8"/>
        <w:spacing w:after="0" w:line="237" w:lineRule="auto"/>
        <w:tabs>
          <w:tab w:leader="none" w:pos="28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reserves the right to impose other requirements on Employee’s participation in the Plan, on the PSs and on any shares of Common Stock acquired under the Plan, to the extent the Committee determines it is necessary or advisable in order to comply with local law or facilitate the administration of the Plan, and to require Employee to sign any additional agreements or undertakings that may be necessary to accomplish the foregoing.</w:t>
      </w:r>
    </w:p>
    <w:p>
      <w:pPr>
        <w:spacing w:after="0" w:line="15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198"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XEROX CORPORATION</w:t>
      </w:r>
    </w:p>
    <w:p>
      <w:pPr>
        <w:spacing w:after="0" w:line="207"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-10160</wp:posOffset>
            </wp:positionV>
            <wp:extent cx="2735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8912"/>
        <w:spacing w:after="0"/>
        <w:rPr>
          <w:sz w:val="20"/>
          <w:szCs w:val="20"/>
          <w:color w:val="auto"/>
        </w:rPr>
      </w:pPr>
      <w:r>
        <w:rPr>
          <w:rFonts w:ascii="Arial" w:cs="Arial" w:eastAsia="Arial" w:hAnsi="Arial"/>
          <w:sz w:val="18"/>
          <w:szCs w:val="18"/>
          <w:color w:val="auto"/>
        </w:rPr>
        <w:t>Signature</w:t>
      </w:r>
    </w:p>
    <w:p>
      <w:pPr>
        <w:spacing w:after="0" w:line="14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12"/>
          </w:cols>
          <w:pgMar w:left="248" w:top="291"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1269BC"/>
        </w:rPr>
        <w:t>«</w:t>
      </w:r>
      <w:r>
        <w:rPr>
          <w:rFonts w:ascii="Arial" w:cs="Arial" w:eastAsia="Arial" w:hAnsi="Arial"/>
          <w:sz w:val="18"/>
          <w:szCs w:val="18"/>
          <w:b w:val="1"/>
          <w:bCs w:val="1"/>
          <w:color w:val="1269BC"/>
        </w:rPr>
        <w:t>First Name</w:t>
      </w:r>
      <w:r>
        <w:rPr>
          <w:rFonts w:ascii="Arial" w:cs="Arial" w:eastAsia="Arial" w:hAnsi="Arial"/>
          <w:sz w:val="18"/>
          <w:szCs w:val="18"/>
          <w:color w:val="1269BC"/>
        </w:rPr>
        <w:t>» «</w:t>
      </w:r>
      <w:r>
        <w:rPr>
          <w:rFonts w:ascii="Arial" w:cs="Arial" w:eastAsia="Arial" w:hAnsi="Arial"/>
          <w:sz w:val="18"/>
          <w:szCs w:val="18"/>
          <w:b w:val="1"/>
          <w:bCs w:val="1"/>
          <w:color w:val="1269BC"/>
        </w:rPr>
        <w:t>Last Name</w:t>
      </w:r>
      <w:r>
        <w:rPr>
          <w:rFonts w:ascii="Arial" w:cs="Arial" w:eastAsia="Arial" w:hAnsi="Arial"/>
          <w:sz w:val="18"/>
          <w:szCs w:val="18"/>
          <w:color w:val="1269BC"/>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agreement and award: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Value: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Performance Shares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Performance Shares: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Date of All Performance Shares Earned: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 Earned if Annual Target Performance is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Achieved:</w:t>
      </w:r>
    </w:p>
    <w:p>
      <w:pPr>
        <w:spacing w:after="0" w:line="8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Performance Shares Earned if Three-Year Cumulative Performance between Threshold and Maximum is Achieved: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1269BC"/>
        </w:rPr>
        <w:t>EXHIBIT 10(e)(23)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189230</wp:posOffset>
            </wp:positionV>
            <wp:extent cx="1071880" cy="308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7188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Executive Long-Term</w:t>
      </w:r>
    </w:p>
    <w:p>
      <w:pPr>
        <w:jc w:val="right"/>
        <w:spacing w:after="0" w:line="234" w:lineRule="auto"/>
        <w:rPr>
          <w:sz w:val="20"/>
          <w:szCs w:val="20"/>
          <w:color w:val="auto"/>
        </w:rPr>
      </w:pPr>
      <w:r>
        <w:rPr>
          <w:rFonts w:ascii="Arial" w:cs="Arial" w:eastAsia="Arial" w:hAnsi="Arial"/>
          <w:sz w:val="18"/>
          <w:szCs w:val="18"/>
          <w:color w:val="1269BC"/>
        </w:rPr>
        <w:t>Incentive Program Grant (Officers)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Award Summary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&lt;&lt;Grant Date&gt;&gt;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&lt;&lt;Approved Value&gt;&gt;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&lt;&lt;# Performance Shares&gt;&gt;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&lt;&lt;3 yrs. from grant date&gt;&gt;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1/3 of grant on: &lt;&lt;one, two and three yrs. from grant date&gt;&gt;</w:t>
      </w:r>
    </w:p>
    <w:p>
      <w:pPr>
        <w:spacing w:after="0" w:line="30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25% – 150% of grant (net of shares earned for Annual Achievement) on &lt;&lt;3 yrs. from grant date&gt;&gt;</w:t>
      </w:r>
    </w:p>
    <w:p>
      <w:pPr>
        <w:spacing w:after="0" w:line="155" w:lineRule="exact"/>
        <w:rPr>
          <w:sz w:val="20"/>
          <w:szCs w:val="20"/>
          <w:color w:val="auto"/>
        </w:rPr>
      </w:pPr>
    </w:p>
    <w:p>
      <w:pPr>
        <w:sectPr>
          <w:pgSz w:w="11900" w:h="16838" w:orient="portrait"/>
          <w:cols w:equalWidth="0" w:num="2">
            <w:col w:w="5580" w:space="480"/>
            <w:col w:w="5360"/>
          </w:cols>
          <w:pgMar w:left="240" w:top="121" w:right="239" w:bottom="1440" w:gutter="0" w:footer="0" w:header="0"/>
        </w:sectPr>
      </w:pPr>
    </w:p>
    <w:p>
      <w:pPr>
        <w:ind w:right="120"/>
        <w:spacing w:after="0" w:line="237" w:lineRule="auto"/>
        <w:rPr>
          <w:sz w:val="20"/>
          <w:szCs w:val="20"/>
          <w:color w:val="auto"/>
        </w:rPr>
      </w:pPr>
      <w:r>
        <w:rPr>
          <w:rFonts w:ascii="Arial" w:cs="Arial" w:eastAsia="Arial" w:hAnsi="Arial"/>
          <w:sz w:val="18"/>
          <w:szCs w:val="18"/>
          <w:color w:val="auto"/>
        </w:rPr>
        <w:t>Automatic Deferral: If the deduction for delivery of shares would be limited by section 162(m) of the Internal Revenue Code (“Code”), shares will automatically be deferred until the Committee reasonably believes that the deduction will no longer be limited by section 162(m), unless otherwise required or permitted under Code section 409A. Notwithstanding the above, in no event shall shares of Common Stock be delivered prior to the Vesting Date set forth above.</w:t>
      </w:r>
    </w:p>
    <w:p>
      <w:pPr>
        <w:spacing w:after="0" w:line="7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Subject to the terms and conditions described in the Omnibus Agreement – 2010: PIP;ELTIP;PSs</w:t>
      </w:r>
    </w:p>
    <w:p>
      <w:pPr>
        <w:spacing w:after="0" w:line="76" w:lineRule="exact"/>
        <w:rPr>
          <w:rFonts w:ascii="Arial" w:cs="Arial" w:eastAsia="Arial" w:hAnsi="Arial"/>
          <w:sz w:val="18"/>
          <w:szCs w:val="18"/>
          <w:color w:val="auto"/>
        </w:rPr>
      </w:pPr>
    </w:p>
    <w:p>
      <w:pPr>
        <w:ind w:left="460" w:right="220" w:hanging="452"/>
        <w:spacing w:after="0" w:line="23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Performance measures which may include, but are not limited to, continuous service with the Company, achievement of specific business objectives, and other measurements of individual, business unit or Company performance shall be determined by the Committee in its sole discretion.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Xerox Personal Confidential</w:t>
      </w:r>
    </w:p>
    <w:p>
      <w:pPr>
        <w:sectPr>
          <w:pgSz w:w="11900" w:h="16838" w:orient="portrait"/>
          <w:cols w:equalWidth="0" w:num="1">
            <w:col w:w="11420"/>
          </w:cols>
          <w:pgMar w:left="240" w:top="121" w:right="23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1269BC"/>
        </w:rPr>
        <w:t>EXHIBIT 10(f)(6)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2008 RESTATEMENT</w:t>
      </w:r>
    </w:p>
    <w:p>
      <w:pPr>
        <w:jc w:val="center"/>
        <w:spacing w:after="0" w:line="231" w:lineRule="auto"/>
        <w:rPr>
          <w:sz w:val="20"/>
          <w:szCs w:val="20"/>
          <w:color w:val="auto"/>
        </w:rPr>
      </w:pPr>
      <w:r>
        <w:rPr>
          <w:rFonts w:ascii="Arial" w:cs="Arial" w:eastAsia="Arial" w:hAnsi="Arial"/>
          <w:sz w:val="22"/>
          <w:szCs w:val="22"/>
          <w:b w:val="1"/>
          <w:bCs w:val="1"/>
          <w:color w:val="auto"/>
        </w:rPr>
        <w:t>OF</w:t>
      </w:r>
    </w:p>
    <w:p>
      <w:pPr>
        <w:jc w:val="center"/>
        <w:spacing w:after="0" w:line="230" w:lineRule="auto"/>
        <w:rPr>
          <w:sz w:val="20"/>
          <w:szCs w:val="20"/>
          <w:color w:val="auto"/>
        </w:rPr>
      </w:pPr>
      <w:r>
        <w:rPr>
          <w:rFonts w:ascii="Arial" w:cs="Arial" w:eastAsia="Arial" w:hAnsi="Arial"/>
          <w:sz w:val="22"/>
          <w:szCs w:val="22"/>
          <w:b w:val="1"/>
          <w:bCs w:val="1"/>
          <w:color w:val="auto"/>
        </w:rPr>
        <w:t>XEROX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UNFUNDED RETIREMENT INCOME GUARANTEE PLAN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WHEREAS, Xerox Corporation (the “Employer”) has established the Xerox Corporation Unfunded Retirement Income Guarantee Plan, which is presently set forth in the “2008 Restatement of Xerox Corporation Unfunded Retirement Income Guarantee Plan”, as amended by Amendments No. 1 through 4 (the “Plan”), and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WHEREAS, the Employer desires to amend the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Plan is hereby amended as follows:</w:t>
      </w:r>
    </w:p>
    <w:p>
      <w:pPr>
        <w:spacing w:after="0" w:line="19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6.1 shall be amended to read in its entirety as follows:</w:t>
      </w:r>
    </w:p>
    <w:p>
      <w:pPr>
        <w:spacing w:after="0" w:line="239" w:lineRule="exact"/>
        <w:rPr>
          <w:sz w:val="20"/>
          <w:szCs w:val="20"/>
          <w:color w:val="auto"/>
        </w:rPr>
      </w:pPr>
    </w:p>
    <w:p>
      <w:pPr>
        <w:jc w:val="both"/>
        <w:ind w:firstLine="45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Duties of the Administrator</w:t>
      </w:r>
      <w:r>
        <w:rPr>
          <w:rFonts w:ascii="Arial" w:cs="Arial" w:eastAsia="Arial" w:hAnsi="Arial"/>
          <w:sz w:val="18"/>
          <w:szCs w:val="18"/>
          <w:color w:val="auto"/>
        </w:rPr>
        <w:t>. The Plan shall be administered by a Plan Administrator which shall be a committee whose members shall be appointed by the Vice President of the Company responsible for human resources. In addition, the Plan Administrator shall be the named fiduciary of the Plan. The Plan Administrator may delegate any of its administrative and fiduciary duties under the Plan and may delegate any of its discretionary authority to construe the terms of the Plan and determine eligibility for benefits. Any reference in the Plan to “to “his”, “his or her”, “he” or “its” in connection with the Plan Administrator’s duties and responsibilities shall be deemed to refer to the committee appointed by the Vice President responsible for human resources.</w:t>
      </w:r>
    </w:p>
    <w:p>
      <w:pPr>
        <w:spacing w:after="0" w:line="156" w:lineRule="exact"/>
        <w:rPr>
          <w:sz w:val="20"/>
          <w:szCs w:val="20"/>
          <w:color w:val="auto"/>
        </w:rPr>
      </w:pPr>
    </w:p>
    <w:p>
      <w:pPr>
        <w:jc w:val="both"/>
        <w:ind w:firstLine="456"/>
        <w:spacing w:after="0" w:line="238" w:lineRule="auto"/>
        <w:rPr>
          <w:sz w:val="20"/>
          <w:szCs w:val="20"/>
          <w:color w:val="auto"/>
        </w:rPr>
      </w:pPr>
      <w:r>
        <w:rPr>
          <w:rFonts w:ascii="Arial" w:cs="Arial" w:eastAsia="Arial" w:hAnsi="Arial"/>
          <w:sz w:val="18"/>
          <w:szCs w:val="18"/>
          <w:color w:val="auto"/>
        </w:rPr>
        <w:t>The Plan shall be administered by the Administrator in accordance with its terms and purposes. The Administrator shall determine the amount and manner of payment of the benefits due to or on behalf of each Participant from the Plan and shall cause them to be paid by the Company accordingly.”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amendment is effective as of January 1, 2010. In all other respects, the Plan remains unchanged.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Employer has caused this Amendment to be signed as of this 1st day of December, 2009.</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XEROX CORPORATION</w:t>
      </w:r>
    </w:p>
    <w:p>
      <w:pPr>
        <w:spacing w:after="0" w:line="200" w:lineRule="exact"/>
        <w:rPr>
          <w:sz w:val="20"/>
          <w:szCs w:val="20"/>
          <w:color w:val="auto"/>
        </w:rPr>
      </w:pPr>
    </w:p>
    <w:p>
      <w:pPr>
        <w:spacing w:after="0" w:line="228" w:lineRule="exact"/>
        <w:rPr>
          <w:sz w:val="20"/>
          <w:szCs w:val="20"/>
          <w:color w:val="auto"/>
        </w:rPr>
      </w:pPr>
    </w:p>
    <w:p>
      <w:pPr>
        <w:ind w:left="6860"/>
        <w:spacing w:after="0"/>
        <w:tabs>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Patricia M. Nazemetz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55245</wp:posOffset>
            </wp:positionV>
            <wp:extent cx="2735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84"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420"/>
          </w:cols>
          <w:pgMar w:left="240" w:top="121" w:right="239" w:bottom="1440" w:gutter="0" w:footer="0" w:header="0"/>
        </w:sectPr>
      </w:pPr>
    </w:p>
    <w:bookmarkStart w:id="80" w:name="page81"/>
    <w:bookmarkEnd w:id="80"/>
    <w:p>
      <w:pPr>
        <w:ind w:left="10480"/>
        <w:spacing w:after="0"/>
        <w:rPr>
          <w:sz w:val="20"/>
          <w:szCs w:val="20"/>
          <w:color w:val="auto"/>
        </w:rPr>
      </w:pPr>
      <w:r>
        <w:rPr>
          <w:rFonts w:ascii="Arial" w:cs="Arial" w:eastAsia="Arial" w:hAnsi="Arial"/>
          <w:sz w:val="16"/>
          <w:szCs w:val="16"/>
          <w:b w:val="1"/>
          <w:bCs w:val="1"/>
          <w:color w:val="1269BC"/>
        </w:rPr>
        <w:t>EXHIBIT 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COMPUTATION OF RATIO OF EARNINGS TO FIXED CHARGES</w:t>
      </w:r>
    </w:p>
    <w:p>
      <w:pPr>
        <w:spacing w:after="0" w:line="9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ratio of earnings to fixed charges and the ratio of earnings to combined fixed charges and preferred stock dividends, as well as any deficiency of earnings are determined using the following applicable factors:</w:t>
      </w:r>
    </w:p>
    <w:p>
      <w:pPr>
        <w:spacing w:after="0" w:line="133" w:lineRule="exact"/>
        <w:rPr>
          <w:sz w:val="20"/>
          <w:szCs w:val="20"/>
          <w:color w:val="auto"/>
        </w:rPr>
      </w:pPr>
    </w:p>
    <w:p>
      <w:pPr>
        <w:jc w:val="both"/>
        <w:ind w:right="40"/>
        <w:spacing w:after="0" w:line="249" w:lineRule="auto"/>
        <w:rPr>
          <w:sz w:val="20"/>
          <w:szCs w:val="20"/>
          <w:color w:val="auto"/>
        </w:rPr>
      </w:pPr>
      <w:r>
        <w:rPr>
          <w:rFonts w:ascii="Arial" w:cs="Arial" w:eastAsia="Arial" w:hAnsi="Arial"/>
          <w:sz w:val="18"/>
          <w:szCs w:val="18"/>
          <w:b w:val="1"/>
          <w:bCs w:val="1"/>
          <w:color w:val="1269BC"/>
        </w:rPr>
        <w:t xml:space="preserve">Earnings available for fixed charges </w:t>
      </w:r>
      <w:r>
        <w:rPr>
          <w:rFonts w:ascii="Arial" w:cs="Arial" w:eastAsia="Arial" w:hAnsi="Arial"/>
          <w:sz w:val="18"/>
          <w:szCs w:val="18"/>
          <w:color w:val="000000"/>
        </w:rPr>
        <w:t>are calculated first, by determining the sum of: (a) income (loss) from continuing operations before income</w:t>
      </w:r>
      <w:r>
        <w:rPr>
          <w:rFonts w:ascii="Arial" w:cs="Arial" w:eastAsia="Arial" w:hAnsi="Arial"/>
          <w:sz w:val="18"/>
          <w:szCs w:val="18"/>
          <w:b w:val="1"/>
          <w:bCs w:val="1"/>
          <w:color w:val="1269BC"/>
        </w:rPr>
        <w:t xml:space="preserve"> </w:t>
      </w:r>
      <w:r>
        <w:rPr>
          <w:rFonts w:ascii="Arial" w:cs="Arial" w:eastAsia="Arial" w:hAnsi="Arial"/>
          <w:sz w:val="18"/>
          <w:szCs w:val="18"/>
          <w:color w:val="000000"/>
        </w:rPr>
        <w:t>taxes and equity income; (b) distributed equity income; (c) fixed charges, as defined below; and (d) amortization of capitalized interest, if any. From this total, we subtract capitalized interest and net income attributable to noncontrolling interests.</w:t>
      </w:r>
    </w:p>
    <w:p>
      <w:pPr>
        <w:spacing w:after="0" w:line="12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1269BC"/>
        </w:rPr>
        <w:t xml:space="preserve">Fixed charges </w:t>
      </w:r>
      <w:r>
        <w:rPr>
          <w:rFonts w:ascii="Arial" w:cs="Arial" w:eastAsia="Arial" w:hAnsi="Arial"/>
          <w:sz w:val="18"/>
          <w:szCs w:val="18"/>
          <w:color w:val="000000"/>
        </w:rPr>
        <w:t>are calculated as the sum of: (a) interest costs (both expensed and capitalized); (b) amortization of debt expense and discount or</w:t>
      </w:r>
      <w:r>
        <w:rPr>
          <w:rFonts w:ascii="Arial" w:cs="Arial" w:eastAsia="Arial" w:hAnsi="Arial"/>
          <w:sz w:val="18"/>
          <w:szCs w:val="18"/>
          <w:b w:val="1"/>
          <w:bCs w:val="1"/>
          <w:color w:val="1269BC"/>
        </w:rPr>
        <w:t xml:space="preserve"> </w:t>
      </w:r>
      <w:r>
        <w:rPr>
          <w:rFonts w:ascii="Arial" w:cs="Arial" w:eastAsia="Arial" w:hAnsi="Arial"/>
          <w:sz w:val="18"/>
          <w:szCs w:val="18"/>
          <w:color w:val="000000"/>
        </w:rPr>
        <w:t>premium relating to any indebtedness; and (c) that portion of rental expense that is representative of the interest factor.</w:t>
      </w:r>
    </w:p>
    <w:p>
      <w:pPr>
        <w:spacing w:after="0" w:line="112" w:lineRule="exact"/>
        <w:rPr>
          <w:sz w:val="20"/>
          <w:szCs w:val="20"/>
          <w:color w:val="auto"/>
        </w:rPr>
      </w:pPr>
    </w:p>
    <w:p>
      <w:pPr>
        <w:jc w:val="both"/>
        <w:ind w:right="80"/>
        <w:spacing w:after="0" w:line="249" w:lineRule="auto"/>
        <w:rPr>
          <w:sz w:val="20"/>
          <w:szCs w:val="20"/>
          <w:color w:val="auto"/>
        </w:rPr>
      </w:pPr>
      <w:r>
        <w:rPr>
          <w:rFonts w:ascii="Arial" w:cs="Arial" w:eastAsia="Arial" w:hAnsi="Arial"/>
          <w:sz w:val="18"/>
          <w:szCs w:val="18"/>
          <w:b w:val="1"/>
          <w:bCs w:val="1"/>
          <w:color w:val="1269BC"/>
        </w:rPr>
        <w:t xml:space="preserve">Preferred stock dividends </w:t>
      </w:r>
      <w:r>
        <w:rPr>
          <w:rFonts w:ascii="Arial" w:cs="Arial" w:eastAsia="Arial" w:hAnsi="Arial"/>
          <w:sz w:val="18"/>
          <w:szCs w:val="18"/>
          <w:color w:val="000000"/>
        </w:rPr>
        <w:t>used in the ratio of earnings to combined fixed charges and preferred stock dividends consist of the amount of pre-tax</w:t>
      </w:r>
      <w:r>
        <w:rPr>
          <w:rFonts w:ascii="Arial" w:cs="Arial" w:eastAsia="Arial" w:hAnsi="Arial"/>
          <w:sz w:val="18"/>
          <w:szCs w:val="18"/>
          <w:b w:val="1"/>
          <w:bCs w:val="1"/>
          <w:color w:val="1269BC"/>
        </w:rPr>
        <w:t xml:space="preserve"> </w:t>
      </w:r>
      <w:r>
        <w:rPr>
          <w:rFonts w:ascii="Arial" w:cs="Arial" w:eastAsia="Arial" w:hAnsi="Arial"/>
          <w:sz w:val="18"/>
          <w:szCs w:val="18"/>
          <w:color w:val="000000"/>
        </w:rPr>
        <w:t>earnings required to cover dividends paid on our Series C mandatory convertible preferred stock. Series C mandatory convertible preferred stock was redeemed and converted to common stock as of July 3, 2006 and, as such, there were no dividends beyond such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 w:type="dxa"/>
            <w:vAlign w:val="bottom"/>
            <w:vMerge w:val="restart"/>
          </w:tcPr>
          <w:p>
            <w:pPr>
              <w:spacing w:after="0"/>
              <w:rPr>
                <w:sz w:val="20"/>
                <w:szCs w:val="20"/>
                <w:color w:val="auto"/>
              </w:rPr>
            </w:pPr>
            <w:r>
              <w:rPr>
                <w:rFonts w:ascii="Arial" w:cs="Arial" w:eastAsia="Arial" w:hAnsi="Arial"/>
                <w:sz w:val="14"/>
                <w:szCs w:val="14"/>
                <w:color w:val="auto"/>
                <w:w w:val="96"/>
              </w:rPr>
              <w:t>(in millions)</w:t>
            </w:r>
          </w:p>
        </w:tc>
        <w:tc>
          <w:tcPr>
            <w:tcW w:w="66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Borders>
              <w:bottom w:val="single" w:sz="8" w:color="auto"/>
            </w:tcBorders>
            <w:vMerge w:val="continue"/>
          </w:tcPr>
          <w:p>
            <w:pPr>
              <w:spacing w:after="0"/>
              <w:rPr>
                <w:sz w:val="12"/>
                <w:szCs w:val="12"/>
                <w:color w:val="auto"/>
              </w:rPr>
            </w:pPr>
          </w:p>
        </w:tc>
        <w:tc>
          <w:tcPr>
            <w:tcW w:w="6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527</w:t>
            </w:r>
          </w:p>
        </w:tc>
        <w:tc>
          <w:tcPr>
            <w:tcW w:w="3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94"/>
              </w:rPr>
              <w:t>$567</w:t>
            </w:r>
          </w:p>
        </w:tc>
        <w:tc>
          <w:tcPr>
            <w:tcW w:w="3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544</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Capitalized interest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w:t>
            </w:r>
          </w:p>
        </w:tc>
        <w:tc>
          <w:tcPr>
            <w:tcW w:w="7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Portion of rental expense which represents interest factor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89</w:t>
            </w: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84</w:t>
            </w: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661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634</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Earnings available for fixed charges:</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Pre-tax income (loss)</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3"/>
              </w:rPr>
              <w:t>$ (79)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1,468</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830</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Distributed equity income of affiliated companies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16</w:t>
            </w: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7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 Fixed charges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Less: Capitalized interest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Net income – noncontrolling interests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tcPr>
          <w:p>
            <w:pPr>
              <w:spacing w:after="0"/>
              <w:rPr>
                <w:sz w:val="20"/>
                <w:szCs w:val="20"/>
                <w:color w:val="auto"/>
              </w:rPr>
            </w:pPr>
            <w:r>
              <w:rPr>
                <w:rFonts w:ascii="Arial" w:cs="Arial" w:eastAsia="Arial" w:hAnsi="Arial"/>
                <w:sz w:val="18"/>
                <w:szCs w:val="18"/>
                <w:color w:val="auto"/>
              </w:rPr>
              <w:t>Total Earnings available for fixed charges</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1,228</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597</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2,149</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1,486</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1.97</w:t>
            </w:r>
          </w:p>
        </w:tc>
        <w:tc>
          <w:tcPr>
            <w:tcW w:w="7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w w:val="99"/>
              </w:rPr>
              <w:t>Computation of Ratio of Earnings to Combined Fixed Charges and Preferred Stock Dividend:</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00" w:type="dxa"/>
            <w:vAlign w:val="bottom"/>
            <w:vMerge w:val="restart"/>
          </w:tcPr>
          <w:p>
            <w:pPr>
              <w:spacing w:after="0"/>
              <w:rPr>
                <w:sz w:val="20"/>
                <w:szCs w:val="20"/>
                <w:color w:val="auto"/>
              </w:rPr>
            </w:pPr>
            <w:r>
              <w:rPr>
                <w:rFonts w:ascii="Arial" w:cs="Arial" w:eastAsia="Arial" w:hAnsi="Arial"/>
                <w:sz w:val="14"/>
                <w:szCs w:val="14"/>
                <w:color w:val="auto"/>
                <w:w w:val="96"/>
              </w:rPr>
              <w:t>(in millions)</w:t>
            </w:r>
          </w:p>
        </w:tc>
        <w:tc>
          <w:tcPr>
            <w:tcW w:w="664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00" w:type="dxa"/>
            <w:vAlign w:val="bottom"/>
            <w:tcBorders>
              <w:bottom w:val="single" w:sz="8" w:color="auto"/>
            </w:tcBorders>
            <w:vMerge w:val="continue"/>
          </w:tcPr>
          <w:p>
            <w:pPr>
              <w:spacing w:after="0"/>
              <w:rPr>
                <w:sz w:val="12"/>
                <w:szCs w:val="12"/>
                <w:color w:val="auto"/>
              </w:rPr>
            </w:pPr>
          </w:p>
        </w:tc>
        <w:tc>
          <w:tcPr>
            <w:tcW w:w="6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527</w:t>
            </w:r>
          </w:p>
        </w:tc>
        <w:tc>
          <w:tcPr>
            <w:tcW w:w="3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94"/>
              </w:rPr>
              <w:t>$567</w:t>
            </w:r>
          </w:p>
        </w:tc>
        <w:tc>
          <w:tcPr>
            <w:tcW w:w="3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1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544</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Capitalized interest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w:t>
            </w:r>
          </w:p>
        </w:tc>
        <w:tc>
          <w:tcPr>
            <w:tcW w:w="7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Portion of rental expense which represents interest factor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89</w:t>
            </w: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84</w:t>
            </w: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Fixed charges before preferred stock dividends pre-tax requirements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$661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634</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Preferred stock dividends pre-tax income requirements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Combined fixed charges and preferred stock dividends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661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682</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Earnings available for fixed charges:</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Pre-tax income (loss)</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3"/>
              </w:rPr>
              <w:t>$ (79)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1,468</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830</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Distributed equity income of affiliated companies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16</w:t>
            </w: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7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 Fixed charges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line="202" w:lineRule="exact"/>
              <w:rPr>
                <w:sz w:val="20"/>
                <w:szCs w:val="20"/>
                <w:color w:val="auto"/>
              </w:rPr>
            </w:pPr>
            <w:r>
              <w:rPr>
                <w:rFonts w:ascii="Arial" w:cs="Arial" w:eastAsia="Arial" w:hAnsi="Arial"/>
                <w:sz w:val="18"/>
                <w:szCs w:val="18"/>
                <w:color w:val="auto"/>
              </w:rPr>
              <w:t>Less: Capitalized interest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Net income – noncontrolling interests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tcPr>
          <w:p>
            <w:pPr>
              <w:spacing w:after="0"/>
              <w:rPr>
                <w:sz w:val="20"/>
                <w:szCs w:val="20"/>
                <w:color w:val="auto"/>
              </w:rPr>
            </w:pPr>
            <w:r>
              <w:rPr>
                <w:rFonts w:ascii="Arial" w:cs="Arial" w:eastAsia="Arial" w:hAnsi="Arial"/>
                <w:sz w:val="18"/>
                <w:szCs w:val="18"/>
                <w:color w:val="auto"/>
              </w:rPr>
              <w:t>Total Earnings available for fixed charges and preferred stock dividends</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1,228</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597</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2,149</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1,486</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Ratio of earnings to fixed charges and preferred stock dividends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1.97</w:t>
            </w:r>
          </w:p>
        </w:tc>
        <w:tc>
          <w:tcPr>
            <w:tcW w:w="7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Earnings for the year ended December 31, 2008 were inadequate to cover fixed charges by $64.</w:t>
      </w:r>
    </w:p>
    <w:p>
      <w:pPr>
        <w:sectPr>
          <w:pgSz w:w="11900" w:h="16838" w:orient="portrait"/>
          <w:cols w:equalWidth="0" w:num="1">
            <w:col w:w="11420"/>
          </w:cols>
          <w:pgMar w:left="240" w:top="121"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322"/>
        </w:trPr>
        <w:tc>
          <w:tcPr>
            <w:tcW w:w="83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4"/>
                <w:szCs w:val="24"/>
                <w:b w:val="1"/>
                <w:bCs w:val="1"/>
                <w:color w:val="1269BC"/>
              </w:rPr>
              <w:t>EXHIBIT 13</w:t>
            </w:r>
          </w:p>
        </w:tc>
      </w:tr>
      <w:tr>
        <w:trPr>
          <w:trHeight w:val="407"/>
        </w:trPr>
        <w:tc>
          <w:tcPr>
            <w:tcW w:w="8380" w:type="dxa"/>
            <w:vAlign w:val="bottom"/>
          </w:tcPr>
          <w:p>
            <w:pPr>
              <w:spacing w:after="0"/>
              <w:rPr>
                <w:sz w:val="20"/>
                <w:szCs w:val="20"/>
                <w:color w:val="auto"/>
              </w:rPr>
            </w:pPr>
            <w:r>
              <w:rPr>
                <w:rFonts w:ascii="Arial" w:cs="Arial" w:eastAsia="Arial" w:hAnsi="Arial"/>
                <w:sz w:val="24"/>
                <w:szCs w:val="24"/>
                <w:b w:val="1"/>
                <w:bCs w:val="1"/>
                <w:color w:val="1269BC"/>
              </w:rPr>
              <w:t>ANNUAL REPORT</w:t>
            </w:r>
          </w:p>
        </w:tc>
        <w:tc>
          <w:tcPr>
            <w:tcW w:w="3040" w:type="dxa"/>
            <w:vAlign w:val="bottom"/>
          </w:tcPr>
          <w:p>
            <w:pPr>
              <w:spacing w:after="0"/>
              <w:rPr>
                <w:sz w:val="24"/>
                <w:szCs w:val="24"/>
                <w:color w:val="auto"/>
              </w:rPr>
            </w:pPr>
          </w:p>
        </w:tc>
      </w:tr>
      <w:tr>
        <w:trPr>
          <w:trHeight w:val="322"/>
        </w:trPr>
        <w:tc>
          <w:tcPr>
            <w:tcW w:w="8380" w:type="dxa"/>
            <w:vAlign w:val="bottom"/>
          </w:tcPr>
          <w:p>
            <w:pPr>
              <w:spacing w:after="0"/>
              <w:rPr>
                <w:sz w:val="20"/>
                <w:szCs w:val="20"/>
                <w:color w:val="auto"/>
              </w:rPr>
            </w:pPr>
            <w:r>
              <w:rPr>
                <w:rFonts w:ascii="Arial" w:cs="Arial" w:eastAsia="Arial" w:hAnsi="Arial"/>
                <w:sz w:val="24"/>
                <w:szCs w:val="24"/>
                <w:b w:val="1"/>
                <w:bCs w:val="1"/>
                <w:color w:val="1269BC"/>
              </w:rPr>
              <w:t>TABLE OF CONTENTS</w:t>
            </w:r>
          </w:p>
        </w:tc>
        <w:tc>
          <w:tcPr>
            <w:tcW w:w="3040" w:type="dxa"/>
            <w:vAlign w:val="bottom"/>
          </w:tcPr>
          <w:p>
            <w:pPr>
              <w:spacing w:after="0"/>
              <w:rPr>
                <w:sz w:val="24"/>
                <w:szCs w:val="24"/>
                <w:color w:val="auto"/>
              </w:rPr>
            </w:pPr>
          </w:p>
        </w:tc>
      </w:tr>
      <w:tr>
        <w:trPr>
          <w:trHeight w:val="412"/>
        </w:trPr>
        <w:tc>
          <w:tcPr>
            <w:tcW w:w="838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Executive Overview</w:t>
            </w:r>
          </w:p>
        </w:tc>
        <w:tc>
          <w:tcPr>
            <w:tcW w:w="3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Financial Overview</w:t>
            </w:r>
          </w:p>
        </w:tc>
        <w:tc>
          <w:tcPr>
            <w:tcW w:w="3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Currency Impacts</w:t>
            </w:r>
          </w:p>
        </w:tc>
        <w:tc>
          <w:tcPr>
            <w:tcW w:w="3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Summary Results</w:t>
            </w:r>
          </w:p>
        </w:tc>
        <w:tc>
          <w:tcPr>
            <w:tcW w:w="3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Application of Critical Accounting Policies</w:t>
            </w:r>
          </w:p>
        </w:tc>
        <w:tc>
          <w:tcPr>
            <w:tcW w:w="3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Operations Review of Segment Revenue and Operating Profit</w:t>
            </w:r>
          </w:p>
        </w:tc>
        <w:tc>
          <w:tcPr>
            <w:tcW w:w="3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Costs, Expenses and Other Income</w:t>
            </w:r>
          </w:p>
        </w:tc>
        <w:tc>
          <w:tcPr>
            <w:tcW w:w="3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Gross Margin</w:t>
            </w:r>
          </w:p>
        </w:tc>
        <w:tc>
          <w:tcPr>
            <w:tcW w:w="3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Research, Development and Engineering Expenses</w:t>
            </w:r>
          </w:p>
        </w:tc>
        <w:tc>
          <w:tcPr>
            <w:tcW w:w="3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Selling, Administrative and General Expenses</w:t>
            </w:r>
          </w:p>
        </w:tc>
        <w:tc>
          <w:tcPr>
            <w:tcW w:w="3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Restructuring and Asset Impairment Charges</w:t>
            </w:r>
          </w:p>
        </w:tc>
        <w:tc>
          <w:tcPr>
            <w:tcW w:w="3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Acquisition-Related Costs</w:t>
            </w:r>
          </w:p>
        </w:tc>
        <w:tc>
          <w:tcPr>
            <w:tcW w:w="3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Worldwide Employment</w:t>
            </w:r>
          </w:p>
        </w:tc>
        <w:tc>
          <w:tcPr>
            <w:tcW w:w="3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Other Expenses, Net</w:t>
            </w:r>
          </w:p>
        </w:tc>
        <w:tc>
          <w:tcPr>
            <w:tcW w:w="3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3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Equity in Net Income of Unconsolidated Affiliates</w:t>
            </w:r>
          </w:p>
        </w:tc>
        <w:tc>
          <w:tcPr>
            <w:tcW w:w="3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Subsequent Events</w:t>
            </w:r>
          </w:p>
        </w:tc>
        <w:tc>
          <w:tcPr>
            <w:tcW w:w="3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Recent Accounting Pronouncements</w:t>
            </w:r>
          </w:p>
        </w:tc>
        <w:tc>
          <w:tcPr>
            <w:tcW w:w="3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Capital Resources and Liquidity</w:t>
            </w:r>
          </w:p>
        </w:tc>
        <w:tc>
          <w:tcPr>
            <w:tcW w:w="3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Cash Flow Analysis</w:t>
            </w:r>
          </w:p>
        </w:tc>
        <w:tc>
          <w:tcPr>
            <w:tcW w:w="3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Financing Activities, Credit Facility and Capital Markets</w:t>
            </w:r>
          </w:p>
        </w:tc>
        <w:tc>
          <w:tcPr>
            <w:tcW w:w="3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Liquidity and Financial Flexibility</w:t>
            </w:r>
          </w:p>
        </w:tc>
        <w:tc>
          <w:tcPr>
            <w:tcW w:w="3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8380" w:type="dxa"/>
            <w:vAlign w:val="bottom"/>
          </w:tcPr>
          <w:p>
            <w:pPr>
              <w:ind w:left="880"/>
              <w:spacing w:after="0"/>
              <w:rPr>
                <w:sz w:val="20"/>
                <w:szCs w:val="20"/>
                <w:color w:val="auto"/>
              </w:rPr>
            </w:pPr>
            <w:r>
              <w:rPr>
                <w:rFonts w:ascii="Arial" w:cs="Arial" w:eastAsia="Arial" w:hAnsi="Arial"/>
                <w:sz w:val="18"/>
                <w:szCs w:val="18"/>
                <w:color w:val="auto"/>
              </w:rPr>
              <w:t>Contractual Cash Obligations and Other Commercial Commitments and Contingencies</w:t>
            </w:r>
          </w:p>
        </w:tc>
        <w:tc>
          <w:tcPr>
            <w:tcW w:w="3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Off-Balance Sheet Arrangements</w:t>
            </w:r>
          </w:p>
        </w:tc>
        <w:tc>
          <w:tcPr>
            <w:tcW w:w="3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Financial Risk Management</w:t>
            </w:r>
          </w:p>
        </w:tc>
        <w:tc>
          <w:tcPr>
            <w:tcW w:w="3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Non-GAAP Financial Measures</w:t>
            </w:r>
          </w:p>
        </w:tc>
        <w:tc>
          <w:tcPr>
            <w:tcW w:w="3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Forward-Looking Statements</w:t>
            </w:r>
          </w:p>
        </w:tc>
        <w:tc>
          <w:tcPr>
            <w:tcW w:w="3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380" w:type="dxa"/>
            <w:vAlign w:val="bottom"/>
          </w:tcPr>
          <w:p>
            <w:pPr>
              <w:spacing w:after="0"/>
              <w:rPr>
                <w:sz w:val="20"/>
                <w:szCs w:val="20"/>
                <w:color w:val="auto"/>
              </w:rPr>
            </w:pPr>
            <w:r>
              <w:rPr>
                <w:rFonts w:ascii="Arial" w:cs="Arial" w:eastAsia="Arial" w:hAnsi="Arial"/>
                <w:sz w:val="18"/>
                <w:szCs w:val="18"/>
                <w:color w:val="auto"/>
              </w:rPr>
              <w:t>Audited Consolidated Financial Statements</w:t>
            </w:r>
          </w:p>
        </w:tc>
        <w:tc>
          <w:tcPr>
            <w:tcW w:w="3040" w:type="dxa"/>
            <w:vAlign w:val="bottom"/>
          </w:tcPr>
          <w:p>
            <w:pPr>
              <w:spacing w:after="0"/>
              <w:rPr>
                <w:sz w:val="23"/>
                <w:szCs w:val="23"/>
                <w:color w:val="auto"/>
              </w:rPr>
            </w:pP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Consolidated Statements of Income</w:t>
            </w:r>
          </w:p>
        </w:tc>
        <w:tc>
          <w:tcPr>
            <w:tcW w:w="30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Consolidated Balance Sheets</w:t>
            </w:r>
          </w:p>
        </w:tc>
        <w:tc>
          <w:tcPr>
            <w:tcW w:w="3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Consolidated Statements of Cash Flows</w:t>
            </w:r>
          </w:p>
        </w:tc>
        <w:tc>
          <w:tcPr>
            <w:tcW w:w="3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8380" w:type="dxa"/>
            <w:vAlign w:val="bottom"/>
          </w:tcPr>
          <w:p>
            <w:pPr>
              <w:ind w:left="440"/>
              <w:spacing w:after="0"/>
              <w:rPr>
                <w:sz w:val="20"/>
                <w:szCs w:val="20"/>
                <w:color w:val="auto"/>
              </w:rPr>
            </w:pPr>
            <w:r>
              <w:rPr>
                <w:rFonts w:ascii="Arial" w:cs="Arial" w:eastAsia="Arial" w:hAnsi="Arial"/>
                <w:sz w:val="18"/>
                <w:szCs w:val="18"/>
                <w:color w:val="auto"/>
              </w:rPr>
              <w:t>Consolidated Statements of Shareholders’ Equity</w:t>
            </w:r>
          </w:p>
        </w:tc>
        <w:tc>
          <w:tcPr>
            <w:tcW w:w="3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51"/>
        </w:trPr>
        <w:tc>
          <w:tcPr>
            <w:tcW w:w="83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1269BC"/>
              </w:rPr>
              <w:t>Xerox 2009 Annual Report  i</w:t>
            </w:r>
          </w:p>
        </w:tc>
      </w:tr>
    </w:tbl>
    <w:p>
      <w:pPr>
        <w:sectPr>
          <w:pgSz w:w="11900" w:h="16838" w:orient="portrait"/>
          <w:cols w:equalWidth="0" w:num="1">
            <w:col w:w="11420"/>
          </w:cols>
          <w:pgMar w:left="240" w:top="105" w:right="23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11220" w:type="dxa"/>
            <w:vAlign w:val="bottom"/>
            <w:gridSpan w:val="2"/>
          </w:tcPr>
          <w:p>
            <w:pPr>
              <w:spacing w:after="0"/>
              <w:rPr>
                <w:sz w:val="20"/>
                <w:szCs w:val="20"/>
                <w:color w:val="auto"/>
              </w:rPr>
            </w:pPr>
            <w:r>
              <w:rPr>
                <w:rFonts w:ascii="Arial" w:cs="Arial" w:eastAsia="Arial" w:hAnsi="Arial"/>
                <w:sz w:val="18"/>
                <w:szCs w:val="18"/>
                <w:color w:val="auto"/>
              </w:rPr>
              <w:t>Notes to the Consolidated Financial Statements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32</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720" w:type="dxa"/>
            <w:vAlign w:val="bottom"/>
          </w:tcPr>
          <w:p>
            <w:pPr>
              <w:ind w:left="40"/>
              <w:spacing w:after="0"/>
              <w:rPr>
                <w:sz w:val="20"/>
                <w:szCs w:val="20"/>
                <w:color w:val="auto"/>
              </w:rPr>
            </w:pPr>
            <w:r>
              <w:rPr>
                <w:rFonts w:ascii="Arial" w:cs="Arial" w:eastAsia="Arial" w:hAnsi="Arial"/>
                <w:sz w:val="18"/>
                <w:szCs w:val="18"/>
                <w:color w:val="auto"/>
              </w:rPr>
              <w:t>Summary of Significant Accounting Policies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32</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720" w:type="dxa"/>
            <w:vAlign w:val="bottom"/>
          </w:tcPr>
          <w:p>
            <w:pPr>
              <w:ind w:left="40"/>
              <w:spacing w:after="0"/>
              <w:rPr>
                <w:sz w:val="20"/>
                <w:szCs w:val="20"/>
                <w:color w:val="auto"/>
              </w:rPr>
            </w:pPr>
            <w:r>
              <w:rPr>
                <w:rFonts w:ascii="Arial" w:cs="Arial" w:eastAsia="Arial" w:hAnsi="Arial"/>
                <w:sz w:val="18"/>
                <w:szCs w:val="18"/>
                <w:color w:val="auto"/>
              </w:rPr>
              <w:t>Segment Reporting</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42</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72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44</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72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46</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720" w:type="dxa"/>
            <w:vAlign w:val="bottom"/>
          </w:tcPr>
          <w:p>
            <w:pPr>
              <w:ind w:left="40"/>
              <w:spacing w:after="0"/>
              <w:rPr>
                <w:sz w:val="20"/>
                <w:szCs w:val="20"/>
                <w:color w:val="auto"/>
              </w:rPr>
            </w:pPr>
            <w:r>
              <w:rPr>
                <w:rFonts w:ascii="Arial" w:cs="Arial" w:eastAsia="Arial" w:hAnsi="Arial"/>
                <w:sz w:val="18"/>
                <w:szCs w:val="18"/>
                <w:color w:val="auto"/>
              </w:rPr>
              <w:t>Inventories and Equipment on Operating Leases, Net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47</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0720" w:type="dxa"/>
            <w:vAlign w:val="bottom"/>
          </w:tcPr>
          <w:p>
            <w:pPr>
              <w:ind w:left="40"/>
              <w:spacing w:after="0"/>
              <w:rPr>
                <w:sz w:val="20"/>
                <w:szCs w:val="20"/>
                <w:color w:val="auto"/>
              </w:rPr>
            </w:pPr>
            <w:r>
              <w:rPr>
                <w:rFonts w:ascii="Arial" w:cs="Arial" w:eastAsia="Arial" w:hAnsi="Arial"/>
                <w:sz w:val="18"/>
                <w:szCs w:val="18"/>
                <w:color w:val="auto"/>
              </w:rPr>
              <w:t>Land, Buildings and Equipment, Net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48</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0720" w:type="dxa"/>
            <w:vAlign w:val="bottom"/>
          </w:tcPr>
          <w:p>
            <w:pPr>
              <w:ind w:left="40"/>
              <w:spacing w:after="0"/>
              <w:rPr>
                <w:sz w:val="20"/>
                <w:szCs w:val="20"/>
                <w:color w:val="auto"/>
              </w:rPr>
            </w:pPr>
            <w:r>
              <w:rPr>
                <w:rFonts w:ascii="Arial" w:cs="Arial" w:eastAsia="Arial" w:hAnsi="Arial"/>
                <w:sz w:val="18"/>
                <w:szCs w:val="18"/>
                <w:color w:val="auto"/>
              </w:rPr>
              <w:t>Investments in Affiliates, at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49</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72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51</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0720" w:type="dxa"/>
            <w:vAlign w:val="bottom"/>
          </w:tcPr>
          <w:p>
            <w:pPr>
              <w:ind w:left="40"/>
              <w:spacing w:after="0"/>
              <w:rPr>
                <w:sz w:val="20"/>
                <w:szCs w:val="20"/>
                <w:color w:val="auto"/>
              </w:rPr>
            </w:pPr>
            <w:r>
              <w:rPr>
                <w:rFonts w:ascii="Arial" w:cs="Arial" w:eastAsia="Arial" w:hAnsi="Arial"/>
                <w:sz w:val="18"/>
                <w:szCs w:val="18"/>
                <w:color w:val="auto"/>
              </w:rPr>
              <w:t>Restructuring and Asset Impairment Charges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52</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720" w:type="dxa"/>
            <w:vAlign w:val="bottom"/>
          </w:tcPr>
          <w:p>
            <w:pPr>
              <w:ind w:left="40"/>
              <w:spacing w:after="0"/>
              <w:rPr>
                <w:sz w:val="20"/>
                <w:szCs w:val="20"/>
                <w:color w:val="auto"/>
              </w:rPr>
            </w:pPr>
            <w:r>
              <w:rPr>
                <w:rFonts w:ascii="Arial" w:cs="Arial" w:eastAsia="Arial" w:hAnsi="Arial"/>
                <w:sz w:val="18"/>
                <w:szCs w:val="18"/>
                <w:color w:val="auto"/>
              </w:rPr>
              <w:t>Supplementary Financial Information</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53</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0720" w:type="dxa"/>
            <w:vAlign w:val="bottom"/>
          </w:tcPr>
          <w:p>
            <w:pPr>
              <w:ind w:left="40"/>
              <w:spacing w:after="0"/>
              <w:rPr>
                <w:sz w:val="20"/>
                <w:szCs w:val="20"/>
                <w:color w:val="auto"/>
              </w:rPr>
            </w:pPr>
            <w:r>
              <w:rPr>
                <w:rFonts w:ascii="Arial" w:cs="Arial" w:eastAsia="Arial" w:hAnsi="Arial"/>
                <w:sz w:val="18"/>
                <w:szCs w:val="18"/>
                <w:color w:val="auto"/>
              </w:rPr>
              <w:t>Debt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54</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0720" w:type="dxa"/>
            <w:vAlign w:val="bottom"/>
          </w:tcPr>
          <w:p>
            <w:pPr>
              <w:ind w:left="40"/>
              <w:spacing w:after="0"/>
              <w:rPr>
                <w:sz w:val="20"/>
                <w:szCs w:val="20"/>
                <w:color w:val="auto"/>
              </w:rPr>
            </w:pPr>
            <w:r>
              <w:rPr>
                <w:rFonts w:ascii="Arial" w:cs="Arial" w:eastAsia="Arial" w:hAnsi="Arial"/>
                <w:sz w:val="18"/>
                <w:szCs w:val="18"/>
                <w:color w:val="auto"/>
              </w:rPr>
              <w:t>Liability to Subsidiary Trust Issuing Preferred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58</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720" w:type="dxa"/>
            <w:vAlign w:val="bottom"/>
          </w:tcPr>
          <w:p>
            <w:pPr>
              <w:ind w:left="40"/>
              <w:spacing w:after="0"/>
              <w:rPr>
                <w:sz w:val="20"/>
                <w:szCs w:val="20"/>
                <w:color w:val="auto"/>
              </w:rPr>
            </w:pPr>
            <w:r>
              <w:rPr>
                <w:rFonts w:ascii="Arial" w:cs="Arial" w:eastAsia="Arial" w:hAnsi="Arial"/>
                <w:sz w:val="18"/>
                <w:szCs w:val="18"/>
                <w:color w:val="auto"/>
              </w:rPr>
              <w:t>Financial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59</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720" w:type="dxa"/>
            <w:vAlign w:val="bottom"/>
          </w:tcPr>
          <w:p>
            <w:pPr>
              <w:ind w:left="40"/>
              <w:spacing w:after="0"/>
              <w:rPr>
                <w:sz w:val="20"/>
                <w:szCs w:val="20"/>
                <w:color w:val="auto"/>
              </w:rPr>
            </w:pPr>
            <w:r>
              <w:rPr>
                <w:rFonts w:ascii="Arial" w:cs="Arial" w:eastAsia="Arial" w:hAnsi="Arial"/>
                <w:sz w:val="18"/>
                <w:szCs w:val="18"/>
                <w:color w:val="auto"/>
              </w:rPr>
              <w:t>Employee Benefit Plans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65</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0720" w:type="dxa"/>
            <w:vAlign w:val="bottom"/>
          </w:tcPr>
          <w:p>
            <w:pPr>
              <w:ind w:left="40"/>
              <w:spacing w:after="0"/>
              <w:rPr>
                <w:sz w:val="20"/>
                <w:szCs w:val="20"/>
                <w:color w:val="auto"/>
              </w:rPr>
            </w:pPr>
            <w:r>
              <w:rPr>
                <w:rFonts w:ascii="Arial" w:cs="Arial" w:eastAsia="Arial" w:hAnsi="Arial"/>
                <w:sz w:val="18"/>
                <w:szCs w:val="18"/>
                <w:color w:val="auto"/>
              </w:rPr>
              <w:t>Income and Other Taxes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72</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720" w:type="dxa"/>
            <w:vAlign w:val="bottom"/>
          </w:tcPr>
          <w:p>
            <w:pPr>
              <w:ind w:left="40"/>
              <w:spacing w:after="0"/>
              <w:rPr>
                <w:sz w:val="20"/>
                <w:szCs w:val="20"/>
                <w:color w:val="auto"/>
              </w:rPr>
            </w:pPr>
            <w:r>
              <w:rPr>
                <w:rFonts w:ascii="Arial" w:cs="Arial" w:eastAsia="Arial" w:hAnsi="Arial"/>
                <w:sz w:val="18"/>
                <w:szCs w:val="18"/>
                <w:color w:val="auto"/>
              </w:rPr>
              <w:t>Contingencies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75</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07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79</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72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83</w:t>
            </w:r>
          </w:p>
        </w:tc>
      </w:tr>
      <w:tr>
        <w:trPr>
          <w:trHeight w:val="270"/>
        </w:trPr>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0720" w:type="dxa"/>
            <w:vAlign w:val="bottom"/>
          </w:tcPr>
          <w:p>
            <w:pPr>
              <w:ind w:left="40"/>
              <w:spacing w:after="0"/>
              <w:rPr>
                <w:sz w:val="20"/>
                <w:szCs w:val="20"/>
                <w:color w:val="auto"/>
              </w:rPr>
            </w:pPr>
            <w:r>
              <w:rPr>
                <w:rFonts w:ascii="Arial" w:cs="Arial" w:eastAsia="Arial" w:hAnsi="Arial"/>
                <w:sz w:val="18"/>
                <w:szCs w:val="18"/>
                <w:color w:val="auto"/>
              </w:rPr>
              <w:t>Subsequent Events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83</w:t>
            </w:r>
          </w:p>
        </w:tc>
      </w:tr>
      <w:tr>
        <w:trPr>
          <w:trHeight w:val="270"/>
        </w:trPr>
        <w:tc>
          <w:tcPr>
            <w:tcW w:w="11220" w:type="dxa"/>
            <w:vAlign w:val="bottom"/>
            <w:gridSpan w:val="2"/>
          </w:tcPr>
          <w:p>
            <w:pPr>
              <w:spacing w:after="0"/>
              <w:rPr>
                <w:sz w:val="20"/>
                <w:szCs w:val="20"/>
                <w:color w:val="auto"/>
              </w:rPr>
            </w:pPr>
            <w:r>
              <w:rPr>
                <w:rFonts w:ascii="Arial" w:cs="Arial" w:eastAsia="Arial" w:hAnsi="Arial"/>
                <w:sz w:val="18"/>
                <w:szCs w:val="18"/>
                <w:color w:val="auto"/>
              </w:rPr>
              <w:t>Reports of Management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85</w:t>
            </w:r>
          </w:p>
        </w:tc>
      </w:tr>
      <w:tr>
        <w:trPr>
          <w:trHeight w:val="270"/>
        </w:trPr>
        <w:tc>
          <w:tcPr>
            <w:tcW w:w="1122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86</w:t>
            </w:r>
          </w:p>
        </w:tc>
      </w:tr>
      <w:tr>
        <w:trPr>
          <w:trHeight w:val="270"/>
        </w:trPr>
        <w:tc>
          <w:tcPr>
            <w:tcW w:w="11220" w:type="dxa"/>
            <w:vAlign w:val="bottom"/>
            <w:gridSpan w:val="2"/>
          </w:tcPr>
          <w:p>
            <w:pPr>
              <w:spacing w:after="0"/>
              <w:rPr>
                <w:sz w:val="20"/>
                <w:szCs w:val="20"/>
                <w:color w:val="auto"/>
              </w:rPr>
            </w:pPr>
            <w:r>
              <w:rPr>
                <w:rFonts w:ascii="Arial" w:cs="Arial" w:eastAsia="Arial" w:hAnsi="Arial"/>
                <w:sz w:val="18"/>
                <w:szCs w:val="18"/>
                <w:color w:val="auto"/>
              </w:rPr>
              <w:t>Quarterly Results of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87</w:t>
            </w:r>
          </w:p>
        </w:tc>
      </w:tr>
      <w:tr>
        <w:trPr>
          <w:trHeight w:val="270"/>
        </w:trPr>
        <w:tc>
          <w:tcPr>
            <w:tcW w:w="11220" w:type="dxa"/>
            <w:vAlign w:val="bottom"/>
            <w:gridSpan w:val="2"/>
          </w:tcPr>
          <w:p>
            <w:pPr>
              <w:spacing w:after="0"/>
              <w:rPr>
                <w:sz w:val="20"/>
                <w:szCs w:val="20"/>
                <w:color w:val="auto"/>
              </w:rPr>
            </w:pPr>
            <w:r>
              <w:rPr>
                <w:rFonts w:ascii="Arial" w:cs="Arial" w:eastAsia="Arial" w:hAnsi="Arial"/>
                <w:sz w:val="18"/>
                <w:szCs w:val="18"/>
                <w:color w:val="auto"/>
              </w:rPr>
              <w:t>Five Years in Review</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88</w:t>
            </w:r>
          </w:p>
        </w:tc>
      </w:tr>
      <w:tr>
        <w:trPr>
          <w:trHeight w:val="270"/>
        </w:trPr>
        <w:tc>
          <w:tcPr>
            <w:tcW w:w="11220" w:type="dxa"/>
            <w:vAlign w:val="bottom"/>
            <w:gridSpan w:val="2"/>
          </w:tcPr>
          <w:p>
            <w:pPr>
              <w:spacing w:after="0"/>
              <w:rPr>
                <w:sz w:val="20"/>
                <w:szCs w:val="20"/>
                <w:color w:val="auto"/>
              </w:rPr>
            </w:pPr>
            <w:r>
              <w:rPr>
                <w:rFonts w:ascii="Arial" w:cs="Arial" w:eastAsia="Arial" w:hAnsi="Arial"/>
                <w:sz w:val="18"/>
                <w:szCs w:val="18"/>
                <w:color w:val="auto"/>
              </w:rPr>
              <w:t>Corporate Information</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89</w:t>
            </w:r>
          </w:p>
        </w:tc>
      </w:tr>
      <w:tr>
        <w:trPr>
          <w:trHeight w:val="351"/>
        </w:trPr>
        <w:tc>
          <w:tcPr>
            <w:tcW w:w="500" w:type="dxa"/>
            <w:vAlign w:val="bottom"/>
          </w:tcPr>
          <w:p>
            <w:pPr>
              <w:spacing w:after="0"/>
              <w:rPr>
                <w:sz w:val="24"/>
                <w:szCs w:val="24"/>
                <w:color w:val="auto"/>
              </w:rPr>
            </w:pPr>
          </w:p>
        </w:tc>
        <w:tc>
          <w:tcPr>
            <w:tcW w:w="10720" w:type="dxa"/>
            <w:vAlign w:val="bottom"/>
          </w:tcPr>
          <w:p>
            <w:pPr>
              <w:ind w:left="8620"/>
              <w:spacing w:after="0"/>
              <w:rPr>
                <w:sz w:val="20"/>
                <w:szCs w:val="20"/>
                <w:color w:val="auto"/>
              </w:rPr>
            </w:pPr>
            <w:r>
              <w:rPr>
                <w:rFonts w:ascii="Arial" w:cs="Arial" w:eastAsia="Arial" w:hAnsi="Arial"/>
                <w:sz w:val="18"/>
                <w:szCs w:val="18"/>
                <w:color w:val="1269BC"/>
                <w:w w:val="98"/>
              </w:rPr>
              <w:t>Xerox 2009 Annual Report</w:t>
            </w:r>
          </w:p>
        </w:tc>
        <w:tc>
          <w:tcPr>
            <w:tcW w:w="200" w:type="dxa"/>
            <w:vAlign w:val="bottom"/>
          </w:tcPr>
          <w:p>
            <w:pPr>
              <w:jc w:val="right"/>
              <w:spacing w:after="0"/>
              <w:rPr>
                <w:sz w:val="20"/>
                <w:szCs w:val="20"/>
                <w:color w:val="auto"/>
              </w:rPr>
            </w:pPr>
            <w:r>
              <w:rPr>
                <w:rFonts w:ascii="Arial" w:cs="Arial" w:eastAsia="Arial" w:hAnsi="Arial"/>
                <w:sz w:val="18"/>
                <w:szCs w:val="18"/>
                <w:color w:val="1269BC"/>
              </w:rPr>
              <w:t>ii</w:t>
            </w:r>
          </w:p>
        </w:tc>
      </w:tr>
    </w:tbl>
    <w:p>
      <w:pPr>
        <w:sectPr>
          <w:pgSz w:w="11900" w:h="16838" w:orient="portrait"/>
          <w:cols w:equalWidth="0" w:num="1">
            <w:col w:w="11420"/>
          </w:cols>
          <w:pgMar w:left="240" w:top="359" w:right="239" w:bottom="1440" w:gutter="0" w:footer="0" w:header="0"/>
        </w:sectPr>
      </w:pPr>
    </w:p>
    <w:bookmarkStart w:id="83" w:name="page84"/>
    <w:bookmarkEnd w:id="83"/>
    <w:p>
      <w:pPr>
        <w:spacing w:after="0"/>
        <w:rPr>
          <w:sz w:val="20"/>
          <w:szCs w:val="20"/>
          <w:color w:val="auto"/>
        </w:rPr>
      </w:pPr>
      <w:r>
        <w:rPr>
          <w:rFonts w:ascii="Arial" w:cs="Arial" w:eastAsia="Arial" w:hAnsi="Arial"/>
          <w:sz w:val="24"/>
          <w:szCs w:val="24"/>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Management’s Discussion and Analysis of Financial Condition and Results of Operations</w:t>
      </w:r>
    </w:p>
    <w:p>
      <w:pPr>
        <w:spacing w:after="0" w:line="20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the results of operations and financial condition of Xerox Corporation. MD&amp;A is provided as a supplement to, and should be read in conjunction with, our consolidated financial statements and the accompanying notes.</w:t>
      </w:r>
    </w:p>
    <w:p>
      <w:pPr>
        <w:spacing w:after="0" w:line="15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Throughout this document, references to “we,” “our,” the “Company” and “Xerox” refer to Xerox Corporation and its subsidiaries. References to “Xerox Corporation” refer to the stand-alone parent company and do not include its subsidiaries.</w:t>
      </w:r>
    </w:p>
    <w:p>
      <w:pPr>
        <w:spacing w:after="0" w:line="118"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Executive Overview</w:t>
      </w:r>
    </w:p>
    <w:p>
      <w:pPr>
        <w:spacing w:after="0" w:line="2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a technology and services enterprise and a leader in the global document market. We develop, manufacture, market, service and finance the industry’s broadest portfolio of document equipment, software, solutions and services. The global document market continues to see significant trends toward color, enterprise print services, and electronic document management. Our broad portfolio of production, office and service offerings provide value to our customers and enable Xerox to lead and grow in the $132 billion market we serve.</w:t>
      </w:r>
    </w:p>
    <w:p>
      <w:pPr>
        <w:spacing w:after="0" w:line="155"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2009, we agreed to acquire Affiliated Computer Services, Inc. (“ACS”). The acquisition was completed in February 2010. This acquisition transforms us into the world’s leading enterprise for business process and document management and accelerates our growth in an expanding market. ACS is one of the largest providers of business process outsourcing (“BPO”) and information technology (“IT”) services and solutions to commercial and government clients worldwide. ACS’s revenues for the calendar year ended December 31, 2009 were $6.6 billion and they employed 78,000 people and operated in over 100 countries. With the acquisition of ACS we have greatly expanded our market opportunity. The BPO market is estimated at $150 billion and the ITO market is estimated at $250 billion.</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business strategy is built upon an annuity model that yields consistent strong cash flow, expanded earnings and enables us to provide good returns to shareholders. The majority of our revenue (supplies, service, paper, outsourcing, rentals and financing) is recurring, which we collectively refer to as post sale revenue. This recurring revenue provides a significant degree of stability to our revenue, profits and cash flow. Post sale revenue currently represents more than 75 percent of the Company’s revenue and is driven by the amount of equipment installed at customer locations and the utilization of that equipment. As such, our critical success factors include equipment installations, which stabilize and grow our installed base of equipment at customer locations, page volume growth and higher revenue per page. Key drivers to increase equipment installations, usage and associated post-sale revenue include the following:</w:t>
      </w:r>
    </w:p>
    <w:p>
      <w:pPr>
        <w:spacing w:after="0" w:line="196"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Accelerate transition to color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Build on services leadership</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Strengthening our leadership in digital production printing.</w:t>
      </w:r>
    </w:p>
    <w:p>
      <w:pPr>
        <w:spacing w:after="0" w:line="15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transition to color is a primary driver to improve revenue per page, as color documents typically require significantly more toner coverage per page than traditional black-and-white printing. We have the broadest color portfolio in the industry and leading technologies. Our growing services business helps customers reduce their costs. We lead the industry with end-to-end managed print services. Lastly, we continue to create new market opportunities with digital printing as a complement to traditional offset printing.</w:t>
      </w:r>
    </w:p>
    <w:p>
      <w:pPr>
        <w:spacing w:after="0" w:line="15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operate in a global business environment, serving a wide range of customers with about 50 percent of our revenue generated from customers outside the U.S. Our markets are competitive. Customers are demanding document services such as assessment consulting, managed print services, imaging and hosting and document-intensive business process improvements. Additionally, our customers demand improved technology solutions, such as the ability to print offset quality color documents on-demand; improved product functionality, such as the ability to print, copy, fax and scan from a single device; and lower prices for the same functionality.</w:t>
      </w:r>
    </w:p>
    <w:p>
      <w:pPr>
        <w:spacing w:after="0" w:line="14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1</w:t>
      </w:r>
    </w:p>
    <w:p>
      <w:pPr>
        <w:sectPr>
          <w:pgSz w:w="11900" w:h="16838" w:orient="portrait"/>
          <w:cols w:equalWidth="0" w:num="1">
            <w:col w:w="11420"/>
          </w:cols>
          <w:pgMar w:left="240" w:top="254" w:right="239" w:bottom="1440" w:gutter="0" w:footer="0" w:header="0"/>
        </w:sectPr>
      </w:pPr>
    </w:p>
    <w:bookmarkStart w:id="84" w:name="page85"/>
    <w:bookmarkEnd w:id="84"/>
    <w:p>
      <w:pPr>
        <w:ind w:right="2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Accretive acquisitions and expanded distribution to drive organic growth are also key elements of our business strategy. In addition to the ACS acquisition, in 2009 Global Imaging Systems, Inc. (“GIS”) acquired ComDoc, Inc. (“ComDoc”), one of the larger independent dealers in the U.S., expanding coverage in Ohio, Pennsylvania, New York and West Virginia.</w:t>
      </w:r>
    </w:p>
    <w:p>
      <w:pPr>
        <w:spacing w:after="0" w:line="117"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Financial Overview</w:t>
      </w:r>
    </w:p>
    <w:p>
      <w:pPr>
        <w:spacing w:after="0" w:line="207"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Although we began to see some improvements in our markets in the fourth quarter 2009, we faced significant external challenges in 2009 including:</w:t>
      </w:r>
    </w:p>
    <w:p>
      <w:pPr>
        <w:spacing w:after="0" w:line="195"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worldwide recession driving down demand and volumes;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credit market crisis impacting access, rates and creating liquidity pressures on our channels and customers;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negative effects of currency changes on our revenue and costs.</w:t>
      </w:r>
    </w:p>
    <w:p>
      <w:pPr>
        <w:spacing w:after="0" w:line="15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overall slowdown in business activity reduced print volumes, especially in heavily document-driven processes, and our customers, in an effort to manage costs, are delaying spending on technology upgrades until there are stronger signs of economic improvement. The weak economies in developing markets, like Russia and Eurasia, where access to credit is still quite limited, also impacted our revenues. We reacted to these challenges by prioritizing cash generation and taking actions on cost and expense to help mitigate the effects of lower revenue.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2009 highlights:</w:t>
      </w:r>
    </w:p>
    <w:p>
      <w:pPr>
        <w:spacing w:after="0" w:line="19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Delivered strong operating cash flow and reduced spending;</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Operational performance continues to improve sequentially;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Competitive position strengthened through innovative technology and industry leading Managed Print Services offering;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ACS acquisition opens new market opportunities and strengthens financial position.</w:t>
      </w:r>
    </w:p>
    <w:p>
      <w:pPr>
        <w:spacing w:after="0" w:line="15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Total revenue of $15,179 million for 2009 declined 14% from the prior year including a 3-percentage point negative impact from currency. Equipment sales of $3,550 million for 2009 decreased 24% from the prior year primarily reflecting the continued industry-wide slowdown in technology spending. Post-sale revenue of $11,629 million for 2009 was down 10% from the prior year primarily reflecting lower supplies revenue as distributors maintained lower inventory levels and businesses implemented their own cost-cutting measures.</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benefits from restructuring and operational cost improvements helped to relieve the pressure from revenue declines. Gross margins of 39.7% for 2009 increased 0.8-percentage points from the prior year despite the continued effect of higher product costs due to the strength of the Japanese Yen. Selling, administrative and general expenses (“SAG”) for 2009 declined $385 million reflecting favorable currency, the benefits from restructuring and operational cost improvements, partially offset by increased bad debt expense.</w:t>
      </w:r>
    </w:p>
    <w:p>
      <w:pPr>
        <w:spacing w:after="0" w:line="15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Cash flows from operations of $2,208 million in 2009 were primarily driven by working capital improvements. Cash used in investing activities of $343 million reflected well controlled capital expenditures of $193 million, as well as $145 million for GIS’s acquisition of ComDoc in the first quarter of 2009.</w:t>
      </w:r>
    </w:p>
    <w:p>
      <w:pPr>
        <w:spacing w:after="0" w:line="15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continue to maintain debt levels primarily to support our customer financing operations and, at the end of 2009, to fund the ACS acquisition. Total Debt at December 31, 2009 of $9,264 million increased $880 million from the prior year as net debt repayments of approximately $1.8 billion were more than offset by the issuance of $2,750 million in Senior Notes. Our 2009 public offerings included $750 million of Senior Notes issued in May and $2.0 billion of Senior Notes issued in December. The net proceeds from the December Senior Notes offering were used in connection with the acquisition of ACS. We finished the year with cash and cash equivalents of $3,799 billion, which included funds subsequently used for the acquisition of ACS.</w:t>
      </w:r>
    </w:p>
    <w:p>
      <w:pPr>
        <w:spacing w:after="0" w:line="14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2</w:t>
      </w:r>
    </w:p>
    <w:p>
      <w:pPr>
        <w:sectPr>
          <w:pgSz w:w="11900" w:h="16838" w:orient="portrait"/>
          <w:cols w:equalWidth="0" w:num="1">
            <w:col w:w="11420"/>
          </w:cols>
          <w:pgMar w:left="240" w:top="29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2010 priorities include:</w:t>
      </w:r>
    </w:p>
    <w:p>
      <w:pPr>
        <w:spacing w:after="0" w:line="198"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Effective ACS transition, including synergies capture;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Grow revenue and maintain leadership in innovation;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to aggressively manage spending and resize our cost base to align to current revenues;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Drive operating cash flow and achieve debt reduction goals.</w:t>
      </w:r>
    </w:p>
    <w:p>
      <w:pPr>
        <w:spacing w:after="0" w:line="158" w:lineRule="exact"/>
        <w:rPr>
          <w:sz w:val="20"/>
          <w:szCs w:val="20"/>
          <w:color w:val="auto"/>
        </w:rPr>
      </w:pPr>
    </w:p>
    <w:p>
      <w:pPr>
        <w:jc w:val="both"/>
        <w:ind w:right="320"/>
        <w:spacing w:after="0" w:line="281" w:lineRule="auto"/>
        <w:rPr>
          <w:sz w:val="20"/>
          <w:szCs w:val="20"/>
          <w:color w:val="auto"/>
        </w:rPr>
      </w:pPr>
      <w:r>
        <w:rPr>
          <w:rFonts w:ascii="Arial" w:cs="Arial" w:eastAsia="Arial" w:hAnsi="Arial"/>
          <w:sz w:val="16"/>
          <w:szCs w:val="16"/>
          <w:color w:val="auto"/>
        </w:rPr>
        <w:t>Our 2010 balance sheet and cash flow strategy includes: sustaining our working capital improvements; maintaining our investment grade credit ratings; achieving an optimal cost of capital; and effectively deploying cash to deliver and maximize shareholder value through acquisitions and dividends. Our strategy also includes appropriately leveraging our financing assets (finance receivables and equipment on operating leases).</w:t>
      </w:r>
    </w:p>
    <w:p>
      <w:pPr>
        <w:spacing w:after="0" w:line="86"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Currency Impacts</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understand the trends in our business, we believe that it is helpful to analyze the impact of changes in the translation of foreign currencies into U.S. Dollars on revenues and expenses. We refer to this analysis as “currency impact” or “the impact from currency”. Revenues and expenses from our developing markets are analyzed at actual exchange rates for all periods presented, since these countries generally have volatile currency and inflationary environments, and our operations in these countries have historically implemented pricing actions to recover the impact of inflation and devaluation. We do not hedge the translation effect of revenues or expenses denominated in currencies where the local currency is the functional currency.</w:t>
      </w:r>
    </w:p>
    <w:p>
      <w:pPr>
        <w:spacing w:after="0" w:line="15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Approximately 50% of our consolidated revenues are derived from operations outside of the United States where the U.S. Dollar is not the functional currency. When compared with the average of the major European currencies and Canadian Dollar on a revenue-weighted basis, the U.S. Dollar was 7% stronger in 2009 and 3% weaker in 2008, each compared to the prior year. As a result, the foreign currency translation impact on revenue was a 3% detriment in 2009 and a 1% benefit in 2008.</w:t>
      </w:r>
    </w:p>
    <w:p>
      <w:pPr>
        <w:spacing w:after="0" w:line="118"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Summary Results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three years ended December 31, 2009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4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Equipment sales</w:t>
            </w:r>
          </w:p>
        </w:tc>
        <w:tc>
          <w:tcPr>
            <w:tcW w:w="3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3,550</w:t>
            </w:r>
          </w:p>
        </w:tc>
        <w:tc>
          <w:tcPr>
            <w:tcW w:w="60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4,679</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4,753</w:t>
            </w:r>
          </w:p>
        </w:tc>
        <w:tc>
          <w:tcPr>
            <w:tcW w:w="90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(24)%</w:t>
            </w:r>
          </w:p>
        </w:tc>
        <w:tc>
          <w:tcPr>
            <w:tcW w:w="90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740" w:type="dxa"/>
            <w:vAlign w:val="bottom"/>
            <w:gridSpan w:val="4"/>
          </w:tcPr>
          <w:p>
            <w:pPr>
              <w:spacing w:after="0" w:line="203" w:lineRule="exact"/>
              <w:rPr>
                <w:sz w:val="20"/>
                <w:szCs w:val="20"/>
                <w:color w:val="auto"/>
              </w:rPr>
            </w:pPr>
            <w:r>
              <w:rPr>
                <w:rFonts w:ascii="Arial" w:cs="Arial" w:eastAsia="Arial" w:hAnsi="Arial"/>
                <w:sz w:val="18"/>
                <w:szCs w:val="18"/>
                <w:color w:val="auto"/>
              </w:rPr>
              <w:t xml:space="preserve">Post sale revenue </w:t>
            </w:r>
            <w:r>
              <w:rPr>
                <w:rFonts w:ascii="Arial" w:cs="Arial" w:eastAsia="Arial" w:hAnsi="Arial"/>
                <w:sz w:val="22"/>
                <w:szCs w:val="22"/>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11,629</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12,929</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12,475</w:t>
            </w:r>
          </w:p>
        </w:tc>
        <w:tc>
          <w:tcPr>
            <w:tcW w:w="90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(10)%</w:t>
            </w:r>
          </w:p>
        </w:tc>
        <w:tc>
          <w:tcPr>
            <w:tcW w:w="90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15,179</w:t>
            </w:r>
          </w:p>
        </w:tc>
        <w:tc>
          <w:tcPr>
            <w:tcW w:w="6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17,608</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17,228</w:t>
            </w:r>
          </w:p>
        </w:tc>
        <w:tc>
          <w:tcPr>
            <w:tcW w:w="90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(14)%</w:t>
            </w:r>
          </w:p>
        </w:tc>
        <w:tc>
          <w:tcPr>
            <w:tcW w:w="90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0"/>
        </w:trPr>
        <w:tc>
          <w:tcPr>
            <w:tcW w:w="57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Reconciliation to Consolidated Statements of Income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740" w:type="dxa"/>
            <w:vAlign w:val="bottom"/>
            <w:gridSpan w:val="4"/>
            <w:vMerge w:val="continue"/>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6,646</w:t>
            </w:r>
          </w:p>
        </w:tc>
        <w:tc>
          <w:tcPr>
            <w:tcW w:w="6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8,325</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8,192</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4"/>
          </w:tcPr>
          <w:p>
            <w:pPr>
              <w:spacing w:after="0" w:line="202" w:lineRule="exact"/>
              <w:rPr>
                <w:sz w:val="20"/>
                <w:szCs w:val="20"/>
                <w:color w:val="auto"/>
              </w:rPr>
            </w:pPr>
            <w:r>
              <w:rPr>
                <w:rFonts w:ascii="Arial" w:cs="Arial" w:eastAsia="Arial" w:hAnsi="Arial"/>
                <w:sz w:val="18"/>
                <w:szCs w:val="18"/>
                <w:color w:val="auto"/>
              </w:rPr>
              <w:t>Less: Supplies, paper and other sales</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(3,096)</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(3,646)</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(3,439)</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Equipment Sales</w:t>
            </w:r>
          </w:p>
        </w:tc>
        <w:tc>
          <w:tcPr>
            <w:tcW w:w="3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3,550</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4,679</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4,753</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740" w:type="dxa"/>
            <w:vAlign w:val="bottom"/>
            <w:gridSpan w:val="4"/>
          </w:tcPr>
          <w:p>
            <w:pPr>
              <w:spacing w:after="0"/>
              <w:rPr>
                <w:sz w:val="20"/>
                <w:szCs w:val="20"/>
                <w:color w:val="auto"/>
              </w:rPr>
            </w:pPr>
            <w:r>
              <w:rPr>
                <w:rFonts w:ascii="Arial" w:cs="Arial" w:eastAsia="Arial" w:hAnsi="Arial"/>
                <w:sz w:val="18"/>
                <w:szCs w:val="18"/>
                <w:color w:val="auto"/>
              </w:rPr>
              <w:t>Service, outsourcing and rentals</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7,820</w:t>
            </w: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8,485</w:t>
            </w:r>
          </w:p>
        </w:tc>
        <w:tc>
          <w:tcPr>
            <w:tcW w:w="300" w:type="dxa"/>
            <w:vAlign w:val="bottom"/>
          </w:tcPr>
          <w:p>
            <w:pPr>
              <w:spacing w:after="0"/>
              <w:rPr>
                <w:sz w:val="24"/>
                <w:szCs w:val="24"/>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8,214</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713</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798</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822</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gridSpan w:val="4"/>
          </w:tcPr>
          <w:p>
            <w:pPr>
              <w:spacing w:after="0" w:line="202" w:lineRule="exact"/>
              <w:rPr>
                <w:sz w:val="20"/>
                <w:szCs w:val="20"/>
                <w:color w:val="auto"/>
              </w:rPr>
            </w:pPr>
            <w:r>
              <w:rPr>
                <w:rFonts w:ascii="Arial" w:cs="Arial" w:eastAsia="Arial" w:hAnsi="Arial"/>
                <w:sz w:val="18"/>
                <w:szCs w:val="18"/>
                <w:color w:val="auto"/>
              </w:rPr>
              <w:t>Add: Supplies, paper and other sales</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3,096</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3,646</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3,439</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Post Sale Revenue</w:t>
            </w:r>
          </w:p>
        </w:tc>
        <w:tc>
          <w:tcPr>
            <w:tcW w:w="3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11,629</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12,929</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12,475</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gridSpan w:val="4"/>
            <w:vMerge w:val="restart"/>
          </w:tcPr>
          <w:p>
            <w:pPr>
              <w:spacing w:after="0" w:line="237" w:lineRule="exact"/>
              <w:rPr>
                <w:sz w:val="20"/>
                <w:szCs w:val="20"/>
                <w:color w:val="auto"/>
              </w:rPr>
            </w:pPr>
            <w:r>
              <w:rPr>
                <w:rFonts w:ascii="Arial" w:cs="Arial" w:eastAsia="Arial" w:hAnsi="Arial"/>
                <w:sz w:val="18"/>
                <w:szCs w:val="18"/>
                <w:b w:val="1"/>
                <w:bCs w:val="1"/>
                <w:color w:val="auto"/>
              </w:rPr>
              <w:t xml:space="preserve">Memo: Color </w:t>
            </w:r>
            <w:r>
              <w:rPr>
                <w:rFonts w:ascii="Arial" w:cs="Arial" w:eastAsia="Arial" w:hAnsi="Arial"/>
                <w:sz w:val="22"/>
                <w:szCs w:val="22"/>
                <w:b w:val="1"/>
                <w:bCs w:val="1"/>
                <w:color w:val="auto"/>
                <w:vertAlign w:val="superscript"/>
              </w:rPr>
              <w:t>(2)</w:t>
            </w: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gridSpan w:val="2"/>
            <w:vMerge w:val="restart"/>
          </w:tcPr>
          <w:p>
            <w:pPr>
              <w:jc w:val="right"/>
              <w:ind w:right="32"/>
              <w:spacing w:after="0"/>
              <w:rPr>
                <w:sz w:val="20"/>
                <w:szCs w:val="20"/>
                <w:color w:val="auto"/>
              </w:rPr>
            </w:pPr>
            <w:r>
              <w:rPr>
                <w:rFonts w:ascii="Arial" w:cs="Arial" w:eastAsia="Arial" w:hAnsi="Arial"/>
                <w:sz w:val="18"/>
                <w:szCs w:val="18"/>
                <w:b w:val="1"/>
                <w:bCs w:val="1"/>
                <w:color w:val="auto"/>
              </w:rPr>
              <w:t>(10)%</w:t>
            </w:r>
          </w:p>
        </w:tc>
        <w:tc>
          <w:tcPr>
            <w:tcW w:w="900" w:type="dxa"/>
            <w:vAlign w:val="bottom"/>
            <w:gridSpan w:val="2"/>
            <w:vMerge w:val="restart"/>
          </w:tcPr>
          <w:p>
            <w:pPr>
              <w:jc w:val="right"/>
              <w:ind w:right="32"/>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line="20" w:lineRule="exact"/>
              <w:rPr>
                <w:sz w:val="1"/>
                <w:szCs w:val="1"/>
                <w:color w:val="auto"/>
              </w:rPr>
            </w:pPr>
          </w:p>
        </w:tc>
      </w:tr>
      <w:tr>
        <w:trPr>
          <w:trHeight w:val="197"/>
        </w:trPr>
        <w:tc>
          <w:tcPr>
            <w:tcW w:w="5740" w:type="dxa"/>
            <w:vAlign w:val="bottom"/>
            <w:gridSpan w:val="4"/>
            <w:vMerge w:val="continue"/>
          </w:tcPr>
          <w:p>
            <w:pPr>
              <w:spacing w:after="0"/>
              <w:rPr>
                <w:sz w:val="17"/>
                <w:szCs w:val="17"/>
                <w:color w:val="auto"/>
              </w:rPr>
            </w:pPr>
          </w:p>
        </w:tc>
        <w:tc>
          <w:tcPr>
            <w:tcW w:w="30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5,972</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6,669</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6,356</w:t>
            </w:r>
          </w:p>
        </w:tc>
        <w:tc>
          <w:tcPr>
            <w:tcW w:w="90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3</w:t>
      </w:r>
    </w:p>
    <w:p>
      <w:pPr>
        <w:sectPr>
          <w:pgSz w:w="11900" w:h="16838" w:orient="portrait"/>
          <w:cols w:equalWidth="0" w:num="1">
            <w:col w:w="11420"/>
          </w:cols>
          <w:pgMar w:left="240" w:top="29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2009</w:t>
      </w:r>
    </w:p>
    <w:p>
      <w:pPr>
        <w:spacing w:after="0" w:line="18"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Revenue decreased 14% compared to the prior year, including a 3-percentage point negative impact from currency. Although moderating in the fourth quarter 2009, worldwide economic weakness negatively impacted our major market segments during the year. Total revenues included the following:</w:t>
      </w:r>
    </w:p>
    <w:p>
      <w:pPr>
        <w:spacing w:after="0" w:line="2" w:lineRule="exact"/>
        <w:rPr>
          <w:sz w:val="20"/>
          <w:szCs w:val="20"/>
          <w:color w:val="auto"/>
        </w:rPr>
      </w:pPr>
    </w:p>
    <w:p>
      <w:pPr>
        <w:ind w:left="460" w:right="400" w:hanging="452"/>
        <w:spacing w:after="0" w:line="23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 decrease in post sale revenue including a 3-percentage point negative impact from currency. The components of post sale revenue decreased as follows:</w:t>
      </w:r>
    </w:p>
    <w:p>
      <w:pPr>
        <w:spacing w:after="0" w:line="1" w:lineRule="exact"/>
        <w:rPr>
          <w:rFonts w:ascii="Arial" w:cs="Arial" w:eastAsia="Arial" w:hAnsi="Arial"/>
          <w:sz w:val="18"/>
          <w:szCs w:val="18"/>
          <w:color w:val="auto"/>
        </w:rPr>
      </w:pPr>
    </w:p>
    <w:p>
      <w:pPr>
        <w:ind w:left="900" w:right="680" w:hanging="446"/>
        <w:spacing w:after="0" w:line="264" w:lineRule="auto"/>
        <w:tabs>
          <w:tab w:leader="none" w:pos="9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8% decrease in service, outsourcing and rentals revenue to $7,820 million reflecting a 3-percentage point negative impact from currency and an overall decline in page volume. Total digital pages declined 6% despite an increase in color pages of 10%.</w:t>
      </w:r>
    </w:p>
    <w:p>
      <w:pPr>
        <w:ind w:left="900" w:right="200" w:hanging="446"/>
        <w:spacing w:after="0" w:line="264" w:lineRule="auto"/>
        <w:tabs>
          <w:tab w:leader="none" w:pos="9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Supplies, paper, and other sales of $3,096 million decreased 15% due primarily to currency, which had a 2-percentage point negative impact, and declines in channel supplies purchases, including lower purchases within developing markets, and lower paper sales.</w:t>
      </w:r>
    </w:p>
    <w:p>
      <w:pPr>
        <w:ind w:left="460" w:right="560" w:hanging="452"/>
        <w:spacing w:after="0" w:line="23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24% decrease in equipment sales revenue, including a 1-percentage point negative impact from currency. The overall decline in install activity was the primary driver along with price declines of approximately 5% across the Production and Office segments.</w:t>
      </w:r>
    </w:p>
    <w:p>
      <w:pPr>
        <w:spacing w:after="0" w:line="1" w:lineRule="exact"/>
        <w:rPr>
          <w:rFonts w:ascii="Arial" w:cs="Arial" w:eastAsia="Arial" w:hAnsi="Arial"/>
          <w:sz w:val="18"/>
          <w:szCs w:val="18"/>
          <w:color w:val="auto"/>
        </w:rPr>
      </w:pPr>
    </w:p>
    <w:p>
      <w:pPr>
        <w:ind w:left="460" w:right="420" w:hanging="452"/>
        <w:spacing w:after="0" w:line="192"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10% decrease in color revenue </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including a 2-percentage point negative impact from currency. Color revenue of $5,972 million in 2009 comprised 43% of total revenue, excluding GIS,</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compared to 41% in 2008 reflecting:</w:t>
      </w:r>
    </w:p>
    <w:p>
      <w:pPr>
        <w:ind w:left="900" w:right="120" w:hanging="446"/>
        <w:spacing w:after="0" w:line="218"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5% decrease in color post sale revenue including a 3-percentage point negative impact from currency. The decline was partially driven by lower channel color printer supplies purchases. Color represented 40% and 37% of post sale revenue in 2009 and 2008 excluding GIS, </w:t>
      </w:r>
      <w:r>
        <w:rPr>
          <w:rFonts w:ascii="Arial" w:cs="Arial" w:eastAsia="Arial" w:hAnsi="Arial"/>
          <w:sz w:val="22"/>
          <w:szCs w:val="22"/>
          <w:color w:val="auto"/>
          <w:vertAlign w:val="superscript"/>
        </w:rPr>
        <w:t>(3)</w:t>
      </w:r>
      <w:r>
        <w:rPr>
          <w:rFonts w:ascii="Arial" w:cs="Arial" w:eastAsia="Arial" w:hAnsi="Arial"/>
          <w:sz w:val="18"/>
          <w:szCs w:val="18"/>
          <w:color w:val="auto"/>
        </w:rPr>
        <w:t>, respectively.</w:t>
      </w:r>
    </w:p>
    <w:p>
      <w:pPr>
        <w:spacing w:after="0" w:line="1" w:lineRule="exact"/>
        <w:rPr>
          <w:rFonts w:ascii="Arial" w:cs="Arial" w:eastAsia="Arial" w:hAnsi="Arial"/>
          <w:sz w:val="18"/>
          <w:szCs w:val="18"/>
          <w:color w:val="auto"/>
        </w:rPr>
      </w:pPr>
    </w:p>
    <w:p>
      <w:pPr>
        <w:ind w:left="900" w:right="60" w:hanging="446"/>
        <w:spacing w:after="0" w:line="218"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22% decrease in color equipment sales revenue including a 2-percentage point negative impact from currency and lower installs driven by the impact of the economic environment. Color sales represented 53% and 50% of total equipment sales in 2009 and 2008, excluding GIS,</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respectively.</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10%</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growth in color pages. Color pages </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represented 21% and 18% of total pages in 2009 and 2008,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Revenue 2008</w:t>
      </w:r>
    </w:p>
    <w:p>
      <w:pPr>
        <w:spacing w:after="0" w:line="18" w:lineRule="exact"/>
        <w:rPr>
          <w:sz w:val="20"/>
          <w:szCs w:val="20"/>
          <w:color w:val="auto"/>
        </w:rPr>
      </w:pPr>
    </w:p>
    <w:p>
      <w:pPr>
        <w:ind w:right="500"/>
        <w:spacing w:after="0" w:line="211" w:lineRule="auto"/>
        <w:rPr>
          <w:sz w:val="20"/>
          <w:szCs w:val="20"/>
          <w:color w:val="auto"/>
        </w:rPr>
      </w:pPr>
      <w:r>
        <w:rPr>
          <w:rFonts w:ascii="Arial" w:cs="Arial" w:eastAsia="Arial" w:hAnsi="Arial"/>
          <w:sz w:val="18"/>
          <w:szCs w:val="18"/>
          <w:color w:val="auto"/>
        </w:rPr>
        <w:t>Revenue increased 2% compared to the prior year and was flat when including GIS in our 2007 results.</w:t>
      </w:r>
      <w:r>
        <w:rPr>
          <w:rFonts w:ascii="Arial" w:cs="Arial" w:eastAsia="Arial" w:hAnsi="Arial"/>
          <w:sz w:val="22"/>
          <w:szCs w:val="22"/>
          <w:color w:val="auto"/>
          <w:vertAlign w:val="superscript"/>
        </w:rPr>
        <w:t>(5)</w:t>
      </w:r>
      <w:r>
        <w:rPr>
          <w:rFonts w:ascii="Arial" w:cs="Arial" w:eastAsia="Arial" w:hAnsi="Arial"/>
          <w:sz w:val="18"/>
          <w:szCs w:val="18"/>
          <w:color w:val="auto"/>
        </w:rPr>
        <w:t xml:space="preserve"> Currency had a 1-percentage point positive impact on total revenues. Total revenues included the following:</w:t>
      </w:r>
    </w:p>
    <w:p>
      <w:pPr>
        <w:spacing w:after="0" w:line="1" w:lineRule="exact"/>
        <w:rPr>
          <w:sz w:val="20"/>
          <w:szCs w:val="20"/>
          <w:color w:val="auto"/>
        </w:rPr>
      </w:pPr>
    </w:p>
    <w:p>
      <w:pPr>
        <w:ind w:left="460" w:right="440" w:hanging="452"/>
        <w:spacing w:after="0" w:line="230"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4% increase in post sale revenue, or 2% including GIS in our 2007 results.</w:t>
      </w:r>
      <w:r>
        <w:rPr>
          <w:rFonts w:ascii="Arial" w:cs="Arial" w:eastAsia="Arial" w:hAnsi="Arial"/>
          <w:sz w:val="21"/>
          <w:szCs w:val="21"/>
          <w:color w:val="auto"/>
          <w:vertAlign w:val="superscript"/>
        </w:rPr>
        <w:t>(5)</w:t>
      </w:r>
      <w:r>
        <w:rPr>
          <w:rFonts w:ascii="Arial" w:cs="Arial" w:eastAsia="Arial" w:hAnsi="Arial"/>
          <w:sz w:val="17"/>
          <w:szCs w:val="17"/>
          <w:color w:val="auto"/>
        </w:rPr>
        <w:t xml:space="preserve"> This included a 1-percentage point benefit from currency. Growth in GIS, color products and document management services offset the declines in high-volume black-and-white printing systems, black-and-white multifunction devices and light lens product revenue. The components of post sale revenue increased as follows:</w:t>
      </w:r>
    </w:p>
    <w:p>
      <w:pPr>
        <w:spacing w:after="0" w:line="1" w:lineRule="exact"/>
        <w:rPr>
          <w:rFonts w:ascii="Arial" w:cs="Arial" w:eastAsia="Arial" w:hAnsi="Arial"/>
          <w:sz w:val="17"/>
          <w:szCs w:val="17"/>
          <w:color w:val="auto"/>
        </w:rPr>
      </w:pPr>
    </w:p>
    <w:p>
      <w:pPr>
        <w:ind w:left="900" w:right="720" w:hanging="446"/>
        <w:spacing w:after="0" w:line="23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3% increase in service, outsourcing, and rentals revenue to $8,485 million reflected the full year inclusion of GIS and growth in document management services.</w:t>
      </w:r>
    </w:p>
    <w:p>
      <w:pPr>
        <w:spacing w:after="0" w:line="1" w:lineRule="exact"/>
        <w:rPr>
          <w:rFonts w:ascii="Arial" w:cs="Arial" w:eastAsia="Arial" w:hAnsi="Arial"/>
          <w:sz w:val="18"/>
          <w:szCs w:val="18"/>
          <w:color w:val="auto"/>
        </w:rPr>
      </w:pPr>
    </w:p>
    <w:p>
      <w:pPr>
        <w:ind w:left="900" w:right="360" w:hanging="446"/>
        <w:spacing w:after="0" w:line="23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Supplies, paper, and other sales of $3,646 million grew 6% year-over-year due to the full year inclusion of GIS, as well as growth in color supplies and paper sales.</w:t>
      </w:r>
    </w:p>
    <w:p>
      <w:pPr>
        <w:spacing w:after="0" w:line="1" w:lineRule="exact"/>
        <w:rPr>
          <w:rFonts w:ascii="Arial" w:cs="Arial" w:eastAsia="Arial" w:hAnsi="Arial"/>
          <w:sz w:val="18"/>
          <w:szCs w:val="18"/>
          <w:color w:val="auto"/>
        </w:rPr>
      </w:pPr>
    </w:p>
    <w:p>
      <w:pPr>
        <w:ind w:left="460" w:right="60" w:hanging="452"/>
        <w:spacing w:after="0" w:line="21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 decrease in equipment sales revenue. There was no impact from currency on equipment sales revenue. When including GIS in our 2007 results,</w:t>
      </w:r>
      <w:r>
        <w:rPr>
          <w:rFonts w:ascii="Arial" w:cs="Arial" w:eastAsia="Arial" w:hAnsi="Arial"/>
          <w:sz w:val="22"/>
          <w:szCs w:val="22"/>
          <w:color w:val="auto"/>
          <w:vertAlign w:val="superscript"/>
        </w:rPr>
        <w:t>(5)</w:t>
      </w:r>
      <w:r>
        <w:rPr>
          <w:rFonts w:ascii="Arial" w:cs="Arial" w:eastAsia="Arial" w:hAnsi="Arial"/>
          <w:sz w:val="18"/>
          <w:szCs w:val="18"/>
          <w:color w:val="auto"/>
        </w:rPr>
        <w:t xml:space="preserve"> equipment sales revenue decreased 5%, with a 1-percentage point benefit from currency. Overall price declines of between 5% - 10%, as well as product mix, more than offset overall growth in install activity.</w:t>
      </w:r>
    </w:p>
    <w:p>
      <w:pPr>
        <w:spacing w:after="0" w:line="1" w:lineRule="exact"/>
        <w:rPr>
          <w:rFonts w:ascii="Arial" w:cs="Arial" w:eastAsia="Arial" w:hAnsi="Arial"/>
          <w:sz w:val="18"/>
          <w:szCs w:val="18"/>
          <w:color w:val="auto"/>
        </w:rPr>
      </w:pPr>
    </w:p>
    <w:p>
      <w:pPr>
        <w:ind w:left="460" w:right="100" w:hanging="452"/>
        <w:spacing w:after="0" w:line="211"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 growth in color revenue.</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Color revenue of $6,669 million in 2008 represented 41% of total revenue, excluding GIS</w:t>
      </w:r>
      <w:r>
        <w:rPr>
          <w:rFonts w:ascii="Arial" w:cs="Arial" w:eastAsia="Arial" w:hAnsi="Arial"/>
          <w:sz w:val="22"/>
          <w:szCs w:val="22"/>
          <w:color w:val="auto"/>
          <w:vertAlign w:val="superscript"/>
        </w:rPr>
        <w:t>(3)</w:t>
      </w:r>
      <w:r>
        <w:rPr>
          <w:rFonts w:ascii="Arial" w:cs="Arial" w:eastAsia="Arial" w:hAnsi="Arial"/>
          <w:sz w:val="18"/>
          <w:szCs w:val="18"/>
          <w:color w:val="auto"/>
        </w:rPr>
        <w:t>, compared to 39% in 2007 reflecting:</w:t>
      </w:r>
    </w:p>
    <w:p>
      <w:pPr>
        <w:ind w:left="900" w:right="320" w:hanging="446"/>
        <w:spacing w:after="0" w:line="270"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10% growth in color post sale revenue to $4,590 million. Color post sale revenue represented 37% and 35% of post sale revenue in 2008 and 2007, respectively. </w:t>
      </w:r>
      <w:r>
        <w:rPr>
          <w:rFonts w:ascii="Arial" w:cs="Arial" w:eastAsia="Arial" w:hAnsi="Arial"/>
          <w:sz w:val="22"/>
          <w:szCs w:val="22"/>
          <w:color w:val="auto"/>
          <w:vertAlign w:val="superscript"/>
        </w:rPr>
        <w:t>(3)</w:t>
      </w:r>
    </w:p>
    <w:p>
      <w:pPr>
        <w:spacing w:after="0" w:line="3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4</w:t>
      </w:r>
    </w:p>
    <w:p>
      <w:pPr>
        <w:sectPr>
          <w:pgSz w:w="11900" w:h="16838" w:orient="portrait"/>
          <w:cols w:equalWidth="0" w:num="1">
            <w:col w:w="11420"/>
          </w:cols>
          <w:pgMar w:left="240" w:top="269" w:right="239" w:bottom="1440" w:gutter="0" w:footer="0" w:header="0"/>
        </w:sectPr>
      </w:pPr>
    </w:p>
    <w:bookmarkStart w:id="87" w:name="page88"/>
    <w:bookmarkEnd w:id="87"/>
    <w:p>
      <w:pPr>
        <w:ind w:left="900" w:hanging="446"/>
        <w:spacing w:after="0" w:line="211"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Color equipment sales revenue declined 4% to $2,079 million. Color equipment sales represented 50% of total equipment sales in 2008 and 2007,</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respectively.</w:t>
      </w: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24%</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growth in color pages. Color pages </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represented 18% and 12% of total pages in 2008 and 2007, respectively.</w:t>
      </w:r>
    </w:p>
    <w:p>
      <w:pPr>
        <w:spacing w:after="0" w:line="94" w:lineRule="exact"/>
        <w:rPr>
          <w:rFonts w:ascii="Arial" w:cs="Arial" w:eastAsia="Arial" w:hAnsi="Arial"/>
          <w:sz w:val="18"/>
          <w:szCs w:val="18"/>
          <w:color w:val="auto"/>
        </w:rPr>
      </w:pPr>
    </w:p>
    <w:p>
      <w:pPr>
        <w:ind w:left="580" w:right="200" w:hanging="572"/>
        <w:spacing w:after="0" w:line="182" w:lineRule="auto"/>
        <w:tabs>
          <w:tab w:leader="none" w:pos="580" w:val="left"/>
        </w:tabs>
        <w:numPr>
          <w:ilvl w:val="0"/>
          <w:numId w:val="61"/>
        </w:numPr>
        <w:rPr>
          <w:rFonts w:ascii="Arial" w:cs="Arial" w:eastAsia="Arial" w:hAnsi="Arial"/>
          <w:sz w:val="21"/>
          <w:szCs w:val="21"/>
          <w:color w:val="auto"/>
          <w:vertAlign w:val="superscript"/>
        </w:rPr>
      </w:pPr>
      <w:r>
        <w:rPr>
          <w:rFonts w:ascii="Arial" w:cs="Arial" w:eastAsia="Arial" w:hAnsi="Arial"/>
          <w:sz w:val="13"/>
          <w:szCs w:val="13"/>
          <w:color w:val="auto"/>
        </w:rPr>
        <w:t>Post sale revenue is largely a function of the equipment placed at customer locations, the volume of prints and copies that our customers make on that equipment, the mix of color pages and associated services.</w:t>
      </w:r>
    </w:p>
    <w:p>
      <w:pPr>
        <w:ind w:left="580" w:hanging="572"/>
        <w:spacing w:after="0" w:line="182" w:lineRule="auto"/>
        <w:tabs>
          <w:tab w:leader="none" w:pos="580"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Color revenues represent a subset of total revenue and excludes the impact of GIS’s revenues.</w:t>
      </w:r>
    </w:p>
    <w:p>
      <w:pPr>
        <w:ind w:left="580" w:right="120" w:hanging="572"/>
        <w:spacing w:after="0" w:line="186" w:lineRule="auto"/>
        <w:tabs>
          <w:tab w:leader="none" w:pos="58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As of December 31, 2009 and 2008, total color, color post sale and color equipment sales revenues comprised 39%, 37% and 46%; and 38%, 36% and 44%, respectively, if calculated on total, total post sale, and total equipment sales revenues, including GIS. GIS is excluded from the color information presented because the breakout of the information required to make this computation for all periods is not available.</w:t>
      </w:r>
    </w:p>
    <w:p>
      <w:pPr>
        <w:ind w:left="580" w:hanging="572"/>
        <w:spacing w:after="0" w:line="182" w:lineRule="auto"/>
        <w:tabs>
          <w:tab w:leader="none" w:pos="580"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Pages include estimates for developing markets, GIS and printers.</w:t>
      </w:r>
    </w:p>
    <w:p>
      <w:pPr>
        <w:ind w:left="580" w:right="340" w:hanging="572"/>
        <w:spacing w:after="0" w:line="180" w:lineRule="auto"/>
        <w:tabs>
          <w:tab w:leader="none" w:pos="58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The percentage point impacts from GIS reflect the revenue growth year-over-year after including GIS’s results for 2007 on a proforma basis. We acquired GIS in May 2007. See “Non-GAAP Financial Measures” section for an explanation of this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-882015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Net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Net income and diluted earnings per share for the three years ended December 31, 2009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40" w:type="dxa"/>
            <w:vAlign w:val="bottom"/>
            <w:gridSpan w:val="2"/>
          </w:tcPr>
          <w:p>
            <w:pPr>
              <w:spacing w:after="0"/>
              <w:rPr>
                <w:sz w:val="20"/>
                <w:szCs w:val="20"/>
                <w:color w:val="auto"/>
              </w:rPr>
            </w:pPr>
            <w:r>
              <w:rPr>
                <w:rFonts w:ascii="Arial" w:cs="Arial" w:eastAsia="Arial" w:hAnsi="Arial"/>
                <w:sz w:val="14"/>
                <w:szCs w:val="14"/>
                <w:color w:val="auto"/>
              </w:rPr>
              <w:t>(in millions, except per share amounts)</w:t>
            </w:r>
          </w:p>
        </w:tc>
        <w:tc>
          <w:tcPr>
            <w:tcW w:w="240" w:type="dxa"/>
            <w:vAlign w:val="bottom"/>
          </w:tcPr>
          <w:p>
            <w:pPr>
              <w:spacing w:after="0"/>
              <w:rPr>
                <w:sz w:val="14"/>
                <w:szCs w:val="14"/>
                <w:color w:val="auto"/>
              </w:rPr>
            </w:pPr>
          </w:p>
        </w:tc>
        <w:tc>
          <w:tcPr>
            <w:tcW w:w="660" w:type="dxa"/>
            <w:vAlign w:val="bottom"/>
          </w:tcPr>
          <w:p>
            <w:pPr>
              <w:jc w:val="right"/>
              <w:ind w:right="219"/>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219"/>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2007</w:t>
            </w:r>
          </w:p>
        </w:tc>
      </w:tr>
      <w:tr>
        <w:trPr>
          <w:trHeight w:val="20"/>
        </w:trPr>
        <w:tc>
          <w:tcPr>
            <w:tcW w:w="22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96"/>
        </w:trPr>
        <w:tc>
          <w:tcPr>
            <w:tcW w:w="7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Xerox</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rPr>
              <w:t>485</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rPr>
              <w:t>230</w:t>
            </w:r>
          </w:p>
        </w:tc>
        <w:tc>
          <w:tcPr>
            <w:tcW w:w="7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rPr>
              <w:t>1,135</w:t>
            </w:r>
          </w:p>
        </w:tc>
      </w:tr>
      <w:tr>
        <w:trPr>
          <w:trHeight w:val="214"/>
        </w:trPr>
        <w:tc>
          <w:tcPr>
            <w:tcW w:w="77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9"/>
              <w:spacing w:after="0"/>
              <w:rPr>
                <w:sz w:val="20"/>
                <w:szCs w:val="20"/>
                <w:color w:val="auto"/>
              </w:rPr>
            </w:pPr>
            <w:r>
              <w:rPr>
                <w:rFonts w:ascii="Arial" w:cs="Arial" w:eastAsia="Arial" w:hAnsi="Arial"/>
                <w:sz w:val="18"/>
                <w:szCs w:val="18"/>
                <w:color w:val="auto"/>
              </w:rPr>
              <w:t>0.55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9"/>
              <w:spacing w:after="0"/>
              <w:rPr>
                <w:sz w:val="20"/>
                <w:szCs w:val="20"/>
                <w:color w:val="auto"/>
              </w:rPr>
            </w:pPr>
            <w:r>
              <w:rPr>
                <w:rFonts w:ascii="Arial" w:cs="Arial" w:eastAsia="Arial" w:hAnsi="Arial"/>
                <w:sz w:val="18"/>
                <w:szCs w:val="18"/>
                <w:color w:val="auto"/>
              </w:rPr>
              <w:t>0.26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9"/>
              <w:spacing w:after="0"/>
              <w:rPr>
                <w:sz w:val="20"/>
                <w:szCs w:val="20"/>
                <w:color w:val="auto"/>
              </w:rPr>
            </w:pPr>
            <w:r>
              <w:rPr>
                <w:rFonts w:ascii="Arial" w:cs="Arial" w:eastAsia="Arial" w:hAnsi="Arial"/>
                <w:sz w:val="18"/>
                <w:szCs w:val="18"/>
                <w:color w:val="auto"/>
              </w:rPr>
              <w:t>1.19</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Net Income 2009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Xerox of $485 million, or $0.55 per diluted share, included the following:</w:t>
      </w:r>
    </w:p>
    <w:p>
      <w:pPr>
        <w:ind w:left="460" w:hanging="452"/>
        <w:spacing w:after="0" w:line="23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$49 million after-tax ($72 million pre-tax) charge, or $0.06 per diluted share, related to costs associated with the acquisition of ACS.</w:t>
      </w: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charge of $46 million or $0.05 per diluted share, for our share of Fuji Xerox’s after-tax restructuring charge.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2008</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Net income of $230 million, or $0.26 per diluted share, included the following:</w:t>
      </w:r>
    </w:p>
    <w:p>
      <w:pPr>
        <w:ind w:left="460" w:right="200" w:hanging="452"/>
        <w:spacing w:after="0" w:line="234"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$491 million after-tax charges ($774 million pre-tax) associated with securities-related litigation matters, as well as other probable litigation-related losses, including $36 million for the Brazilian labor-related contingencies.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$292 million after-tax charge ($426 million pre-tax) for the second, third and fourth quarter 2008 restructuring and asset impairment actions.</w:t>
      </w:r>
    </w:p>
    <w:p>
      <w:pPr>
        <w:spacing w:after="0" w:line="18" w:lineRule="exact"/>
        <w:rPr>
          <w:rFonts w:ascii="Arial" w:cs="Arial" w:eastAsia="Arial" w:hAnsi="Arial"/>
          <w:sz w:val="16"/>
          <w:szCs w:val="16"/>
          <w:color w:val="auto"/>
        </w:rPr>
      </w:pPr>
    </w:p>
    <w:p>
      <w:pPr>
        <w:ind w:left="460" w:hanging="452"/>
        <w:spacing w:after="0" w:line="234"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$24 million after-tax charge ($39 million pre-tax) for an Office product line equipment write-off.</w:t>
      </w: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$41 million income tax benefit from the settlement of certain previously unrecognized tax benefits.</w:t>
      </w:r>
    </w:p>
    <w:p>
      <w:pPr>
        <w:spacing w:after="0" w:line="121"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Application of Critical Accounting Policies</w:t>
      </w:r>
    </w:p>
    <w:p>
      <w:pPr>
        <w:spacing w:after="0" w:line="20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preparing our Consolidated Financial Statements and accounting for the underlying transactions and balances, we apply various accounting policies. Senior management has discussed the development and selection of the critical accounting policies, estimates and related disclosures included herein with the Audit Committee of the Board of Directors. We consider the policies discussed below as critical to understanding our Consolidated Financial Statements, as their application places the most significant demands on management’s judgment, since financial reporting results rely on estimates of the effects of matters that are inherently uncertain. In instances where different estimates could have reasonably been used, we disclosed the impact of these different estimates on our operations. In certain instances, like revenue recognition for leases, the accounting rules are prescriptive; therefore, it would not have been possible to reasonably use different estimates. Changes in assumptions and estimates are reflected in the period in which they occur. The impact of such changes could be material to our results of operations and financial condition in any quarterly or annual period.</w:t>
      </w:r>
    </w:p>
    <w:p>
      <w:pPr>
        <w:spacing w:after="0" w:line="14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5</w:t>
      </w:r>
    </w:p>
    <w:p>
      <w:pPr>
        <w:sectPr>
          <w:pgSz w:w="11900" w:h="16838" w:orient="portrait"/>
          <w:cols w:equalWidth="0" w:num="1">
            <w:col w:w="11420"/>
          </w:cols>
          <w:pgMar w:left="240" w:top="291" w:right="239" w:bottom="1440" w:gutter="0" w:footer="0" w:header="0"/>
        </w:sectPr>
      </w:pPr>
    </w:p>
    <w:bookmarkStart w:id="88" w:name="page89"/>
    <w:bookmarkEnd w:id="88"/>
    <w:p>
      <w:pPr>
        <w:ind w:right="2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risks associated with these critical accounting policies are discussed throughout the MD&amp;A, where such policies affect our reported and expected financial results. For a detailed discussion of the application of these and other accounting policies, refer to Note 1 - Summary of Significant Accounting Policies, in the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Revenue Recognition for Leases</w:t>
      </w:r>
    </w:p>
    <w:p>
      <w:pPr>
        <w:spacing w:after="0" w:line="18"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Our accounting for leases involves specific determinations under applicable lease accounting standards, which often involve complex and prescriptive provisions. These provisions affect the timing of revenue recognition for our equipment. If a lease qualifies as a sales-type capital lease, equipment revenue is recognized upon delivery or installation of the equipment as sale revenue as opposed to ratably over the lease term. The critical elements that we consider with respect to our lease accounting are the determination of the economic life and the fair value of equipment, including the residual value. For purposes of determining the economic life, we consider the most objective measure to be the original contract term, since most equipment is returned by lessees at or near the end of the contracted term. The economic life of most of our products is five years since this represents the most frequent contractual lease term for our principal products and only a small percentage of our leases are for original terms longer than five years. There is no significant after-market for our used equipment. We believe five years is representative of the period during which the equipment is expected to be economically usable, with normal service, for the purpose for which it is intended.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Revenue Recognition Under Bundled Arrangements</w:t>
      </w:r>
    </w:p>
    <w:p>
      <w:pPr>
        <w:spacing w:after="0" w:line="18"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We sell the majority of our products and services under bundled lease arrangements, which typically include equipment, service, supplies and financing components for which the customer pays a single negotiated monthly fixed price for all elements over the contractual lease term. Typically these arrangements include an incremental, variable component for page volumes in excess of contractual page volume minimums, which are often expressed in terms of price per page. Revenues under these arrangements are allocated, considering the relative fair values of the lease and non-lease deliverables included in the bundled arrangement, based upon the estimated relative fair values of each element. Lease deliverables include maintenance and executory costs, equipment and financing, while non-lease deliverables generally consist of supplies and non-maintenance services. Our revenue allocation for lease deliverables begins by allocating revenues to the maintenance and executory costs plus profit thereon. The remaining amounts are allocated to the equipment and financing elements. We perform analyses of available verifiable objective evidence of equipment fair value based on cash selling prices during the applicable period. The cash selling prices are compared to the range of values included in our lease accounting systems. The range of cash selling prices must be reasonably consistent with the lease selling prices, taking into account residual values, in order for us to determine that such lease prices are indicative of fair value.</w:t>
      </w:r>
    </w:p>
    <w:p>
      <w:pPr>
        <w:spacing w:after="0" w:line="33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pricing interest rates, which are used in determining customer payments, are developed based upon a variety of factors including local prevailing rates in the marketplace and the customer’s credit history, industry and credit class. We reassess our pricing interest rates quarterly based on changes in the local prevailing rates in the marketplace. These interest rates have been generally adjusted if the rates vary by twenty-five basis points or more, cumulatively, from the last rate in effect. The pricing interest rates generally equal the implicit rates within the leases, as corroborated by our comparisons of cash to lease selling prices.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Allowance for Doubtful Accounts and Credit Losses</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perform ongoing credit evaluations of our customers and adjust credit limits based upon customer payment history and current creditworthiness. We continuously monitor collections and payments from our customers and maintain a provision for estimated credit losses based upon our historical experience and any specific customer collection issues that have been identified. We cannot guarantee that we will continue to experience credit loss rates similar to those we have experienced in the past. Measurement of such losses requires consideration of historical loss experience, including the need to adjust for current conditions, and judgments about the probable effects of relevant observable data, including present economic conditions such as delinquency rates and financial health of specific customers. We recorded bad debt provisions of $291 million, $188 million and $134 million in SAG expenses in our Consolidated Statements of Income for the years ended December 31, 2009, 2008 and 2007, respectively.</w:t>
      </w:r>
    </w:p>
    <w:p>
      <w:pPr>
        <w:spacing w:after="0" w:line="14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6</w:t>
      </w:r>
    </w:p>
    <w:p>
      <w:pPr>
        <w:sectPr>
          <w:pgSz w:w="11900" w:h="16838" w:orient="portrait"/>
          <w:cols w:equalWidth="0" w:num="1">
            <w:col w:w="11420"/>
          </w:cols>
          <w:pgMar w:left="240" w:top="291" w:right="239" w:bottom="1440" w:gutter="0" w:footer="0" w:header="0"/>
        </w:sectPr>
      </w:pPr>
    </w:p>
    <w:bookmarkStart w:id="89" w:name="page90"/>
    <w:bookmarkEnd w:id="89"/>
    <w:p>
      <w:pPr>
        <w:ind w:right="1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Historically, the majority of the bad debt provision relates to our finance receivables portfolio. This provision is inherently more difficult to estimate than the provision for trade accounts receivable because the underlying lease portfolio has an average maturity, at any time, of approximately two to three years and contains past due billed amounts, as well as unbilled amounts. The estimated credit quality of any given customer and class of customer or geographic location can significantly change during the life of the portfolio. We consider all available information in our quarterly assessments of the adequacy of the provision for doubtful accounts.</w:t>
      </w:r>
    </w:p>
    <w:p>
      <w:pPr>
        <w:spacing w:after="0" w:line="15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current economic environment has increased the risk of non-collection of receivables. We have accordingly considered this increased risk in the evaluation and assessment of our allowance for doubtful accounts at year-end. Bad debt provisions increased by $103 million in 2009 and reserves as a percentage of trade and finance receivables increased to 4.1% at December 31, 2009 as compared to 3.4% at December 31, 2008. However, collection risk is somewhat mitigated by the fact that our receivables are fairly well dispersed among a diverse customer base both in size and geography. Days sales outstanding improved slightly year-over-year. In addition, accounts receivable balances greater than 90 days outstanding were about 12% of total gross accounts receivables at December 31, 2009, which was relatively flat as compared to the prior year. However, we continue to assess our receivable portfolio in light of the current economic environment and its impact on our estimation of the adequacy of the allowance for doubtful accounts.</w:t>
      </w:r>
    </w:p>
    <w:p>
      <w:pPr>
        <w:spacing w:after="0" w:line="154"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As discussed above, in preparing our Consolidated Financial Statements for the three year period ended December 31, 2009, we estimated our provision for doubtful accounts based on historical experience and customer-specific collection issues. This methodology has been consistently applied for all periods presented. During the five year period ended December 31, 2009, our reserve for doubtful accounts ranged from 3.0% to 4.1% of gross receivables. Holding all other assumptions constant, a 1-percentage point increase or decrease in the reserve from the December 31, 2009 rate of 4.1% would change the 2009 provision by approximately $91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Pension and Post-retirement Benefit Plan Assumptions</w:t>
      </w:r>
    </w:p>
    <w:p>
      <w:pPr>
        <w:spacing w:after="0" w:line="1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sponsor defined benefit pension plans in various forms in several countries covering substantially all employees who meet eligibility requirements. Post-retirement benefit plans cover primarily U.S. employees for retirement medical costs. Several statistical and other factors that attempt to anticipate future events are used in calculating the expense, liability and asset values related to our pension and post-retirement benefit plans. These factors include assumptions we make about the discount rate, expected return on plan assets, rate of increase in healthcare costs, the rate of future compensation increases and mortality. Differences between these assumptions and actual experiences are reported as net actuarial gains and losses and are subject to amortization to net periodic pension cost generally over the average remaining service lives of the employees participating in the pension plan.</w:t>
      </w:r>
    </w:p>
    <w:p>
      <w:pPr>
        <w:spacing w:after="0" w:line="15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Cumulative actuarial losses for our pension plans of $1.8 billion as of December 31, 2009 were flat as compared to December 31, 2008. Positive returns on plan assets in 2009 as compared to expected returns offset a decrease in discount rates. The total actuarial loss will be amortized in the future, subject to offsetting gains or losses that will change the future amortization amount.</w:t>
      </w:r>
    </w:p>
    <w:p>
      <w:pPr>
        <w:spacing w:after="0" w:line="15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We have utilized a weighted average expected rate of return on plan assets of 7.4% for 2009 and 7.6% for both 2008 and 2007, on a worldwide basis.</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During 2009, the actual return on plan assets was $720 million, primarily as a result of an improvement in the equity markets. In estimating the 2010 expected rate of return, in addition to assessing recent performance, we considered the historical returns earned on plan assets, the rates of return expected in the future and our investment strategy and asset mix with respect to the plans’ funds. The weighted average expected rate of return on plan assets we will utilize for 2010 will be 7.3% as compared to 7.4% in 2009 and 7.6% in 2008.</w:t>
      </w:r>
    </w:p>
    <w:p>
      <w:pPr>
        <w:spacing w:after="0" w:line="14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7</w:t>
      </w:r>
    </w:p>
    <w:p>
      <w:pPr>
        <w:sectPr>
          <w:pgSz w:w="11900" w:h="16838" w:orient="portrait"/>
          <w:cols w:equalWidth="0" w:num="1">
            <w:col w:w="11420"/>
          </w:cols>
          <w:pgMar w:left="240" w:top="291" w:right="239" w:bottom="1440" w:gutter="0" w:footer="0" w:header="0"/>
        </w:sectPr>
      </w:pPr>
    </w:p>
    <w:bookmarkStart w:id="90" w:name="page91"/>
    <w:bookmarkEnd w:id="90"/>
    <w:p>
      <w:pPr>
        <w:ind w:right="80"/>
        <w:spacing w:after="0" w:line="27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determining the expected return on plan assets, we utilize a calculated value approach in determining the value of the pension plan assets, as opposed to a fair market value approach. The primary difference between the two methods relates to a systematic recognition of changes in fair value over time (generally two years) versus immediate recognition of changes in fair value. Our expected rate of return on plan assets is then applied to the calculated asset value to determine the amount of the expected return on plan assets to be used in the determination of the net periodic pension cost. The calculated value approach reduces the volatility in net periodic pension cost that can result from using the fair market value approach. The difference between the actual return on plan assets and the expected return on plan assets is added to, or subtracted from, any cumulative differences that arose in prior years. This amount is a component of the net actuarial gain or loss.</w:t>
      </w:r>
    </w:p>
    <w:p>
      <w:pPr>
        <w:spacing w:after="0" w:line="13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Another significant assumption affecting our pension and post-retirement benefit obligations and the net periodic pension and other post-retirement benefit cost is the rate that we use to discount our future anticipated benefit obligations. The discount rate reflects the current rate at which the pension liabilities could be effectively settled considering the timing of expected payments for plan participants. In estimating this rate, we consider rates of return on high quality fixed-income investments included in various published bond indices, adjusted to eliminate the effects of call provisions and differences in the timing and amounts of cash outflows related to the bonds. In the U.S. and the U.K., which comprise approximately 80% of our projected benefit obligations, we consider the Moody’s Aa Corporate Bond Index and the International Index Company’s iBoxx Sterling Corporate AA Cash Bond Index, respectively, in the determination of the appropriate discount rate assumptions. The weighted average discount rate we utilized to measure our pension obligation as of December 31, 2009 and to calculate our 2010 expense was 5.7%, which is a decrease of 0.6% from 6.3% used in determining our 2009 expense.</w:t>
      </w:r>
    </w:p>
    <w:p>
      <w:pPr>
        <w:spacing w:after="0" w:line="161"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Assuming settlement losses in 2010 are consistent with 2009, our 2010 net periodic defined benefit pension cost is expected to be approximately $70 million higher than 2009, primarily as a result of a decrease in the discount rate and increased amortization of actuarial losses, which includes the impact of the significant asset losses in 2008.</w:t>
      </w:r>
    </w:p>
    <w:p>
      <w:pPr>
        <w:spacing w:after="0" w:line="15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a consolidated basis, we recognized net periodic pension cost of $270 million, $254 million and $315 million for the years ended December 31, 2009, 2008 and 2007, respectively. The costs associated with our defined contribution plans, which are included in net periodic pension cost, were $38 million, $80 million and $80 million for the years ended December 31, 2009, 2008 and 2007, respectively. The decrease in 2009 was primarily due to the April 2009 suspension of the 401(k) match in the U.S. Pension cost is included in several income statement components based on the related underlying employee costs. Pension and post-retirement benefit plan assumptions are included in Note 14 - Employee Benefit Plans in the Consolidated Financial Statements. Holding all other assumptions constant, a 0.25% increase or decrease in the discount rate would change the 2010 projected net periodic pension cost by $12 million. Likewise, a 0.25% increase or decrease in the expected return on plan assets would change the 2010 projected net periodic pension cost by $11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Income Taxes and Tax Valuation Allowances</w:t>
      </w:r>
    </w:p>
    <w:p>
      <w:pPr>
        <w:spacing w:after="0" w:line="1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record the estimated future tax effects of temporary differences between the tax bases of assets and liabilities and amounts reported in our Consolidated Balance Sheets, as well as operating loss and tax credit carryforwards. We follow very specific and detailed guidelines in each tax jurisdiction regarding the recoverability of any tax assets recorded in our Consolidated Balance Sheets and provide valuation allowances as required. We regularly review our deferred tax assets for recoverability considering historical profitability, projected future taxable income, the expected timing of the reversals of existing temporary differences and tax planning strategies. If we continue to operate at a loss in certain jurisdictions or are unable to generate sufficient future taxable income, or if there is a material change in the actual effective tax rates or time period within which the underlying temporary differences become taxable or deductible, we could be required to increase the valuation allowance against all or a significant portion of our deferred tax assets resulting in a substantial increase in our effective tax rate and a material adverse impact on our operating results. Conversely, if and when our operations in some jurisdictions were to become sufficiently profitable to recover previously reserved deferred tax assets, we would reduce all or a portion of the applicable valuation allowance in the period when such determination is made. This would result in an increase to reported earnings in such period. Adjustments to our valuation allowance, through (credits) charges to income tax expense, were $(11) million, $17 million and $14 million for the years ended December 31, 2009, 2008 and 2007, respectively. There were other (decreases) increases to our valuation allowance, including the effects of currency, of $55 million, $(136) million and $86 million for the years ended December 31, 2009, 2008 and 2007, respectively, that did not affect income tax expense in total as there was a corresponding adjustment to deferred tax assets or other comprehensive income. Gross deferred tax assets of $3.7 billion and $3.8 billion had valuation allowances of $672 million and $628 million at December 31, 2009 and 2008, respectively.</w:t>
      </w:r>
    </w:p>
    <w:p>
      <w:pPr>
        <w:spacing w:after="0" w:line="14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8</w:t>
      </w:r>
    </w:p>
    <w:p>
      <w:pPr>
        <w:sectPr>
          <w:pgSz w:w="11900" w:h="16838" w:orient="portrait"/>
          <w:cols w:equalWidth="0" w:num="1">
            <w:col w:w="11420"/>
          </w:cols>
          <w:pgMar w:left="240" w:top="291" w:right="239" w:bottom="1440" w:gutter="0" w:footer="0" w:header="0"/>
        </w:sectPr>
      </w:pPr>
    </w:p>
    <w:bookmarkStart w:id="91" w:name="page92"/>
    <w:bookmarkEnd w:id="91"/>
    <w:p>
      <w:pPr>
        <w:ind w:right="32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are subject to ongoing tax examinations and assessments in various jurisdictions. Accordingly, we may incur additional tax expense based upon our assessment of the more-likely-than-not outcomes of such matters. In addition, when applicable, we adjust the previously recorded tax expense to reflect examination results. Our ongoing assessments of the more-likely-than-not outcomes of the examinations and related tax positions require judgment and can materially increase or decrease our effective tax rate, as well as impact our operating results.</w:t>
      </w:r>
    </w:p>
    <w:p>
      <w:pPr>
        <w:spacing w:after="0" w:line="129"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We file income tax returns in the U.S. Federal jurisdiction and various foreign jurisdictions. In the U.S. we are no longer subject to U.S. Federal income tax examinations by tax authorities for years before 2007. With respect to our major foreign jurisdictions, we are no longer subject to tax examinations by tax authorities for years before 2000.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Legal Contingencies</w:t>
      </w:r>
    </w:p>
    <w:p>
      <w:pPr>
        <w:spacing w:after="0" w:line="1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are involved in a variety of claims, lawsuits, investigations and proceedings concerning securities law, intellectual property law, environmental law, employment law and ERISA, as discussed in Note 16 - Contingencies in the Consolidated Financial Statements.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Business Combinations and Goodwill</w:t>
      </w:r>
    </w:p>
    <w:p>
      <w:pPr>
        <w:spacing w:after="0" w:line="1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application of the purchase method of accounting for business combinations requires the use of significant estimates and assumptions in the determination of the fair value of assets acquired and liabilities assumed in order to properly allocate purchase price consideration between assets that are depreciated and amortized from goodwill. Our estimates of the fair values of assets and liabilities acquired are based upon assumptions believed to be reasonable, and when appropriate, include assistance from independent third-party appraisal firms.</w:t>
      </w:r>
    </w:p>
    <w:p>
      <w:pPr>
        <w:spacing w:after="0" w:line="15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a result of our acquisition of GIS, as well as other prior year acquisitions, we have a significant amount of goodwill. Goodwill is tested for impairment annually or more frequently if an event or circumstance indicates that an impairment loss may have been incurred. Application of the goodwill impairment test requires judgment, including the identification of reporting units, assignment of assets and liabilities to reporting units, assignment of goodwill to reporting units and determination of the fair value of each reporting unit. We estimate the fair value of each reporting unit using a discounted cash flow methodology. This requires us to use significant judgment including estimation of future cash flows, which is dependent on internal forecasts, estimation of the long-term rate of growth for our business, the useful life over which cash flows will occur, determination of our weighted average cost of capital for purposes of establishing a discount rate and relevant market data.</w:t>
      </w:r>
    </w:p>
    <w:p>
      <w:pPr>
        <w:spacing w:after="0" w:line="15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annual impairment test of goodwill was performed in the fourth quarter. The estimated fair values of our reporting units were based on discounted cash flow models derived from internal earnings forecasts and assumptions. The assumptions and estimates used in those valuations incorporated the current economic environment. In performing our 2009 impairment test, the following were the overall composite assumptions regarding revenue and expense growth, which were the basis for estimating future cash flows used in the discounted cash flow model: 1) revenue growth 2-4%; 2) gross margin 39-40%; 3) RD&amp;E 4-5%; 4) SAG 24-25%; and 5) return on sales 8-9%. We believe these estimated assumptions are appropriate for our circumstances, in-line with historical results, consistent with our forecasted long-term business model and give consideration to the current economic environment. Our forecast does not include the impact of the ACS acquisition completed in February 2010 since our impairment test was limited to goodwill as of the fourth quarter 2009.</w:t>
      </w:r>
    </w:p>
    <w:p>
      <w:pPr>
        <w:spacing w:after="0" w:line="14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9</w:t>
      </w:r>
    </w:p>
    <w:p>
      <w:pPr>
        <w:sectPr>
          <w:pgSz w:w="11900" w:h="16838" w:orient="portrait"/>
          <w:cols w:equalWidth="0" w:num="1">
            <w:col w:w="11420"/>
          </w:cols>
          <w:pgMar w:left="240" w:top="291" w:right="239" w:bottom="1440" w:gutter="0" w:footer="0" w:header="0"/>
        </w:sectPr>
      </w:pPr>
    </w:p>
    <w:bookmarkStart w:id="92" w:name="page93"/>
    <w:bookmarkEnd w:id="92"/>
    <w:p>
      <w:pPr>
        <w:ind w:right="3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these valuations, we determined that the fair values of our reporting units exceeded their carrying values and no goodwill impairment charge was required during the fourth quarter 2009.</w:t>
      </w:r>
    </w:p>
    <w:p>
      <w:pPr>
        <w:spacing w:after="0" w:line="155"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Refer to Note 1 – Summary of Significant Accounting Policies – “Goodwill and Intangible Assets” for further information regarding our goodwill impairment testing, as well as Note 8 - Goodwill and Intangible Assets, Net in the Consolidated Financial Statements for further information regarding goodwill by operating segment.</w:t>
      </w:r>
    </w:p>
    <w:p>
      <w:pPr>
        <w:spacing w:after="0" w:line="117"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Operations Review of Segment Revenue and Operating Profit</w:t>
      </w:r>
    </w:p>
    <w:p>
      <w:pPr>
        <w:spacing w:after="0" w:line="20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Our reportable segments are consistent with how we manage the business and view the markets we serve. Our reportable segments are Production, Office and Other. See Note 2 – Segment Reporting in the Consolidated Financial Statements for further discussion on our segment operating revenues and segment operating profit.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years ended 2009, 2008 and 2007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8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Production</w:t>
            </w:r>
          </w:p>
        </w:tc>
        <w:tc>
          <w:tcPr>
            <w:tcW w:w="220" w:type="dxa"/>
            <w:vAlign w:val="bottom"/>
          </w:tcPr>
          <w:p>
            <w:pPr>
              <w:spacing w:after="0"/>
              <w:rPr>
                <w:sz w:val="12"/>
                <w:szCs w:val="12"/>
                <w:color w:val="auto"/>
              </w:rPr>
            </w:pPr>
          </w:p>
        </w:tc>
        <w:tc>
          <w:tcPr>
            <w:tcW w:w="14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Office</w:t>
            </w:r>
          </w:p>
        </w:tc>
        <w:tc>
          <w:tcPr>
            <w:tcW w:w="300" w:type="dxa"/>
            <w:vAlign w:val="bottom"/>
          </w:tcPr>
          <w:p>
            <w:pPr>
              <w:spacing w:after="0"/>
              <w:rPr>
                <w:sz w:val="12"/>
                <w:szCs w:val="12"/>
                <w:color w:val="auto"/>
              </w:rPr>
            </w:pPr>
          </w:p>
        </w:tc>
        <w:tc>
          <w:tcPr>
            <w:tcW w:w="1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68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2009</w:t>
            </w:r>
          </w:p>
        </w:tc>
        <w:tc>
          <w:tcPr>
            <w:tcW w:w="43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Equipment sales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1,031</w:t>
            </w:r>
          </w:p>
        </w:tc>
        <w:tc>
          <w:tcPr>
            <w:tcW w:w="6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2,363</w:t>
            </w:r>
          </w:p>
        </w:tc>
        <w:tc>
          <w:tcPr>
            <w:tcW w:w="660" w:type="dxa"/>
            <w:vAlign w:val="bottom"/>
          </w:tcPr>
          <w:p>
            <w:pPr>
              <w:spacing w:after="0"/>
              <w:rPr>
                <w:sz w:val="17"/>
                <w:szCs w:val="17"/>
                <w:color w:val="auto"/>
              </w:rPr>
            </w:pPr>
          </w:p>
        </w:tc>
        <w:tc>
          <w:tcPr>
            <w:tcW w:w="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156</w:t>
            </w:r>
          </w:p>
        </w:tc>
        <w:tc>
          <w:tcPr>
            <w:tcW w:w="6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Post sale revenue</w:t>
            </w: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3,514</w:t>
            </w:r>
          </w:p>
        </w:tc>
        <w:tc>
          <w:tcPr>
            <w:tcW w:w="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6,213</w:t>
            </w:r>
          </w:p>
        </w:tc>
        <w:tc>
          <w:tcPr>
            <w:tcW w:w="6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1,902</w:t>
            </w:r>
          </w:p>
        </w:tc>
        <w:tc>
          <w:tcPr>
            <w:tcW w:w="6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11,629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4,545</w:t>
            </w:r>
          </w:p>
        </w:tc>
        <w:tc>
          <w:tcPr>
            <w:tcW w:w="6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8,576</w:t>
            </w:r>
          </w:p>
        </w:tc>
        <w:tc>
          <w:tcPr>
            <w:tcW w:w="660" w:type="dxa"/>
            <w:vAlign w:val="bottom"/>
          </w:tcPr>
          <w:p>
            <w:pPr>
              <w:spacing w:after="0"/>
              <w:rPr>
                <w:sz w:val="18"/>
                <w:szCs w:val="18"/>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2,058</w:t>
            </w:r>
          </w:p>
        </w:tc>
        <w:tc>
          <w:tcPr>
            <w:tcW w:w="66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15,179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Segment Profit (Loss)</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217</w:t>
            </w:r>
          </w:p>
        </w:tc>
        <w:tc>
          <w:tcPr>
            <w:tcW w:w="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b w:val="1"/>
                <w:bCs w:val="1"/>
                <w:color w:val="auto"/>
              </w:rPr>
              <w:t>835</w:t>
            </w:r>
          </w:p>
        </w:tc>
        <w:tc>
          <w:tcPr>
            <w:tcW w:w="6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b w:val="1"/>
                <w:bCs w:val="1"/>
                <w:color w:val="auto"/>
              </w:rPr>
              <w:t>(274)</w:t>
            </w:r>
          </w:p>
        </w:tc>
        <w:tc>
          <w:tcPr>
            <w:tcW w:w="6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b w:val="1"/>
                <w:bCs w:val="1"/>
                <w:color w:val="auto"/>
              </w:rPr>
              <w:t>778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Operating Margin</w:t>
            </w:r>
          </w:p>
        </w:tc>
        <w:tc>
          <w:tcPr>
            <w:tcW w:w="2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gridSpan w:val="2"/>
            <w:vMerge w:val="continue"/>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4.8%</w:t>
            </w:r>
          </w:p>
        </w:tc>
        <w:tc>
          <w:tcPr>
            <w:tcW w:w="6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9.7%</w:t>
            </w:r>
          </w:p>
        </w:tc>
        <w:tc>
          <w:tcPr>
            <w:tcW w:w="6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(13.3)%</w:t>
            </w:r>
          </w:p>
        </w:tc>
        <w:tc>
          <w:tcPr>
            <w:tcW w:w="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2008</w:t>
            </w:r>
          </w:p>
        </w:tc>
        <w:tc>
          <w:tcPr>
            <w:tcW w:w="4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Equipment sales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1,325</w:t>
            </w:r>
          </w:p>
        </w:tc>
        <w:tc>
          <w:tcPr>
            <w:tcW w:w="6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3,105</w:t>
            </w:r>
          </w:p>
        </w:tc>
        <w:tc>
          <w:tcPr>
            <w:tcW w:w="660" w:type="dxa"/>
            <w:vAlign w:val="bottom"/>
          </w:tcPr>
          <w:p>
            <w:pPr>
              <w:spacing w:after="0"/>
              <w:rPr>
                <w:sz w:val="17"/>
                <w:szCs w:val="17"/>
                <w:color w:val="auto"/>
              </w:rPr>
            </w:pPr>
          </w:p>
        </w:tc>
        <w:tc>
          <w:tcPr>
            <w:tcW w:w="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249</w:t>
            </w:r>
          </w:p>
        </w:tc>
        <w:tc>
          <w:tcPr>
            <w:tcW w:w="6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Post sale revenue</w:t>
            </w: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3,912</w:t>
            </w:r>
          </w:p>
        </w:tc>
        <w:tc>
          <w:tcPr>
            <w:tcW w:w="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6,723</w:t>
            </w:r>
          </w:p>
        </w:tc>
        <w:tc>
          <w:tcPr>
            <w:tcW w:w="6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2,294</w:t>
            </w:r>
          </w:p>
        </w:tc>
        <w:tc>
          <w:tcPr>
            <w:tcW w:w="6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12,929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5,237</w:t>
            </w:r>
          </w:p>
        </w:tc>
        <w:tc>
          <w:tcPr>
            <w:tcW w:w="6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9,828</w:t>
            </w:r>
          </w:p>
        </w:tc>
        <w:tc>
          <w:tcPr>
            <w:tcW w:w="660" w:type="dxa"/>
            <w:vAlign w:val="bottom"/>
          </w:tcPr>
          <w:p>
            <w:pPr>
              <w:spacing w:after="0"/>
              <w:rPr>
                <w:sz w:val="18"/>
                <w:szCs w:val="18"/>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2,543</w:t>
            </w:r>
          </w:p>
        </w:tc>
        <w:tc>
          <w:tcPr>
            <w:tcW w:w="66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17,608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Segment Profit (Loss)</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394</w:t>
            </w:r>
          </w:p>
        </w:tc>
        <w:tc>
          <w:tcPr>
            <w:tcW w:w="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b w:val="1"/>
                <w:bCs w:val="1"/>
                <w:color w:val="auto"/>
              </w:rPr>
              <w:t>1,062</w:t>
            </w:r>
          </w:p>
        </w:tc>
        <w:tc>
          <w:tcPr>
            <w:tcW w:w="6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b w:val="1"/>
                <w:bCs w:val="1"/>
                <w:color w:val="auto"/>
              </w:rPr>
              <w:t>(165)</w:t>
            </w:r>
          </w:p>
        </w:tc>
        <w:tc>
          <w:tcPr>
            <w:tcW w:w="6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b w:val="1"/>
                <w:bCs w:val="1"/>
                <w:color w:val="auto"/>
              </w:rPr>
              <w:t>1,291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Operating Margin</w:t>
            </w:r>
          </w:p>
        </w:tc>
        <w:tc>
          <w:tcPr>
            <w:tcW w:w="2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gridSpan w:val="2"/>
            <w:vMerge w:val="continue"/>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7.5%</w:t>
            </w:r>
          </w:p>
        </w:tc>
        <w:tc>
          <w:tcPr>
            <w:tcW w:w="6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10.8%</w:t>
            </w:r>
          </w:p>
        </w:tc>
        <w:tc>
          <w:tcPr>
            <w:tcW w:w="6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(6.5)%</w:t>
            </w:r>
          </w:p>
        </w:tc>
        <w:tc>
          <w:tcPr>
            <w:tcW w:w="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2007</w:t>
            </w:r>
          </w:p>
        </w:tc>
        <w:tc>
          <w:tcPr>
            <w:tcW w:w="4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Equipment sales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1,471</w:t>
            </w:r>
          </w:p>
        </w:tc>
        <w:tc>
          <w:tcPr>
            <w:tcW w:w="6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3,030</w:t>
            </w:r>
          </w:p>
        </w:tc>
        <w:tc>
          <w:tcPr>
            <w:tcW w:w="660" w:type="dxa"/>
            <w:vAlign w:val="bottom"/>
          </w:tcPr>
          <w:p>
            <w:pPr>
              <w:spacing w:after="0"/>
              <w:rPr>
                <w:sz w:val="17"/>
                <w:szCs w:val="17"/>
                <w:color w:val="auto"/>
              </w:rPr>
            </w:pPr>
          </w:p>
        </w:tc>
        <w:tc>
          <w:tcPr>
            <w:tcW w:w="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252</w:t>
            </w:r>
          </w:p>
        </w:tc>
        <w:tc>
          <w:tcPr>
            <w:tcW w:w="6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4,753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Post sale revenue</w:t>
            </w: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3,844</w:t>
            </w:r>
          </w:p>
        </w:tc>
        <w:tc>
          <w:tcPr>
            <w:tcW w:w="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6,443</w:t>
            </w:r>
          </w:p>
        </w:tc>
        <w:tc>
          <w:tcPr>
            <w:tcW w:w="6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2,188</w:t>
            </w:r>
          </w:p>
        </w:tc>
        <w:tc>
          <w:tcPr>
            <w:tcW w:w="6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12,475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5,315</w:t>
            </w:r>
          </w:p>
        </w:tc>
        <w:tc>
          <w:tcPr>
            <w:tcW w:w="6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9,473</w:t>
            </w:r>
          </w:p>
        </w:tc>
        <w:tc>
          <w:tcPr>
            <w:tcW w:w="660" w:type="dxa"/>
            <w:vAlign w:val="bottom"/>
          </w:tcPr>
          <w:p>
            <w:pPr>
              <w:spacing w:after="0"/>
              <w:rPr>
                <w:sz w:val="18"/>
                <w:szCs w:val="18"/>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2,440</w:t>
            </w:r>
          </w:p>
        </w:tc>
        <w:tc>
          <w:tcPr>
            <w:tcW w:w="66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17,228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Segment Profit (Loss)</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562</w:t>
            </w:r>
          </w:p>
        </w:tc>
        <w:tc>
          <w:tcPr>
            <w:tcW w:w="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b w:val="1"/>
                <w:bCs w:val="1"/>
                <w:color w:val="auto"/>
              </w:rPr>
              <w:t>1,115</w:t>
            </w:r>
          </w:p>
        </w:tc>
        <w:tc>
          <w:tcPr>
            <w:tcW w:w="6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b w:val="1"/>
                <w:bCs w:val="1"/>
                <w:color w:val="auto"/>
              </w:rPr>
              <w:t>(89)</w:t>
            </w:r>
          </w:p>
        </w:tc>
        <w:tc>
          <w:tcPr>
            <w:tcW w:w="6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b w:val="1"/>
                <w:bCs w:val="1"/>
                <w:color w:val="auto"/>
              </w:rPr>
              <w:t>1,588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Operating Margin</w:t>
            </w: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gridSpan w:val="2"/>
            <w:vMerge w:val="continue"/>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10.6%</w:t>
            </w:r>
          </w:p>
        </w:tc>
        <w:tc>
          <w:tcPr>
            <w:tcW w:w="6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11.8%</w:t>
            </w:r>
          </w:p>
        </w:tc>
        <w:tc>
          <w:tcPr>
            <w:tcW w:w="6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w:t>
            </w:r>
          </w:p>
        </w:tc>
        <w:tc>
          <w:tcPr>
            <w:tcW w:w="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Note: Install activity percentages include the Xerox-branded product shipments to GIS.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Production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Revenue 2009</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Production revenue of $4,545 million decreased 13%, including a 3-percentage point negative impact from currency, reflecting:</w:t>
      </w:r>
    </w:p>
    <w:p>
      <w:pPr>
        <w:spacing w:after="0" w:line="50" w:lineRule="exact"/>
        <w:rPr>
          <w:sz w:val="20"/>
          <w:szCs w:val="20"/>
          <w:color w:val="auto"/>
        </w:rPr>
      </w:pPr>
    </w:p>
    <w:p>
      <w:pPr>
        <w:ind w:left="460" w:right="120" w:hanging="452"/>
        <w:spacing w:after="0" w:line="23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10% decrease in post sale revenue with a 3-percentage point negative impact from currency, as declines were driven in part by lower black-and-white page volumes and lower revenue from entry production color products which reflect the weak economic environment during the year.</w:t>
      </w:r>
    </w:p>
    <w:p>
      <w:pPr>
        <w:spacing w:after="0" w:line="141"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10</w:t>
      </w:r>
    </w:p>
    <w:p>
      <w:pPr>
        <w:sectPr>
          <w:pgSz w:w="11900" w:h="16838" w:orient="portrait"/>
          <w:cols w:equalWidth="0" w:num="1">
            <w:col w:w="11420"/>
          </w:cols>
          <w:pgMar w:left="240" w:top="291" w:right="239" w:bottom="1440" w:gutter="0" w:footer="0" w:header="0"/>
        </w:sectPr>
      </w:pPr>
    </w:p>
    <w:bookmarkStart w:id="93" w:name="page94"/>
    <w:bookmarkEnd w:id="93"/>
    <w:p>
      <w:pPr>
        <w:ind w:left="460" w:right="520" w:hanging="452"/>
        <w:spacing w:after="0" w:line="264"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decrease in equipment sales revenue, with a 2-percentage point negative impact from currency. The decline in revenue across all product groups reflects lower installs driven by the weak economic environment and delays in customer spending on technology.</w:t>
      </w:r>
    </w:p>
    <w:p>
      <w:pPr>
        <w:ind w:left="460" w:right="280" w:hanging="452"/>
        <w:spacing w:after="0" w:line="211"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11% decline in installs of production color products, as entry production color declines were partially offset by increased Xerox 700 installs and iGen4</w:t>
      </w:r>
      <w:r>
        <w:rPr>
          <w:rFonts w:ascii="Arial" w:cs="Arial" w:eastAsia="Arial" w:hAnsi="Arial"/>
          <w:sz w:val="22"/>
          <w:szCs w:val="22"/>
          <w:color w:val="auto"/>
          <w:vertAlign w:val="superscript"/>
        </w:rPr>
        <w:t>TM</w:t>
      </w:r>
      <w:r>
        <w:rPr>
          <w:rFonts w:ascii="Arial" w:cs="Arial" w:eastAsia="Arial" w:hAnsi="Arial"/>
          <w:sz w:val="18"/>
          <w:szCs w:val="18"/>
          <w:color w:val="auto"/>
        </w:rPr>
        <w:t>.</w:t>
      </w: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22% decline in installs of production black-and-white systems, reflecting declines in all product groups.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2008</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Production revenue of $5,237 million decreased 1%, including a 1-percentage point benefit from currency, reflecting:</w:t>
      </w:r>
    </w:p>
    <w:p>
      <w:pPr>
        <w:ind w:left="460" w:right="160" w:hanging="452"/>
        <w:spacing w:after="0" w:line="234"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 increase in post sale revenue as growth from color, continuous feed and light production products offset declines in revenue from black-and-white high-volume printing systems and light lens devices.</w:t>
      </w:r>
    </w:p>
    <w:p>
      <w:pPr>
        <w:spacing w:after="0" w:line="1" w:lineRule="exact"/>
        <w:rPr>
          <w:rFonts w:ascii="Arial" w:cs="Arial" w:eastAsia="Arial" w:hAnsi="Arial"/>
          <w:sz w:val="18"/>
          <w:szCs w:val="18"/>
          <w:color w:val="auto"/>
        </w:rPr>
      </w:pPr>
    </w:p>
    <w:p>
      <w:pPr>
        <w:ind w:left="460" w:right="100" w:hanging="452"/>
        <w:spacing w:after="0" w:line="234"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10% decrease in equipment sales revenue, primarily reflecting pricing declines in both black-and-white and color production systems, driven in part by weakness in the U.S.</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 increase in installs of production color products driven in part by Xerox 700 and iGen4 activity, as well as color continuous feed.</w:t>
      </w: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6% decline in installs of production black-and-white systems driven primarily by declines in installs of light production systems.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Profit 2009</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Production operating profit of $217 million decreased $177 million from 2008. The decrease is primarily the result of lower gross profit flow-through from revenue declines which were partially offset by lower RD&amp;E and SAG spending as a result of favorable currency and cost reductions. The improvement in SAG was mitigated by an increase in bad debt provisions.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2008</w:t>
      </w:r>
    </w:p>
    <w:p>
      <w:pPr>
        <w:spacing w:after="0" w:line="1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Production operating profit of $394 million decreased $168 million from 2007. The decrease is primarily the result of lower revenue and lower gross margins due to pricing and product mix, as well as increased SAG expenses.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Office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Revenue 2009</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Office revenue of $8,576 million decreased 13%, including a 2-percentage point negative impact from currency, reflecting:</w:t>
      </w:r>
    </w:p>
    <w:p>
      <w:pPr>
        <w:ind w:left="460" w:right="120" w:hanging="452"/>
        <w:spacing w:after="0" w:line="234"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8% decrease in post sale revenue with a 3-percentage point negative impact from currency. Revenue declined across most product segments and reflects lower channel supplies purchases, including purchases within developing markets, which more than offset the growth in GIS.</w:t>
      </w:r>
    </w:p>
    <w:p>
      <w:pPr>
        <w:spacing w:after="0" w:line="2" w:lineRule="exact"/>
        <w:rPr>
          <w:rFonts w:ascii="Arial" w:cs="Arial" w:eastAsia="Arial" w:hAnsi="Arial"/>
          <w:sz w:val="18"/>
          <w:szCs w:val="18"/>
          <w:color w:val="auto"/>
        </w:rPr>
      </w:pPr>
    </w:p>
    <w:p>
      <w:pPr>
        <w:ind w:left="460" w:right="380" w:hanging="452"/>
        <w:spacing w:after="0" w:line="234"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24% decrease in equipment sales revenue, including a 1-percentage point negative impact from currency. The decline in revenue across most product groups reflects lower installs driven by the weak economic environment during this year.</w:t>
      </w:r>
    </w:p>
    <w:p>
      <w:pPr>
        <w:spacing w:after="0" w:line="1" w:lineRule="exact"/>
        <w:rPr>
          <w:rFonts w:ascii="Arial" w:cs="Arial" w:eastAsia="Arial" w:hAnsi="Arial"/>
          <w:sz w:val="18"/>
          <w:szCs w:val="18"/>
          <w:color w:val="auto"/>
        </w:rPr>
      </w:pPr>
    </w:p>
    <w:p>
      <w:pPr>
        <w:ind w:left="460" w:right="440" w:hanging="452"/>
        <w:spacing w:after="0" w:line="234"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 decline in installs of color multifunction devices driven by lower overall demand, which more than offset the impact of new products including the ColorQube and Office version of the Xerox 700.</w:t>
      </w:r>
    </w:p>
    <w:p>
      <w:pPr>
        <w:spacing w:after="0" w:line="1" w:lineRule="exact"/>
        <w:rPr>
          <w:rFonts w:ascii="Arial" w:cs="Arial" w:eastAsia="Arial" w:hAnsi="Arial"/>
          <w:sz w:val="18"/>
          <w:szCs w:val="18"/>
          <w:color w:val="auto"/>
        </w:rPr>
      </w:pPr>
    </w:p>
    <w:p>
      <w:pPr>
        <w:jc w:val="both"/>
        <w:ind w:left="460" w:right="460" w:hanging="452"/>
        <w:spacing w:after="0" w:line="234"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37% decline in installs of black-and-white copiers and multifunction devices, including an 83% decline in the low dollar value Segment 1 products (11-20 ppm), driven primarily by lower activity in developing markets, offset by a 4% increase in Segment 2–5 products (21-90 ppm). Segment 2–5 installs include the Xerox 4595, a 95 ppm device with an embedded controller.</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34% decline in installs of color printers due to lower demand and lower sales to OEM partners.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2008</w:t>
      </w:r>
    </w:p>
    <w:p>
      <w:pPr>
        <w:spacing w:after="0" w:line="18"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Office revenue of $9,828 million increased 4%, including a 1-percentage point benefit from currency, as well as the benefits from our expansion in the SMB market through GIS and Veenman. Revenue for 2008 reflects:</w:t>
      </w:r>
    </w:p>
    <w:p>
      <w:pPr>
        <w:spacing w:after="0" w:line="2" w:lineRule="exact"/>
        <w:rPr>
          <w:sz w:val="20"/>
          <w:szCs w:val="20"/>
          <w:color w:val="auto"/>
        </w:rPr>
      </w:pPr>
    </w:p>
    <w:p>
      <w:pPr>
        <w:ind w:left="460" w:right="180" w:hanging="452"/>
        <w:spacing w:after="0" w:line="23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4% increase in post sale revenue, reflecting the full year inclusion of GIS, as well as growth from color multifunction devices and color printers partially offset by declines in black-and-white digital devices. Office post sale revenue was negatively impacted in the fourth quarter of 2008 by declines in channel supply purchases, including lower purchases within developing markets.</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11</w:t>
      </w:r>
    </w:p>
    <w:p>
      <w:pPr>
        <w:sectPr>
          <w:pgSz w:w="11900" w:h="16838" w:orient="portrait"/>
          <w:cols w:equalWidth="0" w:num="1">
            <w:col w:w="11420"/>
          </w:cols>
          <w:pgMar w:left="240" w:top="291" w:right="239" w:bottom="1440" w:gutter="0" w:footer="0" w:header="0"/>
        </w:sectPr>
      </w:pPr>
    </w:p>
    <w:bookmarkStart w:id="94" w:name="page95"/>
    <w:bookmarkEnd w:id="94"/>
    <w:p>
      <w:pPr>
        <w:ind w:left="460" w:right="320" w:hanging="452"/>
        <w:spacing w:after="0" w:line="23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increase in equipment sales revenue, reflecting the full year inclusion of GIS, as well as growth from color digital products which more than offset declines from black-and-white devices primarily due to price declines and product mix.</w:t>
      </w:r>
    </w:p>
    <w:p>
      <w:pPr>
        <w:spacing w:after="0" w:line="1" w:lineRule="exact"/>
        <w:rPr>
          <w:rFonts w:ascii="Arial" w:cs="Arial" w:eastAsia="Arial" w:hAnsi="Arial"/>
          <w:sz w:val="18"/>
          <w:szCs w:val="18"/>
          <w:color w:val="auto"/>
        </w:rPr>
      </w:pPr>
    </w:p>
    <w:p>
      <w:pPr>
        <w:ind w:left="460" w:hanging="452"/>
        <w:spacing w:after="0" w:line="192"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24% color multifunction device install growth led by strong demand for Xerox WorkCentre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Phaser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products.</w:t>
      </w:r>
    </w:p>
    <w:p>
      <w:pPr>
        <w:ind w:left="460" w:right="80" w:hanging="452"/>
        <w:spacing w:after="0" w:line="23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8% increase in installs of black-and-white copiers and multifunction devices, including 8% growth in Segment 1&amp;2 products (11-30 ppm) and 8% growth in Segment 3-5 products (31-90 ppm). Segment 3-5 installs include the Xerox 4595, a 95 ppm device with an embedded controller.</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12% increase in color printer installs.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Profit 2009</w:t>
      </w:r>
    </w:p>
    <w:p>
      <w:pPr>
        <w:spacing w:after="0" w:line="1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Office operating profit of $835 million decreased $227 million from 2008, as revenue declines were partially offset by lower RD&amp;E and SAG as a result of favorable currency and cost actions. The improvement in SAG was mitigated by an increase in bad debt provisions.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2008</w:t>
      </w:r>
    </w:p>
    <w:p>
      <w:pPr>
        <w:spacing w:after="0" w:line="1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Office operating profit of $1,062 million decreased $53 million from 2007. The decrease was primarily due to lower gross profits reflecting lower margins, as well as higher SAG expenses partially offset by the full year inclusion of GIS.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Revenue 2009</w:t>
      </w:r>
    </w:p>
    <w:p>
      <w:pPr>
        <w:spacing w:after="0" w:line="18"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Other revenue of $2,058 million decreased 19%, including a 2-percentage point negative impact from currency, primarily driven by declines in revenue from paper, wide format systems and licensing and royalty arrangements. Paper comprised approximately 50% of the Other segment revenue.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2008</w:t>
      </w:r>
    </w:p>
    <w:p>
      <w:pPr>
        <w:spacing w:after="0" w:line="18"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Other revenue of $2,543 million increased 4%, primarily reflecting the full year inclusion of GIS and increased paper revenue partially offset by lower revenue from wide format systems. There was no impact from currency. Paper comprised approximately 50% of the Other segment revenue.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Loss 2009</w:t>
      </w:r>
    </w:p>
    <w:p>
      <w:pPr>
        <w:spacing w:after="0" w:line="1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Other operating loss of $274 million increased $109 million from 2008, primarily due to lower revenue, as well as lower interest income and equity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 2008</w:t>
      </w:r>
    </w:p>
    <w:p>
      <w:pPr>
        <w:spacing w:after="0" w:line="18"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Other operating loss of $165 million increased $76 million from 2007, reflecting lower wide format revenue, higher foreign exchange losses and lower interest income partially offset by gains on sales of assets.</w:t>
      </w:r>
    </w:p>
    <w:p>
      <w:pPr>
        <w:spacing w:after="0" w:line="118"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Costs, Expenses and Other Income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Gross Margin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Gross margins by revenue classification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4"/>
                <w:szCs w:val="14"/>
                <w:color w:val="auto"/>
              </w:rPr>
            </w:pPr>
          </w:p>
        </w:tc>
      </w:tr>
      <w:tr>
        <w:trPr>
          <w:trHeight w:val="142"/>
        </w:trPr>
        <w:tc>
          <w:tcPr>
            <w:tcW w:w="67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2009</w:t>
            </w:r>
          </w:p>
        </w:tc>
        <w:tc>
          <w:tcPr>
            <w:tcW w:w="76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2008</w:t>
            </w:r>
          </w:p>
        </w:tc>
        <w:tc>
          <w:tcPr>
            <w:tcW w:w="76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2007</w:t>
            </w: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Sales</w:t>
            </w:r>
          </w:p>
        </w:tc>
        <w:tc>
          <w:tcPr>
            <w:tcW w:w="10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33.9%</w:t>
            </w:r>
          </w:p>
        </w:tc>
        <w:tc>
          <w:tcPr>
            <w:tcW w:w="1820" w:type="dxa"/>
            <w:vAlign w:val="bottom"/>
            <w:gridSpan w:val="2"/>
            <w:shd w:val="clear" w:color="auto" w:fill="CCEEFF"/>
          </w:tcPr>
          <w:p>
            <w:pPr>
              <w:jc w:val="center"/>
              <w:ind w:left="676"/>
              <w:spacing w:after="0" w:line="196" w:lineRule="exact"/>
              <w:rPr>
                <w:sz w:val="20"/>
                <w:szCs w:val="20"/>
                <w:color w:val="auto"/>
              </w:rPr>
            </w:pPr>
            <w:r>
              <w:rPr>
                <w:rFonts w:ascii="Arial" w:cs="Arial" w:eastAsia="Arial" w:hAnsi="Arial"/>
                <w:sz w:val="18"/>
                <w:szCs w:val="18"/>
                <w:color w:val="auto"/>
                <w:w w:val="97"/>
              </w:rPr>
              <w:t>33.7%</w:t>
            </w:r>
          </w:p>
        </w:tc>
        <w:tc>
          <w:tcPr>
            <w:tcW w:w="76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35.9%</w:t>
            </w: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Service, outsourcing and rentals</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7"/>
              </w:rPr>
              <w:t>42.6%</w:t>
            </w:r>
          </w:p>
        </w:tc>
        <w:tc>
          <w:tcPr>
            <w:tcW w:w="1820" w:type="dxa"/>
            <w:vAlign w:val="bottom"/>
            <w:gridSpan w:val="2"/>
          </w:tcPr>
          <w:p>
            <w:pPr>
              <w:jc w:val="center"/>
              <w:ind w:left="676"/>
              <w:spacing w:after="0" w:line="202" w:lineRule="exact"/>
              <w:rPr>
                <w:sz w:val="20"/>
                <w:szCs w:val="20"/>
                <w:color w:val="auto"/>
              </w:rPr>
            </w:pPr>
            <w:r>
              <w:rPr>
                <w:rFonts w:ascii="Arial" w:cs="Arial" w:eastAsia="Arial" w:hAnsi="Arial"/>
                <w:sz w:val="18"/>
                <w:szCs w:val="18"/>
                <w:color w:val="auto"/>
                <w:w w:val="97"/>
              </w:rPr>
              <w:t>41.9%</w:t>
            </w:r>
          </w:p>
        </w:tc>
        <w:tc>
          <w:tcPr>
            <w:tcW w:w="76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7"/>
              </w:rPr>
              <w:t>42.7%</w:t>
            </w: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62.0%</w:t>
            </w:r>
          </w:p>
        </w:tc>
        <w:tc>
          <w:tcPr>
            <w:tcW w:w="1820" w:type="dxa"/>
            <w:vAlign w:val="bottom"/>
            <w:gridSpan w:val="2"/>
            <w:shd w:val="clear" w:color="auto" w:fill="CCEEFF"/>
          </w:tcPr>
          <w:p>
            <w:pPr>
              <w:jc w:val="center"/>
              <w:ind w:left="676"/>
              <w:spacing w:after="0" w:line="202" w:lineRule="exact"/>
              <w:rPr>
                <w:sz w:val="20"/>
                <w:szCs w:val="20"/>
                <w:color w:val="auto"/>
              </w:rPr>
            </w:pPr>
            <w:r>
              <w:rPr>
                <w:rFonts w:ascii="Arial" w:cs="Arial" w:eastAsia="Arial" w:hAnsi="Arial"/>
                <w:sz w:val="18"/>
                <w:szCs w:val="18"/>
                <w:color w:val="auto"/>
                <w:w w:val="97"/>
              </w:rPr>
              <w:t>61.8%</w:t>
            </w:r>
          </w:p>
        </w:tc>
        <w:tc>
          <w:tcPr>
            <w:tcW w:w="76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61.6%</w:t>
            </w:r>
          </w:p>
        </w:tc>
      </w:tr>
      <w:tr>
        <w:trPr>
          <w:trHeight w:val="233"/>
        </w:trPr>
        <w:tc>
          <w:tcPr>
            <w:tcW w:w="6720" w:type="dxa"/>
            <w:vAlign w:val="bottom"/>
          </w:tcPr>
          <w:p>
            <w:pPr>
              <w:spacing w:after="0"/>
              <w:rPr>
                <w:sz w:val="20"/>
                <w:szCs w:val="20"/>
                <w:color w:val="auto"/>
              </w:rPr>
            </w:pPr>
            <w:r>
              <w:rPr>
                <w:rFonts w:ascii="Arial" w:cs="Arial" w:eastAsia="Arial" w:hAnsi="Arial"/>
                <w:sz w:val="18"/>
                <w:szCs w:val="18"/>
                <w:b w:val="1"/>
                <w:bCs w:val="1"/>
                <w:color w:val="auto"/>
              </w:rPr>
              <w:t>Total Gross Margin</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39.7%</w:t>
            </w:r>
          </w:p>
        </w:tc>
        <w:tc>
          <w:tcPr>
            <w:tcW w:w="1820" w:type="dxa"/>
            <w:vAlign w:val="bottom"/>
            <w:gridSpan w:val="2"/>
          </w:tcPr>
          <w:p>
            <w:pPr>
              <w:jc w:val="center"/>
              <w:ind w:left="676"/>
              <w:spacing w:after="0"/>
              <w:rPr>
                <w:sz w:val="20"/>
                <w:szCs w:val="20"/>
                <w:color w:val="auto"/>
              </w:rPr>
            </w:pPr>
            <w:r>
              <w:rPr>
                <w:rFonts w:ascii="Arial" w:cs="Arial" w:eastAsia="Arial" w:hAnsi="Arial"/>
                <w:sz w:val="18"/>
                <w:szCs w:val="18"/>
                <w:b w:val="1"/>
                <w:bCs w:val="1"/>
                <w:color w:val="auto"/>
                <w:w w:val="97"/>
              </w:rPr>
              <w:t>38.9%</w:t>
            </w:r>
          </w:p>
        </w:tc>
        <w:tc>
          <w:tcPr>
            <w:tcW w:w="7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40.3%</w:t>
            </w:r>
          </w:p>
        </w:tc>
      </w:tr>
    </w:tbl>
    <w:p>
      <w:pPr>
        <w:spacing w:after="0" w:line="12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12</w:t>
      </w:r>
    </w:p>
    <w:p>
      <w:pPr>
        <w:sectPr>
          <w:pgSz w:w="11900" w:h="16838" w:orient="portrait"/>
          <w:cols w:equalWidth="0" w:num="1">
            <w:col w:w="11420"/>
          </w:cols>
          <w:pgMar w:left="240" w:top="291"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Gross Margin 2009</w:t>
      </w:r>
    </w:p>
    <w:p>
      <w:pPr>
        <w:spacing w:after="0" w:line="18"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Total gross margin increased 0.8-percentage points compared to 2008, primarily driven by cost improvements enabled by restructuring and our cost actions, which were partially offset by the 0.5-percentage point unfavorable impact of transaction currency, primarily the Yen, and price declines of 1.0-percentage points.</w:t>
      </w:r>
    </w:p>
    <w:p>
      <w:pPr>
        <w:spacing w:after="0" w:line="46" w:lineRule="exact"/>
        <w:rPr>
          <w:sz w:val="20"/>
          <w:szCs w:val="20"/>
          <w:color w:val="auto"/>
        </w:rPr>
      </w:pPr>
    </w:p>
    <w:p>
      <w:pPr>
        <w:ind w:left="460" w:right="140" w:hanging="452"/>
        <w:spacing w:after="0" w:line="23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Sales gross margin increased 0.2-percentage points primarily due to the cost improvements and the positive mix of revenues partially offset by the adverse impact of transaction currency on our inventory purchases of 1.0-percentage point and price declines of 1.2-percentage points.</w:t>
      </w:r>
    </w:p>
    <w:p>
      <w:pPr>
        <w:spacing w:after="0" w:line="2" w:lineRule="exact"/>
        <w:rPr>
          <w:rFonts w:ascii="Arial" w:cs="Arial" w:eastAsia="Arial" w:hAnsi="Arial"/>
          <w:sz w:val="18"/>
          <w:szCs w:val="18"/>
          <w:color w:val="auto"/>
        </w:rPr>
      </w:pPr>
    </w:p>
    <w:p>
      <w:pPr>
        <w:ind w:left="460" w:right="460" w:hanging="452"/>
        <w:spacing w:after="0" w:line="23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Service, outsourcing and rentals margin increased 0.7-percentage points primarily due to the positive impact from the reduction in costs driven by our restructuring and cost actions of 1.5-percentage points. These cost improvements more than offset the approximate 0.9-percentage points impact of pricing.</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Financing income margin of 62% remained comparable to 2008.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2008</w:t>
      </w:r>
    </w:p>
    <w:p>
      <w:pPr>
        <w:spacing w:after="0" w:line="1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2008 Total gross margin decreased 1.4-percentage points compared to 2007 as price declines and mix of approximately 2.0-percentage points were only partially offset by cost productivity improvements. Cost improvements were limited by an unfavorable impact on product costs of approximately 0.5-percentage points from the significant strengthening of the Yen versus the U.S. Dollar and Euro. The negative impact of 0.3-percentage points from an Office product line equipment write-off was offset by positive adjustments related to the capitalized costs for equipment on operating leases and European product disposal costs.</w:t>
      </w:r>
    </w:p>
    <w:p>
      <w:pPr>
        <w:spacing w:after="0" w:line="49" w:lineRule="exact"/>
        <w:rPr>
          <w:sz w:val="20"/>
          <w:szCs w:val="20"/>
          <w:color w:val="auto"/>
        </w:rPr>
      </w:pPr>
    </w:p>
    <w:p>
      <w:pPr>
        <w:jc w:val="both"/>
        <w:ind w:left="460" w:right="340" w:hanging="452"/>
        <w:spacing w:after="0" w:line="23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Sales gross margin decreased 2.2-percentage points primarily due to the approximately 2.5-percentage point impact of price declines, as well as channel and product mix. Cost improvements, which historically tend to offset price declines, were limited in 2008 by the adverse impact of the strengthening Yen on our inventory purchases.</w:t>
      </w:r>
    </w:p>
    <w:p>
      <w:pPr>
        <w:spacing w:after="0" w:line="2" w:lineRule="exact"/>
        <w:rPr>
          <w:rFonts w:ascii="Arial" w:cs="Arial" w:eastAsia="Arial" w:hAnsi="Arial"/>
          <w:sz w:val="18"/>
          <w:szCs w:val="18"/>
          <w:color w:val="auto"/>
        </w:rPr>
      </w:pPr>
    </w:p>
    <w:p>
      <w:pPr>
        <w:ind w:left="460" w:right="380" w:hanging="452"/>
        <w:spacing w:after="0" w:line="23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Service, outsourcing and rentals margin decreased 0.8-percentage points primarily due to mix as price declines of 1.3-percentage points were offset by cost improvements. Mix reflects margin pressure from document management services.</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Financing income margin of approximately 62% remained comparable to 2007.</w:t>
      </w:r>
    </w:p>
    <w:p>
      <w:pPr>
        <w:ind w:left="460" w:right="100" w:hanging="452"/>
        <w:spacing w:after="0" w:line="237"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Since a large portion of our inventory procurement is from Japan, the strengthening of the Yen versus the U.S. Dollar and Euro in 2008 significantly impacted our product cost. The Yen strengthened approximately 14% against the U.S. Dollar and 6% against the Euro in 2008 as compared to 2007. A significant portion of that strengthening occurred in the fourth quarter 2008 when the Yen strengthened 17% against the U.S. Dollar and 29% against the Euro as compared to prior year.</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Research, Development and Engineering Expenses (“RD&amp;E”)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invest in technological development, particularly in color, and believe our RD&amp;E spending is sufficient to remain technologically competitive.</w:t>
      </w:r>
    </w:p>
    <w:p>
      <w:pPr>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R&amp;D</w:t>
      </w:r>
      <w:r>
        <w:rPr>
          <w:rFonts w:ascii="Arial" w:cs="Arial" w:eastAsia="Arial" w:hAnsi="Arial"/>
          <w:sz w:val="18"/>
          <w:szCs w:val="18"/>
          <w:color w:val="auto"/>
        </w:rPr>
        <w:t xml:space="preserve"> is strategically coordinated with that of Fuji Xerox.</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4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gridSpan w:val="3"/>
            <w:vMerge w:val="continue"/>
          </w:tcPr>
          <w:p>
            <w:pPr>
              <w:spacing w:after="0"/>
              <w:rPr>
                <w:sz w:val="12"/>
                <w:szCs w:val="12"/>
                <w:color w:val="auto"/>
              </w:rPr>
            </w:pPr>
          </w:p>
        </w:tc>
        <w:tc>
          <w:tcPr>
            <w:tcW w:w="7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76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2"/>
                <w:szCs w:val="12"/>
                <w:color w:val="auto"/>
              </w:rPr>
            </w:pPr>
          </w:p>
        </w:tc>
        <w:tc>
          <w:tcPr>
            <w:tcW w:w="7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6"/>
              </w:rPr>
              <w:t>2009</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gridSpan w:val="3"/>
          </w:tcPr>
          <w:p>
            <w:pPr>
              <w:spacing w:after="0"/>
              <w:rPr>
                <w:sz w:val="20"/>
                <w:szCs w:val="20"/>
                <w:color w:val="auto"/>
              </w:rPr>
            </w:pPr>
            <w:r>
              <w:rPr>
                <w:rFonts w:ascii="Arial" w:cs="Arial" w:eastAsia="Arial" w:hAnsi="Arial"/>
                <w:sz w:val="18"/>
                <w:szCs w:val="18"/>
                <w:color w:val="auto"/>
              </w:rPr>
              <w:t>RD&amp;E % Revenue</w:t>
            </w: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2040" w:type="dxa"/>
            <w:vAlign w:val="bottom"/>
            <w:gridSpan w:val="3"/>
          </w:tcPr>
          <w:p>
            <w:pPr>
              <w:jc w:val="right"/>
              <w:ind w:right="640"/>
              <w:spacing w:after="0"/>
              <w:rPr>
                <w:sz w:val="20"/>
                <w:szCs w:val="20"/>
                <w:color w:val="auto"/>
              </w:rPr>
            </w:pPr>
            <w:r>
              <w:rPr>
                <w:rFonts w:ascii="Arial" w:cs="Arial" w:eastAsia="Arial" w:hAnsi="Arial"/>
                <w:sz w:val="18"/>
                <w:szCs w:val="18"/>
                <w:color w:val="auto"/>
              </w:rPr>
              <w:t>5.0%</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0.5pts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(0.3)pts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R&amp;D</w:t>
            </w:r>
          </w:p>
        </w:tc>
        <w:tc>
          <w:tcPr>
            <w:tcW w:w="76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$ 713</w:t>
            </w:r>
          </w:p>
        </w:tc>
        <w:tc>
          <w:tcPr>
            <w:tcW w:w="1400" w:type="dxa"/>
            <w:vAlign w:val="bottom"/>
            <w:gridSpan w:val="2"/>
            <w:shd w:val="clear" w:color="auto" w:fill="CCEEFF"/>
          </w:tcPr>
          <w:p>
            <w:pPr>
              <w:jc w:val="right"/>
              <w:ind w:right="122"/>
              <w:spacing w:after="0" w:line="202" w:lineRule="exact"/>
              <w:rPr>
                <w:sz w:val="20"/>
                <w:szCs w:val="20"/>
                <w:color w:val="auto"/>
              </w:rPr>
            </w:pPr>
            <w:r>
              <w:rPr>
                <w:rFonts w:ascii="Arial" w:cs="Arial" w:eastAsia="Arial" w:hAnsi="Arial"/>
                <w:sz w:val="18"/>
                <w:szCs w:val="18"/>
                <w:color w:val="auto"/>
              </w:rPr>
              <w:t>$ 750</w:t>
            </w: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$ 764</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3"/>
          </w:tcPr>
          <w:p>
            <w:pPr>
              <w:spacing w:after="0" w:line="202" w:lineRule="exact"/>
              <w:rPr>
                <w:sz w:val="20"/>
                <w:szCs w:val="20"/>
                <w:color w:val="auto"/>
              </w:rPr>
            </w:pPr>
            <w:r>
              <w:rPr>
                <w:rFonts w:ascii="Arial" w:cs="Arial" w:eastAsia="Arial" w:hAnsi="Arial"/>
                <w:sz w:val="18"/>
                <w:szCs w:val="18"/>
                <w:color w:val="auto"/>
              </w:rPr>
              <w:t>Sustaining Engineering</w:t>
            </w:r>
          </w:p>
        </w:tc>
        <w:tc>
          <w:tcPr>
            <w:tcW w:w="7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127</w:t>
            </w:r>
          </w:p>
        </w:tc>
        <w:tc>
          <w:tcPr>
            <w:tcW w:w="1400" w:type="dxa"/>
            <w:vAlign w:val="bottom"/>
            <w:gridSpan w:val="2"/>
          </w:tcPr>
          <w:p>
            <w:pPr>
              <w:jc w:val="right"/>
              <w:ind w:right="122"/>
              <w:spacing w:after="0" w:line="202" w:lineRule="exact"/>
              <w:rPr>
                <w:sz w:val="20"/>
                <w:szCs w:val="20"/>
                <w:color w:val="auto"/>
              </w:rPr>
            </w:pPr>
            <w:r>
              <w:rPr>
                <w:rFonts w:ascii="Arial" w:cs="Arial" w:eastAsia="Arial" w:hAnsi="Arial"/>
                <w:sz w:val="18"/>
                <w:szCs w:val="18"/>
                <w:color w:val="auto"/>
              </w:rPr>
              <w:t>134</w:t>
            </w:r>
          </w:p>
        </w:tc>
        <w:tc>
          <w:tcPr>
            <w:tcW w:w="640" w:type="dxa"/>
            <w:vAlign w:val="bottom"/>
          </w:tcPr>
          <w:p>
            <w:pPr>
              <w:spacing w:after="0"/>
              <w:rPr>
                <w:sz w:val="17"/>
                <w:szCs w:val="17"/>
                <w:color w:val="auto"/>
              </w:rPr>
            </w:pPr>
          </w:p>
        </w:tc>
        <w:tc>
          <w:tcPr>
            <w:tcW w:w="7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148</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(7)</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0" w:type="dxa"/>
            <w:vAlign w:val="bottom"/>
          </w:tcPr>
          <w:p>
            <w:pPr>
              <w:spacing w:after="0"/>
              <w:rPr>
                <w:sz w:val="6"/>
                <w:szCs w:val="6"/>
                <w:color w:val="auto"/>
              </w:rPr>
            </w:pPr>
          </w:p>
        </w:tc>
        <w:tc>
          <w:tcPr>
            <w:tcW w:w="394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RD&amp;E Expenses</w:t>
            </w:r>
          </w:p>
        </w:tc>
        <w:tc>
          <w:tcPr>
            <w:tcW w:w="760" w:type="dxa"/>
            <w:vAlign w:val="bottom"/>
            <w:tcBorders>
              <w:bottom w:val="single" w:sz="8" w:color="auto"/>
            </w:tcBorders>
            <w:shd w:val="clear" w:color="auto" w:fill="CCEEFF"/>
          </w:tcPr>
          <w:p>
            <w:pPr>
              <w:jc w:val="right"/>
              <w:ind w:right="116"/>
              <w:spacing w:after="0" w:line="202" w:lineRule="exact"/>
              <w:rPr>
                <w:sz w:val="20"/>
                <w:szCs w:val="20"/>
                <w:color w:val="auto"/>
              </w:rPr>
            </w:pPr>
            <w:r>
              <w:rPr>
                <w:rFonts w:ascii="Arial" w:cs="Arial" w:eastAsia="Arial" w:hAnsi="Arial"/>
                <w:sz w:val="18"/>
                <w:szCs w:val="18"/>
                <w:b w:val="1"/>
                <w:bCs w:val="1"/>
                <w:color w:val="auto"/>
              </w:rPr>
              <w:t>$ 840</w:t>
            </w:r>
          </w:p>
        </w:tc>
        <w:tc>
          <w:tcPr>
            <w:tcW w:w="6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2"/>
              <w:spacing w:after="0" w:line="202" w:lineRule="exact"/>
              <w:rPr>
                <w:sz w:val="20"/>
                <w:szCs w:val="20"/>
                <w:color w:val="auto"/>
              </w:rPr>
            </w:pPr>
            <w:r>
              <w:rPr>
                <w:rFonts w:ascii="Arial" w:cs="Arial" w:eastAsia="Arial" w:hAnsi="Arial"/>
                <w:sz w:val="18"/>
                <w:szCs w:val="18"/>
                <w:b w:val="1"/>
                <w:bCs w:val="1"/>
                <w:color w:val="auto"/>
              </w:rPr>
              <w:t>$ 884</w:t>
            </w:r>
          </w:p>
        </w:tc>
        <w:tc>
          <w:tcPr>
            <w:tcW w:w="6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$ 912</w:t>
            </w:r>
          </w:p>
        </w:tc>
        <w:tc>
          <w:tcPr>
            <w:tcW w:w="6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CCEEFF"/>
          </w:tcPr>
          <w:p>
            <w:pPr>
              <w:jc w:val="right"/>
              <w:ind w:right="116"/>
              <w:spacing w:after="0" w:line="202" w:lineRule="exact"/>
              <w:rPr>
                <w:sz w:val="20"/>
                <w:szCs w:val="20"/>
                <w:color w:val="auto"/>
              </w:rPr>
            </w:pPr>
            <w:r>
              <w:rPr>
                <w:rFonts w:ascii="Arial" w:cs="Arial" w:eastAsia="Arial" w:hAnsi="Arial"/>
                <w:sz w:val="18"/>
                <w:szCs w:val="18"/>
                <w:b w:val="1"/>
                <w:bCs w:val="1"/>
                <w:color w:val="auto"/>
              </w:rPr>
              <w:t>(44)</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(28)</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640" w:type="dxa"/>
            <w:vAlign w:val="bottom"/>
            <w:gridSpan w:val="3"/>
          </w:tcPr>
          <w:p>
            <w:pPr>
              <w:spacing w:after="0"/>
              <w:rPr>
                <w:sz w:val="20"/>
                <w:szCs w:val="20"/>
                <w:color w:val="auto"/>
              </w:rPr>
            </w:pPr>
            <w:r>
              <w:rPr>
                <w:rFonts w:ascii="Arial" w:cs="Arial" w:eastAsia="Arial" w:hAnsi="Arial"/>
                <w:sz w:val="18"/>
                <w:szCs w:val="18"/>
                <w:color w:val="auto"/>
              </w:rPr>
              <w:t xml:space="preserve">R&amp;D Investment by Fuji Xerox </w:t>
            </w:r>
            <w:r>
              <w:rPr>
                <w:rFonts w:ascii="Arial" w:cs="Arial" w:eastAsia="Arial" w:hAnsi="Arial"/>
                <w:sz w:val="22"/>
                <w:szCs w:val="22"/>
                <w:color w:val="auto"/>
                <w:vertAlign w:val="superscript"/>
              </w:rPr>
              <w:t>(1)</w:t>
            </w: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$ 796</w:t>
            </w:r>
          </w:p>
        </w:tc>
        <w:tc>
          <w:tcPr>
            <w:tcW w:w="1400" w:type="dxa"/>
            <w:vAlign w:val="bottom"/>
            <w:gridSpan w:val="2"/>
          </w:tcPr>
          <w:p>
            <w:pPr>
              <w:jc w:val="right"/>
              <w:ind w:right="122"/>
              <w:spacing w:after="0"/>
              <w:rPr>
                <w:sz w:val="20"/>
                <w:szCs w:val="20"/>
                <w:color w:val="auto"/>
              </w:rPr>
            </w:pPr>
            <w:r>
              <w:rPr>
                <w:rFonts w:ascii="Arial" w:cs="Arial" w:eastAsia="Arial" w:hAnsi="Arial"/>
                <w:sz w:val="18"/>
                <w:szCs w:val="18"/>
                <w:color w:val="auto"/>
              </w:rPr>
              <w:t>$ 788</w:t>
            </w:r>
          </w:p>
        </w:tc>
        <w:tc>
          <w:tcPr>
            <w:tcW w:w="640" w:type="dxa"/>
            <w:vAlign w:val="bottom"/>
          </w:tcPr>
          <w:p>
            <w:pPr>
              <w:spacing w:after="0"/>
              <w:rPr>
                <w:sz w:val="24"/>
                <w:szCs w:val="24"/>
                <w:color w:val="auto"/>
              </w:rPr>
            </w:pPr>
          </w:p>
        </w:tc>
        <w:tc>
          <w:tcPr>
            <w:tcW w:w="760" w:type="dxa"/>
            <w:vAlign w:val="bottom"/>
          </w:tcPr>
          <w:p>
            <w:pPr>
              <w:jc w:val="right"/>
              <w:ind w:right="96"/>
              <w:spacing w:after="0"/>
              <w:rPr>
                <w:sz w:val="20"/>
                <w:szCs w:val="20"/>
                <w:color w:val="auto"/>
              </w:rPr>
            </w:pPr>
            <w:r>
              <w:rPr>
                <w:rFonts w:ascii="Arial" w:cs="Arial" w:eastAsia="Arial" w:hAnsi="Arial"/>
                <w:sz w:val="18"/>
                <w:szCs w:val="18"/>
                <w:color w:val="auto"/>
              </w:rPr>
              <w:t>$ 672</w:t>
            </w:r>
          </w:p>
        </w:tc>
        <w:tc>
          <w:tcPr>
            <w:tcW w:w="6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6"/>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6"/>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208" w:lineRule="auto"/>
        <w:tabs>
          <w:tab w:leader="none" w:pos="3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Increase in Fuji Xerox R&amp;D was primarily due to changes in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color w:val="1269BC"/>
        </w:rPr>
        <w:t xml:space="preserve">RD&amp;E 2009: </w:t>
      </w:r>
      <w:r>
        <w:rPr>
          <w:rFonts w:ascii="Arial" w:cs="Arial" w:eastAsia="Arial" w:hAnsi="Arial"/>
          <w:sz w:val="18"/>
          <w:szCs w:val="18"/>
          <w:color w:val="000000"/>
        </w:rPr>
        <w:t>The decrease in RD&amp;E spending for 2009 reflects our restructuring and cost actions which consolidated the Production and Office</w:t>
      </w:r>
      <w:r>
        <w:rPr>
          <w:rFonts w:ascii="Arial" w:cs="Arial" w:eastAsia="Arial" w:hAnsi="Arial"/>
          <w:sz w:val="18"/>
          <w:szCs w:val="18"/>
          <w:b w:val="1"/>
          <w:bCs w:val="1"/>
          <w:color w:val="1269BC"/>
        </w:rPr>
        <w:t xml:space="preserve"> </w:t>
      </w:r>
      <w:r>
        <w:rPr>
          <w:rFonts w:ascii="Arial" w:cs="Arial" w:eastAsia="Arial" w:hAnsi="Arial"/>
          <w:sz w:val="18"/>
          <w:szCs w:val="18"/>
          <w:color w:val="000000"/>
        </w:rPr>
        <w:t>development and engineering infrastructures.</w:t>
      </w:r>
    </w:p>
    <w:p>
      <w:pPr>
        <w:spacing w:after="0" w:line="1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13</w:t>
      </w:r>
    </w:p>
    <w:p>
      <w:pPr>
        <w:sectPr>
          <w:pgSz w:w="11900" w:h="16838" w:orient="portrait"/>
          <w:cols w:equalWidth="0" w:num="1">
            <w:col w:w="11420"/>
          </w:cols>
          <w:pgMar w:left="240" w:top="269" w:right="239" w:bottom="1440" w:gutter="0" w:footer="0" w:header="0"/>
        </w:sectPr>
      </w:pPr>
    </w:p>
    <w:bookmarkStart w:id="96" w:name="page97"/>
    <w:bookmarkEnd w:id="96"/>
    <w:p>
      <w:pPr>
        <w:ind w:right="220"/>
        <w:spacing w:after="0" w:line="24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RD&amp;E 2008: </w:t>
      </w:r>
      <w:r>
        <w:rPr>
          <w:rFonts w:ascii="Arial" w:cs="Arial" w:eastAsia="Arial" w:hAnsi="Arial"/>
          <w:sz w:val="18"/>
          <w:szCs w:val="18"/>
          <w:color w:val="auto"/>
        </w:rPr>
        <w:t>The decrease in R&amp;D spending for 2008 reflects the capture of efficiencies following a significant number of new product launches</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previous two years, as well as leveraging our current R,D&amp;E investments to support our GIS operations. Sustaining engineering costs declined in 2008 due primarily to lower spending related to environmental compliance activities and maturing product platforms in the Production segment.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Selling, Administrative and General Expenses (“SAG”)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 w:type="dxa"/>
            <w:vAlign w:val="bottom"/>
            <w:vMerge w:val="restart"/>
          </w:tcPr>
          <w:p>
            <w:pPr>
              <w:spacing w:after="0"/>
              <w:rPr>
                <w:sz w:val="20"/>
                <w:szCs w:val="20"/>
                <w:color w:val="auto"/>
              </w:rPr>
            </w:pPr>
            <w:r>
              <w:rPr>
                <w:rFonts w:ascii="Arial" w:cs="Arial" w:eastAsia="Arial" w:hAnsi="Arial"/>
                <w:sz w:val="14"/>
                <w:szCs w:val="14"/>
                <w:color w:val="auto"/>
                <w:w w:val="96"/>
              </w:rPr>
              <w:t>(in millions)</w:t>
            </w:r>
          </w:p>
        </w:tc>
        <w:tc>
          <w:tcPr>
            <w:tcW w:w="504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Borders>
              <w:bottom w:val="single" w:sz="8" w:color="auto"/>
            </w:tcBorders>
            <w:vMerge w:val="continue"/>
          </w:tcPr>
          <w:p>
            <w:pPr>
              <w:spacing w:after="0"/>
              <w:rPr>
                <w:sz w:val="12"/>
                <w:szCs w:val="12"/>
                <w:color w:val="auto"/>
              </w:rPr>
            </w:pPr>
          </w:p>
        </w:tc>
        <w:tc>
          <w:tcPr>
            <w:tcW w:w="504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w w:val="89"/>
              </w:rPr>
              <w:t>2009</w:t>
            </w: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96"/>
        </w:trPr>
        <w:tc>
          <w:tcPr>
            <w:tcW w:w="5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SAG</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4,149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4,534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4,312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9"/>
              <w:spacing w:after="0" w:line="196" w:lineRule="exact"/>
              <w:rPr>
                <w:sz w:val="20"/>
                <w:szCs w:val="20"/>
                <w:color w:val="auto"/>
              </w:rPr>
            </w:pPr>
            <w:r>
              <w:rPr>
                <w:rFonts w:ascii="Arial" w:cs="Arial" w:eastAsia="Arial" w:hAnsi="Arial"/>
                <w:sz w:val="18"/>
                <w:szCs w:val="18"/>
                <w:color w:val="auto"/>
              </w:rPr>
              <w:t>(385)</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16"/>
              <w:spacing w:after="0" w:line="196"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4"/>
        </w:trPr>
        <w:tc>
          <w:tcPr>
            <w:tcW w:w="5740" w:type="dxa"/>
            <w:vAlign w:val="bottom"/>
            <w:gridSpan w:val="2"/>
          </w:tcPr>
          <w:p>
            <w:pPr>
              <w:spacing w:after="0"/>
              <w:rPr>
                <w:sz w:val="20"/>
                <w:szCs w:val="20"/>
                <w:color w:val="auto"/>
              </w:rPr>
            </w:pPr>
            <w:r>
              <w:rPr>
                <w:rFonts w:ascii="Arial" w:cs="Arial" w:eastAsia="Arial" w:hAnsi="Arial"/>
                <w:sz w:val="18"/>
                <w:szCs w:val="18"/>
                <w:color w:val="auto"/>
              </w:rPr>
              <w:t>SAG as a % of revenue</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27.3 %</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25.7 %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25.0 %</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8"/>
                <w:szCs w:val="18"/>
                <w:color w:val="auto"/>
              </w:rPr>
              <w:t>1.6pts</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0.7pts</w:t>
            </w: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Bad Debt Expense</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291</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9"/>
              <w:spacing w:after="0" w:line="202" w:lineRule="exact"/>
              <w:rPr>
                <w:sz w:val="20"/>
                <w:szCs w:val="20"/>
                <w:color w:val="auto"/>
              </w:rPr>
            </w:pPr>
            <w:r>
              <w:rPr>
                <w:rFonts w:ascii="Arial" w:cs="Arial" w:eastAsia="Arial" w:hAnsi="Arial"/>
                <w:sz w:val="18"/>
                <w:szCs w:val="18"/>
                <w:color w:val="auto"/>
              </w:rPr>
              <w:t>103</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16"/>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4"/>
        </w:trPr>
        <w:tc>
          <w:tcPr>
            <w:tcW w:w="5740" w:type="dxa"/>
            <w:vAlign w:val="bottom"/>
            <w:gridSpan w:val="2"/>
          </w:tcPr>
          <w:p>
            <w:pPr>
              <w:spacing w:after="0"/>
              <w:rPr>
                <w:sz w:val="20"/>
                <w:szCs w:val="20"/>
                <w:color w:val="auto"/>
              </w:rPr>
            </w:pPr>
            <w:r>
              <w:rPr>
                <w:rFonts w:ascii="Arial" w:cs="Arial" w:eastAsia="Arial" w:hAnsi="Arial"/>
                <w:sz w:val="18"/>
                <w:szCs w:val="18"/>
                <w:color w:val="auto"/>
              </w:rPr>
              <w:t>Bad Debt as a % of revenue</w:t>
            </w:r>
          </w:p>
        </w:tc>
        <w:tc>
          <w:tcPr>
            <w:tcW w:w="3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1.9 %</w:t>
            </w:r>
          </w:p>
        </w:tc>
        <w:tc>
          <w:tcPr>
            <w:tcW w:w="2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0.8 %</w:t>
            </w:r>
          </w:p>
        </w:tc>
        <w:tc>
          <w:tcPr>
            <w:tcW w:w="30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8"/>
                <w:szCs w:val="18"/>
                <w:color w:val="auto"/>
              </w:rPr>
              <w:t>0.8pts</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0.3pts</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SAG 2009</w:t>
      </w:r>
    </w:p>
    <w:p>
      <w:pPr>
        <w:spacing w:after="0" w:line="18"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SAG of $4,149 million was $385 million lower than 2008, including a $126 million benefit from currency. The SAG decrease was the result of the following:</w:t>
      </w:r>
    </w:p>
    <w:p>
      <w:pPr>
        <w:spacing w:after="0" w:line="2" w:lineRule="exact"/>
        <w:rPr>
          <w:sz w:val="20"/>
          <w:szCs w:val="20"/>
          <w:color w:val="auto"/>
        </w:rPr>
      </w:pPr>
    </w:p>
    <w:p>
      <w:pPr>
        <w:ind w:left="460" w:right="180" w:hanging="452"/>
        <w:spacing w:after="0" w:line="23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$311 million decrease in selling expenses reflecting favorable currency; benefits from restructuring, an overall reduction in marketing spend and lower commissions.</w:t>
      </w:r>
    </w:p>
    <w:p>
      <w:pPr>
        <w:spacing w:after="0" w:line="1" w:lineRule="exact"/>
        <w:rPr>
          <w:rFonts w:ascii="Arial" w:cs="Arial" w:eastAsia="Arial" w:hAnsi="Arial"/>
          <w:sz w:val="18"/>
          <w:szCs w:val="18"/>
          <w:color w:val="auto"/>
        </w:rPr>
      </w:pPr>
    </w:p>
    <w:p>
      <w:pPr>
        <w:ind w:left="460" w:right="120" w:hanging="452"/>
        <w:spacing w:after="0" w:line="23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$177 million decrease in general and administrative (“G&amp;A”) expenses reflecting favorable currency and benefits from restructuring and cost actions partially offset by higher compensation accruals.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$103 million increase in bad debt expense reflecting increased write-offs in North America and Europe.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SAG 2008</w:t>
      </w:r>
    </w:p>
    <w:p>
      <w:pPr>
        <w:spacing w:after="0" w:line="18"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SAG of $4,534 million was $222 million higher than 2007, including a $12 million unfavorable impact from currency. The SAG increase was the result of the following:</w:t>
      </w:r>
    </w:p>
    <w:p>
      <w:pPr>
        <w:spacing w:after="0" w:line="2" w:lineRule="exact"/>
        <w:rPr>
          <w:sz w:val="20"/>
          <w:szCs w:val="20"/>
          <w:color w:val="auto"/>
        </w:rPr>
      </w:pPr>
    </w:p>
    <w:p>
      <w:pPr>
        <w:ind w:left="460" w:right="420" w:hanging="452"/>
        <w:spacing w:after="0" w:line="23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$94 million increase in selling expenses primarily reflecting the full year inclusion of GIS, investments in selling resources and marketing communications and unfavorable currency partially offset by lower compensation.</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$75 million increase in G&amp;A expenses primarily from the full year inclusion of GIS and unfavorable currency.</w:t>
      </w:r>
    </w:p>
    <w:p>
      <w:pPr>
        <w:ind w:left="460" w:right="240" w:hanging="452"/>
        <w:spacing w:after="0" w:line="23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$54 million increase in bad debt expense reflecting increased write-offs, particularly in the fourth quarter 2008, which included several high value account bankruptcies in the U.S., U.K. and Germany.</w:t>
      </w:r>
    </w:p>
    <w:p>
      <w:pPr>
        <w:spacing w:after="0" w:line="155"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Bad debt expense, which is included in SAG, increased $103 million in 2009 and reserves as a percentage of trade and finance receivables increased to 4.1% at December 31, 2009 as compared to 3.4% at December 31, 2008. These increases reflect the weak worldwide economic conditions and the increased level of customer bankruptcies in certain industry groups during the year. Bad debts provision and write-offs in the fourth quarter 2009 were flat as compared to the prior year.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Restructuring and Asset Impairment Charges</w:t>
      </w:r>
    </w:p>
    <w:p>
      <w:pPr>
        <w:spacing w:after="0" w:line="269"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For the years ended December 31, 2009, 2008 and 2007, we recorded net restructuring and asset impairment (credits)/charges of $(8) million, $429 million and $(6) million, respectively.</w:t>
      </w:r>
    </w:p>
    <w:p>
      <w:pPr>
        <w:ind w:left="460" w:hanging="452"/>
        <w:spacing w:after="0" w:line="236"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Restructuring activity was minimal in 2009, and the credit of $8 million primarily reflected changes in estimates for prior year’s initiatives.</w:t>
      </w:r>
    </w:p>
    <w:p>
      <w:pPr>
        <w:ind w:left="460" w:right="60" w:hanging="452"/>
        <w:spacing w:after="0" w:line="273"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2008 net charge included $357 million related to head count reductions of approximately 4,900 employees primarily in North America and Europe and lease termination and asset impairment charges of $72 million primarily reflecting the exit from certain leased and owned facilities resulting from a rationalization of our worldwide operating locations. These actions applied equally to both North America and Europe with approximately half focused on SAG reductions, approximately a third on gross margin improvements and the remainder focused on the optimization of RD&amp;E investments. Estimated savings from these initiatives were approximately $250 million in 2009.</w:t>
      </w:r>
    </w:p>
    <w:p>
      <w:pPr>
        <w:spacing w:after="0" w:line="11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14</w:t>
      </w:r>
    </w:p>
    <w:p>
      <w:pPr>
        <w:sectPr>
          <w:pgSz w:w="11900" w:h="16838" w:orient="portrait"/>
          <w:cols w:equalWidth="0" w:num="1">
            <w:col w:w="11420"/>
          </w:cols>
          <w:pgMar w:left="240" w:top="269" w:right="239" w:bottom="1440" w:gutter="0" w:footer="0" w:header="0"/>
        </w:sectPr>
      </w:pPr>
    </w:p>
    <w:bookmarkStart w:id="97" w:name="page98"/>
    <w:bookmarkEnd w:id="97"/>
    <w:p>
      <w:pPr>
        <w:ind w:left="460" w:right="700" w:hanging="452"/>
        <w:spacing w:after="0" w:line="23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Restructuring activity was minimal in 2007 and the related credit of $6 million primarily reflected changes in estimates for prior year’s severance costs.</w:t>
      </w:r>
    </w:p>
    <w:p>
      <w:pPr>
        <w:spacing w:after="0" w:line="15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restructuring reserve balance as of December 31, 2009, for all programs was $74 million, of which approximately $64 million is expected to be spent over the next twelve months. Refer to Note 9 - Restructuring and Asset Impairment Charges in the Consolidated Financial Statements for further information regarding our restructuring programs.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2010 Expected Actions</w:t>
      </w:r>
    </w:p>
    <w:p>
      <w:pPr>
        <w:spacing w:after="0" w:line="1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connection with our continued objective to align our cost base to current revenues, we expect to record pre-tax restructuring charges of approximately $280 million in 2010, of which $250 million is expected to be recorded in the first quarter. These actions are expected to impact all geographies and segments with approximately equal focus on SAG reductions, gross margin improvements and optimization of RD&amp;E investments. The restructuring is also expected to involve the rationalization of some of our facilities.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Acquisition-Related Costs</w:t>
      </w:r>
    </w:p>
    <w:p>
      <w:pPr>
        <w:spacing w:after="0" w:line="18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Acquisition-related costs of $72 million were incurred and expensed during 2009 in connection with our acquisition of ACS. $58 million of the costs relate to the write-off of fees associated with the Bridge Loan Facility commitment which was terminated as a result of securing permanent financing to fund the acquisition. The remainder of the costs represents transaction costs such as banking, legal and accounting fees, as well as some pre-integration costs such as external consulting services. Consistent with the new accounting guidance with respect to business combinations, adopted in 2009, all acquisition-related costs must be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Worldwide Employment</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Worldwide employment of 53,600 as of December 31, 2009 decreased approximately 3,500 from December 31, 2008, primarily reflecting restructuring reductions, partially offset by additional headcount related to GIS acquisitions. Worldwide employment was approximately 57,100 and 57,400 at December 31, 2008 and 2007,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Other Expenses, Net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net for the years ended December 31, 2009, 2008 and 2007 consisted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 w:type="dxa"/>
            <w:vAlign w:val="bottom"/>
            <w:vMerge w:val="restart"/>
          </w:tcPr>
          <w:p>
            <w:pPr>
              <w:spacing w:after="0"/>
              <w:rPr>
                <w:sz w:val="20"/>
                <w:szCs w:val="20"/>
                <w:color w:val="auto"/>
              </w:rPr>
            </w:pPr>
            <w:r>
              <w:rPr>
                <w:rFonts w:ascii="Arial" w:cs="Arial" w:eastAsia="Arial" w:hAnsi="Arial"/>
                <w:sz w:val="14"/>
                <w:szCs w:val="14"/>
                <w:color w:val="auto"/>
                <w:w w:val="96"/>
              </w:rPr>
              <w:t>(in millions)</w:t>
            </w:r>
          </w:p>
        </w:tc>
        <w:tc>
          <w:tcPr>
            <w:tcW w:w="758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7"/>
              </w:rPr>
              <w:t>Year Ended December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Borders>
              <w:bottom w:val="single" w:sz="8" w:color="auto"/>
            </w:tcBorders>
            <w:vMerge w:val="continue"/>
          </w:tcPr>
          <w:p>
            <w:pPr>
              <w:spacing w:after="0"/>
              <w:rPr>
                <w:sz w:val="12"/>
                <w:szCs w:val="12"/>
                <w:color w:val="auto"/>
              </w:rPr>
            </w:pPr>
          </w:p>
        </w:tc>
        <w:tc>
          <w:tcPr>
            <w:tcW w:w="758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96"/>
        </w:trPr>
        <w:tc>
          <w:tcPr>
            <w:tcW w:w="8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Non-financing interest expense</w:t>
            </w:r>
          </w:p>
        </w:tc>
        <w:tc>
          <w:tcPr>
            <w:tcW w:w="2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256</w:t>
            </w:r>
          </w:p>
        </w:tc>
        <w:tc>
          <w:tcPr>
            <w:tcW w:w="58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4"/>
              <w:spacing w:after="0" w:line="196" w:lineRule="exact"/>
              <w:rPr>
                <w:sz w:val="20"/>
                <w:szCs w:val="20"/>
                <w:color w:val="auto"/>
              </w:rPr>
            </w:pPr>
            <w:r>
              <w:rPr>
                <w:rFonts w:ascii="Arial" w:cs="Arial" w:eastAsia="Arial" w:hAnsi="Arial"/>
                <w:sz w:val="18"/>
                <w:szCs w:val="18"/>
                <w:color w:val="auto"/>
              </w:rPr>
              <w:t>262</w:t>
            </w:r>
          </w:p>
        </w:tc>
        <w:tc>
          <w:tcPr>
            <w:tcW w:w="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3"/>
        </w:trPr>
        <w:tc>
          <w:tcPr>
            <w:tcW w:w="8280" w:type="dxa"/>
            <w:vAlign w:val="bottom"/>
            <w:gridSpan w:val="2"/>
          </w:tcPr>
          <w:p>
            <w:pPr>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(35)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8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Gain on sales of businesses and assets</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8280" w:type="dxa"/>
            <w:vAlign w:val="bottom"/>
            <w:gridSpan w:val="2"/>
          </w:tcPr>
          <w:p>
            <w:pPr>
              <w:spacing w:after="0" w:line="202" w:lineRule="exact"/>
              <w:rPr>
                <w:sz w:val="20"/>
                <w:szCs w:val="20"/>
                <w:color w:val="auto"/>
              </w:rPr>
            </w:pPr>
            <w:r>
              <w:rPr>
                <w:rFonts w:ascii="Arial" w:cs="Arial" w:eastAsia="Arial" w:hAnsi="Arial"/>
                <w:sz w:val="18"/>
                <w:szCs w:val="18"/>
                <w:color w:val="auto"/>
              </w:rPr>
              <w:t>Currency losses, net</w:t>
            </w:r>
          </w:p>
        </w:tc>
        <w:tc>
          <w:tcPr>
            <w:tcW w:w="2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34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8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8280" w:type="dxa"/>
            <w:vAlign w:val="bottom"/>
            <w:gridSpan w:val="2"/>
          </w:tcPr>
          <w:p>
            <w:pPr>
              <w:spacing w:after="0" w:line="202" w:lineRule="exact"/>
              <w:rPr>
                <w:sz w:val="20"/>
                <w:szCs w:val="20"/>
                <w:color w:val="auto"/>
              </w:rPr>
            </w:pPr>
            <w:r>
              <w:rPr>
                <w:rFonts w:ascii="Arial" w:cs="Arial" w:eastAsia="Arial" w:hAnsi="Arial"/>
                <w:sz w:val="18"/>
                <w:szCs w:val="18"/>
                <w:color w:val="auto"/>
              </w:rPr>
              <w:t>Litigation matters</w:t>
            </w:r>
          </w:p>
        </w:tc>
        <w:tc>
          <w:tcPr>
            <w:tcW w:w="2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781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8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 Other expenses, net</w:t>
            </w:r>
          </w:p>
        </w:tc>
        <w:tc>
          <w:tcPr>
            <w:tcW w:w="2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16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8"/>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Total Other Expenses, Net</w:t>
            </w: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74"/>
              <w:spacing w:after="0"/>
              <w:rPr>
                <w:sz w:val="20"/>
                <w:szCs w:val="20"/>
                <w:color w:val="auto"/>
              </w:rPr>
            </w:pPr>
            <w:r>
              <w:rPr>
                <w:rFonts w:ascii="Arial" w:cs="Arial" w:eastAsia="Arial" w:hAnsi="Arial"/>
                <w:sz w:val="18"/>
                <w:szCs w:val="18"/>
                <w:b w:val="1"/>
                <w:bCs w:val="1"/>
                <w:color w:val="auto"/>
              </w:rPr>
              <w:t>1,087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4"/>
              <w:spacing w:after="0"/>
              <w:rPr>
                <w:sz w:val="20"/>
                <w:szCs w:val="20"/>
                <w:color w:val="auto"/>
              </w:rPr>
            </w:pPr>
            <w:r>
              <w:rPr>
                <w:rFonts w:ascii="Arial" w:cs="Arial" w:eastAsia="Arial" w:hAnsi="Arial"/>
                <w:sz w:val="18"/>
                <w:szCs w:val="18"/>
                <w:b w:val="1"/>
                <w:bCs w:val="1"/>
                <w:color w:val="auto"/>
              </w:rPr>
              <w:t>265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360"/>
        <w:spacing w:after="0" w:line="328" w:lineRule="auto"/>
        <w:rPr>
          <w:sz w:val="20"/>
          <w:szCs w:val="20"/>
          <w:color w:val="auto"/>
        </w:rPr>
      </w:pPr>
      <w:r>
        <w:rPr>
          <w:rFonts w:ascii="Arial" w:cs="Arial" w:eastAsia="Arial" w:hAnsi="Arial"/>
          <w:sz w:val="16"/>
          <w:szCs w:val="16"/>
          <w:b w:val="1"/>
          <w:bCs w:val="1"/>
          <w:color w:val="1269BC"/>
        </w:rPr>
        <w:t xml:space="preserve">Non-financing interest expense: </w:t>
      </w:r>
      <w:r>
        <w:rPr>
          <w:rFonts w:ascii="Arial" w:cs="Arial" w:eastAsia="Arial" w:hAnsi="Arial"/>
          <w:sz w:val="16"/>
          <w:szCs w:val="16"/>
          <w:color w:val="000000"/>
        </w:rPr>
        <w:t>2009 non-financing interest expense decreased compared to 2008, as interest expense associated with our</w:t>
      </w:r>
      <w:r>
        <w:rPr>
          <w:rFonts w:ascii="Arial" w:cs="Arial" w:eastAsia="Arial" w:hAnsi="Arial"/>
          <w:sz w:val="16"/>
          <w:szCs w:val="16"/>
          <w:b w:val="1"/>
          <w:bCs w:val="1"/>
          <w:color w:val="1269BC"/>
        </w:rPr>
        <w:t xml:space="preserve"> </w:t>
      </w:r>
      <w:r>
        <w:rPr>
          <w:rFonts w:ascii="Arial" w:cs="Arial" w:eastAsia="Arial" w:hAnsi="Arial"/>
          <w:sz w:val="16"/>
          <w:szCs w:val="16"/>
          <w:color w:val="000000"/>
        </w:rPr>
        <w:t>$2.0 billion Senior Note offering for the funding of the ACS acquisition was more than offset by lower interest rates on the remaining debt.</w:t>
      </w:r>
    </w:p>
    <w:p>
      <w:pPr>
        <w:spacing w:after="0" w:line="86"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In 2008, non-financing interest expense was flat compared to 2007, as the benefit of lower interest rates was offset by higher average non-financing debt balances.</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15</w:t>
      </w:r>
    </w:p>
    <w:p>
      <w:pPr>
        <w:sectPr>
          <w:pgSz w:w="11900" w:h="16838" w:orient="portrait"/>
          <w:cols w:equalWidth="0" w:num="1">
            <w:col w:w="11420"/>
          </w:cols>
          <w:pgMar w:left="240" w:top="291" w:right="239" w:bottom="1440" w:gutter="0" w:footer="0" w:header="0"/>
        </w:sectPr>
      </w:pPr>
    </w:p>
    <w:bookmarkStart w:id="98" w:name="page99"/>
    <w:bookmarkEnd w:id="98"/>
    <w:p>
      <w:pPr>
        <w:ind w:right="60"/>
        <w:spacing w:after="0" w:line="264" w:lineRule="auto"/>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Interest income: </w:t>
      </w:r>
      <w:r>
        <w:rPr>
          <w:rFonts w:ascii="Arial" w:cs="Arial" w:eastAsia="Arial" w:hAnsi="Arial"/>
          <w:sz w:val="18"/>
          <w:szCs w:val="18"/>
          <w:color w:val="000000"/>
        </w:rPr>
        <w:t>Interest income is derived primarily from our invested cash and cash equivalent balances. The decline in interest income in 2009</w:t>
      </w:r>
      <w:r>
        <w:rPr>
          <w:rFonts w:ascii="Arial" w:cs="Arial" w:eastAsia="Arial" w:hAnsi="Arial"/>
          <w:sz w:val="18"/>
          <w:szCs w:val="18"/>
          <w:b w:val="1"/>
          <w:bCs w:val="1"/>
          <w:color w:val="1269BC"/>
        </w:rPr>
        <w:t xml:space="preserve"> </w:t>
      </w:r>
      <w:r>
        <w:rPr>
          <w:rFonts w:ascii="Arial" w:cs="Arial" w:eastAsia="Arial" w:hAnsi="Arial"/>
          <w:sz w:val="18"/>
          <w:szCs w:val="18"/>
          <w:color w:val="000000"/>
        </w:rPr>
        <w:t>and 2008 was primarily due to lower average cash balances and rates of return.</w:t>
      </w:r>
    </w:p>
    <w:p>
      <w:pPr>
        <w:spacing w:after="0" w:line="11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1269BC"/>
        </w:rPr>
        <w:t xml:space="preserve">Gain on sales of businesses and assets: </w:t>
      </w:r>
      <w:r>
        <w:rPr>
          <w:rFonts w:ascii="Arial" w:cs="Arial" w:eastAsia="Arial" w:hAnsi="Arial"/>
          <w:sz w:val="18"/>
          <w:szCs w:val="18"/>
          <w:color w:val="000000"/>
        </w:rPr>
        <w:t>2009 and 2008 gain on sales of business and assets primarily consisted of the sales of certain surplus</w:t>
      </w:r>
      <w:r>
        <w:rPr>
          <w:rFonts w:ascii="Arial" w:cs="Arial" w:eastAsia="Arial" w:hAnsi="Arial"/>
          <w:sz w:val="18"/>
          <w:szCs w:val="18"/>
          <w:b w:val="1"/>
          <w:bCs w:val="1"/>
          <w:color w:val="1269BC"/>
        </w:rPr>
        <w:t xml:space="preserve"> </w:t>
      </w:r>
      <w:r>
        <w:rPr>
          <w:rFonts w:ascii="Arial" w:cs="Arial" w:eastAsia="Arial" w:hAnsi="Arial"/>
          <w:sz w:val="18"/>
          <w:szCs w:val="18"/>
          <w:color w:val="000000"/>
        </w:rPr>
        <w:t>facilities in Latin America.</w:t>
      </w:r>
    </w:p>
    <w:p>
      <w:pPr>
        <w:spacing w:after="0" w:line="112"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1269BC"/>
        </w:rPr>
        <w:t xml:space="preserve">Currency losses, net: </w:t>
      </w:r>
      <w:r>
        <w:rPr>
          <w:rFonts w:ascii="Arial" w:cs="Arial" w:eastAsia="Arial" w:hAnsi="Arial"/>
          <w:sz w:val="18"/>
          <w:szCs w:val="18"/>
          <w:color w:val="000000"/>
        </w:rPr>
        <w:t>Currency losses primarily result from the re-measurement of foreign currency-denominated assets and liabilities, the cost of</w:t>
      </w:r>
      <w:r>
        <w:rPr>
          <w:rFonts w:ascii="Arial" w:cs="Arial" w:eastAsia="Arial" w:hAnsi="Arial"/>
          <w:sz w:val="18"/>
          <w:szCs w:val="18"/>
          <w:b w:val="1"/>
          <w:bCs w:val="1"/>
          <w:color w:val="1269BC"/>
        </w:rPr>
        <w:t xml:space="preserve"> </w:t>
      </w:r>
      <w:r>
        <w:rPr>
          <w:rFonts w:ascii="Arial" w:cs="Arial" w:eastAsia="Arial" w:hAnsi="Arial"/>
          <w:sz w:val="18"/>
          <w:szCs w:val="18"/>
          <w:color w:val="000000"/>
        </w:rPr>
        <w:t>hedging foreign currency-denominated assets and liabilities, the mark-to-market of foreign exchange contracts utilized to hedge those foreign currency-denominated assets and liabilities and the mark-to-market impact of hedges of anticipated transactions, primarily future inventory purchases, for those that we do not apply cash flow hedge accounting treatment.</w:t>
      </w:r>
    </w:p>
    <w:p>
      <w:pPr>
        <w:spacing w:after="0" w:line="153"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The 2009 currency losses were primarily due to the significant movement in exchange rates among the U.S. Dollar, Euro and Yen in the first quarter of 2009, as well as the increased cost of hedging, particularly in developing markets.</w:t>
      </w:r>
    </w:p>
    <w:p>
      <w:pPr>
        <w:spacing w:after="0" w:line="155"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The 2008 currency losses were primarily due to net re-measurement losses associated with our Yen-denominated payables, foreign currency denominated assets and liabilities in our developing markets and the cost of hedging. The currency losses on Yen-denominated payables were largely limited to the first quarter 2008 as a result of the significant and rapid weakening of the U.S. Dollar and Euro versus the Yen.</w:t>
      </w:r>
    </w:p>
    <w:p>
      <w:pPr>
        <w:spacing w:after="0" w:line="102"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b w:val="1"/>
          <w:bCs w:val="1"/>
          <w:color w:val="1269BC"/>
        </w:rPr>
        <w:t xml:space="preserve">Amortization of intangible assets: </w:t>
      </w:r>
      <w:r>
        <w:rPr>
          <w:rFonts w:ascii="Arial" w:cs="Arial" w:eastAsia="Arial" w:hAnsi="Arial"/>
          <w:sz w:val="18"/>
          <w:szCs w:val="18"/>
          <w:color w:val="000000"/>
        </w:rPr>
        <w:t>The increase in 2009 and 2008 amortization as compared to prior years primarily reflects the full-year</w:t>
      </w:r>
      <w:r>
        <w:rPr>
          <w:rFonts w:ascii="Arial" w:cs="Arial" w:eastAsia="Arial" w:hAnsi="Arial"/>
          <w:sz w:val="18"/>
          <w:szCs w:val="18"/>
          <w:b w:val="1"/>
          <w:bCs w:val="1"/>
          <w:color w:val="1269BC"/>
        </w:rPr>
        <w:t xml:space="preserve"> </w:t>
      </w:r>
      <w:r>
        <w:rPr>
          <w:rFonts w:ascii="Arial" w:cs="Arial" w:eastAsia="Arial" w:hAnsi="Arial"/>
          <w:sz w:val="18"/>
          <w:szCs w:val="18"/>
          <w:color w:val="000000"/>
        </w:rPr>
        <w:t>amortization of the assets acquired as part of our recent acquisitions.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 xml:space="preserve">Litigation matters: </w:t>
      </w:r>
      <w:r>
        <w:rPr>
          <w:rFonts w:ascii="Arial" w:cs="Arial" w:eastAsia="Arial" w:hAnsi="Arial"/>
          <w:sz w:val="18"/>
          <w:szCs w:val="18"/>
          <w:color w:val="000000"/>
        </w:rPr>
        <w:t>In 2008 legal matters consisted of the following:</w:t>
      </w:r>
    </w:p>
    <w:p>
      <w:pPr>
        <w:spacing w:after="0" w:line="18" w:lineRule="exact"/>
        <w:rPr>
          <w:sz w:val="20"/>
          <w:szCs w:val="20"/>
          <w:color w:val="auto"/>
        </w:rPr>
      </w:pPr>
    </w:p>
    <w:p>
      <w:pPr>
        <w:ind w:left="460" w:right="500" w:hanging="452"/>
        <w:spacing w:after="0" w:line="234"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$721 million reflecting provisions for the $670 million court approved settlement of </w:t>
      </w:r>
      <w:r>
        <w:rPr>
          <w:rFonts w:ascii="Arial" w:cs="Arial" w:eastAsia="Arial" w:hAnsi="Arial"/>
          <w:sz w:val="18"/>
          <w:szCs w:val="18"/>
          <w:i w:val="1"/>
          <w:iCs w:val="1"/>
          <w:color w:val="auto"/>
        </w:rPr>
        <w:t>Carlson v. Xerox Corporation</w:t>
      </w:r>
      <w:r>
        <w:rPr>
          <w:rFonts w:ascii="Arial" w:cs="Arial" w:eastAsia="Arial" w:hAnsi="Arial"/>
          <w:sz w:val="18"/>
          <w:szCs w:val="18"/>
          <w:color w:val="auto"/>
        </w:rPr>
        <w:t xml:space="preserve"> (“Carlson”) and other pending securities-related cases, net of expected insurance recoveries. On January 14, 2009, the United States Court for the District of Connecticut entered a Final Order and Judgment approving the settlement of the Carlson litigation.</w:t>
      </w:r>
    </w:p>
    <w:p>
      <w:pPr>
        <w:spacing w:after="0" w:line="2" w:lineRule="exact"/>
        <w:rPr>
          <w:rFonts w:ascii="Arial" w:cs="Arial" w:eastAsia="Arial" w:hAnsi="Arial"/>
          <w:sz w:val="18"/>
          <w:szCs w:val="18"/>
          <w:color w:val="auto"/>
        </w:rPr>
      </w:pPr>
    </w:p>
    <w:p>
      <w:pPr>
        <w:jc w:val="both"/>
        <w:ind w:left="460" w:right="20" w:hanging="452"/>
        <w:spacing w:after="0" w:line="234"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$36 million for probable losses on Brazilian labor-related contingencies. Following an assessment of the most recent trend in the outcomes of these matters, we reassessed the probable estimated loss and, as a result, recorded an additional reserve of $36 million in the fourth quarter of 2008.</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$24 million associated with probable losses from various other legal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16 – Contingencies in the Consolidated Financial Statements for additional information regarding litigation against the Company.</w:t>
      </w:r>
    </w:p>
    <w:p>
      <w:pPr>
        <w:spacing w:after="0" w:line="13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1269BC"/>
        </w:rPr>
        <w:t xml:space="preserve">All other expenses, net: </w:t>
      </w:r>
      <w:r>
        <w:rPr>
          <w:rFonts w:ascii="Arial" w:cs="Arial" w:eastAsia="Arial" w:hAnsi="Arial"/>
          <w:sz w:val="18"/>
          <w:szCs w:val="18"/>
          <w:color w:val="000000"/>
        </w:rPr>
        <w:t>All Other expenses in 2009 were $19 million higher than the prior year primarily due to fees associated with the sale of</w:t>
      </w:r>
      <w:r>
        <w:rPr>
          <w:rFonts w:ascii="Arial" w:cs="Arial" w:eastAsia="Arial" w:hAnsi="Arial"/>
          <w:sz w:val="18"/>
          <w:szCs w:val="18"/>
          <w:b w:val="1"/>
          <w:bCs w:val="1"/>
          <w:color w:val="1269BC"/>
        </w:rPr>
        <w:t xml:space="preserve"> </w:t>
      </w:r>
      <w:r>
        <w:rPr>
          <w:rFonts w:ascii="Arial" w:cs="Arial" w:eastAsia="Arial" w:hAnsi="Arial"/>
          <w:sz w:val="18"/>
          <w:szCs w:val="18"/>
          <w:color w:val="000000"/>
        </w:rPr>
        <w:t>receivables, as well as an increase in interest expense related to Brazil tax and labor contingencies.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 w:type="dxa"/>
            <w:vAlign w:val="bottom"/>
            <w:vMerge w:val="restart"/>
          </w:tcPr>
          <w:p>
            <w:pPr>
              <w:spacing w:after="0"/>
              <w:rPr>
                <w:sz w:val="20"/>
                <w:szCs w:val="20"/>
                <w:color w:val="auto"/>
              </w:rPr>
            </w:pPr>
            <w:r>
              <w:rPr>
                <w:rFonts w:ascii="Arial" w:cs="Arial" w:eastAsia="Arial" w:hAnsi="Arial"/>
                <w:sz w:val="14"/>
                <w:szCs w:val="14"/>
                <w:color w:val="auto"/>
                <w:w w:val="96"/>
              </w:rPr>
              <w:t>(in millions)</w:t>
            </w:r>
          </w:p>
        </w:tc>
        <w:tc>
          <w:tcPr>
            <w:tcW w:w="5860" w:type="dxa"/>
            <w:vAlign w:val="bottom"/>
            <w:vMerge w:val="restart"/>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Borders>
              <w:bottom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220" w:type="dxa"/>
            <w:vAlign w:val="bottom"/>
            <w:tcBorders>
              <w:bottom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96"/>
        </w:trPr>
        <w:tc>
          <w:tcPr>
            <w:tcW w:w="6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Pre-tax income (loss)</w:t>
            </w:r>
          </w:p>
        </w:tc>
        <w:tc>
          <w:tcPr>
            <w:tcW w:w="1080" w:type="dxa"/>
            <w:vAlign w:val="bottom"/>
            <w:shd w:val="clear" w:color="auto" w:fill="CCEEFF"/>
          </w:tcPr>
          <w:p>
            <w:pPr>
              <w:jc w:val="right"/>
              <w:ind w:right="217"/>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627</w:t>
            </w:r>
          </w:p>
        </w:tc>
        <w:tc>
          <w:tcPr>
            <w:tcW w:w="10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97"/>
              <w:spacing w:after="0" w:line="196" w:lineRule="exact"/>
              <w:rPr>
                <w:sz w:val="20"/>
                <w:szCs w:val="20"/>
                <w:color w:val="auto"/>
              </w:rPr>
            </w:pPr>
            <w:r>
              <w:rPr>
                <w:rFonts w:ascii="Arial" w:cs="Arial" w:eastAsia="Arial" w:hAnsi="Arial"/>
                <w:sz w:val="18"/>
                <w:szCs w:val="18"/>
                <w:color w:val="auto"/>
              </w:rPr>
              <w:t>(79)</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7"/>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 (benefit)</w:t>
            </w:r>
          </w:p>
        </w:tc>
        <w:tc>
          <w:tcPr>
            <w:tcW w:w="108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152</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(231)</w:t>
            </w:r>
          </w:p>
        </w:tc>
        <w:tc>
          <w:tcPr>
            <w:tcW w:w="680" w:type="dxa"/>
            <w:vAlign w:val="bottom"/>
          </w:tcPr>
          <w:p>
            <w:pPr>
              <w:spacing w:after="0"/>
              <w:rPr>
                <w:sz w:val="17"/>
                <w:szCs w:val="17"/>
                <w:color w:val="auto"/>
              </w:rPr>
            </w:pPr>
          </w:p>
        </w:tc>
        <w:tc>
          <w:tcPr>
            <w:tcW w:w="122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10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24.2 %</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292.4 %</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16</w:t>
      </w:r>
    </w:p>
    <w:p>
      <w:pPr>
        <w:sectPr>
          <w:pgSz w:w="11900" w:h="16838" w:orient="portrait"/>
          <w:cols w:equalWidth="0" w:num="1">
            <w:col w:w="11420"/>
          </w:cols>
          <w:pgMar w:left="240" w:top="269" w:right="239" w:bottom="1440" w:gutter="0" w:footer="0" w:header="0"/>
        </w:sectPr>
      </w:pPr>
    </w:p>
    <w:bookmarkStart w:id="99" w:name="page100"/>
    <w:bookmarkEnd w:id="99"/>
    <w:p>
      <w:pPr>
        <w:ind w:right="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2009 effective tax rate of 24.2% was lower than the U.S. statutory tax rate primarily reflecting the benefit to taxes from the geographical mix of income before taxes and the related effective tax rates in those jurisdictions, and the settlement of certain previously unrecognized tax benefits partially offset by a reduction in the utilization of foreign tax credits.</w:t>
      </w:r>
    </w:p>
    <w:p>
      <w:pPr>
        <w:spacing w:after="0" w:line="15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2008 effective tax rate of 292.4% reflected the tax benefits from certain discrete items including the net provision for litigation matters; the second, third and fourth quarter restructuring and asset impairment charges; the product line equipment write-off; and the settlement of certain previously unrecognized tax benefits. Excluding these items, the adjusted effective tax rate was 20.9%*. The adjusted 2008 effective tax rate was lower than the U.S. statutory tax rate primarily reflecting the benefit to taxes from the geographical mix of income before taxes and the related effective tax rates in those jurisdictions, the utilization of foreign tax credits and tax law changes.</w:t>
      </w:r>
    </w:p>
    <w:p>
      <w:pPr>
        <w:spacing w:after="0" w:line="157"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2007 effective tax rate of 27.2% was lower than the U.S. statutory rate primarily reflecting tax benefits from the geographical mix of income before taxes and the related effective tax rates in those jurisdictions and the utilization of foreign tax credits, as well as the resolution of other tax matters. These benefits were partially offset by changes in tax law.</w:t>
      </w:r>
    </w:p>
    <w:p>
      <w:pPr>
        <w:spacing w:after="0" w:line="15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Our effective tax rate will change based on nonrecurring events as well as recurring factors including the geographical mix of income before taxes and the related effective tax rates in those jurisdictions and available foreign tax credits. In addition, our effective tax rate will change based on discrete or other nonrecurring events (such as audit settlements) that may not be predictable. Including the results from ACS, we anticipate that our effective tax rate for 2010 will be approximately 32%, excluding the effects of any discrete events.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 Income and Other Taxes in the Consolidated Financial Statements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See the “Non-GAAP Measures” section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Equity in Net Income of Unconsolidated Affiliates</w:t>
      </w:r>
    </w:p>
    <w:p>
      <w:pPr>
        <w:spacing w:after="0" w:line="18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2009 equity in net income of unconsolidated affiliates of $41 million is principally related to our 25% share of Fuji Xerox income. The $72 million decrease from 2008 is primarily due to Fuji Xerox’s lower net income, which has been impacted by the worldwide economic weakness, and includes $46 million related to our share of Fuji Xerox after-tax restructuring costs.</w:t>
      </w:r>
    </w:p>
    <w:p>
      <w:pPr>
        <w:spacing w:after="0" w:line="15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2008 equity in net income of unconsolidated affiliates of $113 million increased by $16 million from 2007, primarily due to a $14 million reduction in our share of Fuji Xerox restructuring charges.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Subsequent Events</w:t>
      </w:r>
    </w:p>
    <w:p>
      <w:pPr>
        <w:spacing w:after="0" w:line="18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have operations in Venezuela where the U.S. Dollar is the functional currency. At December 31, 2009 our Venezuelan operations had approximately 90 million in net Bolivar-denominated monetary assets that were re-measured to U.S. Dollars at the official exchange rate of 2.15 Bolivars to the Dollar. In January 2010, Venezuela announced a devaluation of the Bolivar to an official rate of 4.30 Bolivars to the Dollar for our products. As a result of this devaluation, we expect to record a loss of approximately $21 million in the first quarter of 2010 for the re-measurement of our net Bolivar-denominated monetary assets. Other than the loss from re-measurement, we do not expect the devaluation to materially impact our results of operations or financial position in 2010 since we derive less than 0.5% of our total revenue from Venezuela and expect to take actions to lessen the effect of the devaluation.</w:t>
      </w:r>
    </w:p>
    <w:p>
      <w:pPr>
        <w:spacing w:after="0" w:line="15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On January 20, 2010, we acquired Irish Business Systems Limited (“IBS”) for approximately $31 million. This acquisition expands our reach into the small and mid-sized business (SMB) market in Ireland. IBS, with eight offices located throughout Ireland, is a managed print services provider and the largest independent supplier of digital imaging and printing solutions in Ireland.</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17</w:t>
      </w:r>
    </w:p>
    <w:p>
      <w:pPr>
        <w:sectPr>
          <w:pgSz w:w="11900" w:h="16838" w:orient="portrait"/>
          <w:cols w:equalWidth="0" w:num="1">
            <w:col w:w="11420"/>
          </w:cols>
          <w:pgMar w:left="240" w:top="291" w:right="239" w:bottom="1440" w:gutter="0" w:footer="0" w:header="0"/>
        </w:sectPr>
      </w:pPr>
    </w:p>
    <w:bookmarkStart w:id="100" w:name="page101"/>
    <w:bookmarkEnd w:id="100"/>
    <w:p>
      <w:pPr>
        <w:ind w:right="4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February 5, 2010, we completed the acquisition of ACS. Refer to Note 3-Acquisitions, Note 11-Debt and Note 17-Shareholders’ Equity for further information regarding the acquisition and associated funding for it.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Recent Accounting Pronouncements</w:t>
      </w:r>
    </w:p>
    <w:p>
      <w:pPr>
        <w:spacing w:after="0" w:line="188"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On January 1, 2009, we adopted SFAS No. 160 “Noncontrolling Interests in Consolidated Financial Statements – an amendment of ARB No. 51”, (Accounting Standards Codification</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Topic 810-10-65). This guidance requires that minority interests be renamed noncontrolling interests and be presented as a separate component of equity. In addition, the Company must report a consolidated net income (loss) measure that includes the amount attributable to such noncontrolling interests for all periods presented.</w:t>
      </w:r>
    </w:p>
    <w:p>
      <w:pPr>
        <w:spacing w:after="0" w:line="15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Refer to Note 1 - Summary of Significant Accounting Policies in the Consolidated Financial Statements for a description of all recent accounting pronouncements including the respective dates of adoption and the effects on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88"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following summarizes our cash flows for the three years ended December 31, 2009, as reported in our Consolidated Statements of Cash Flows in the accompanying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6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rPr>
              <w:t>2,208</w:t>
            </w:r>
          </w:p>
        </w:tc>
        <w:tc>
          <w:tcPr>
            <w:tcW w:w="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rPr>
              <w:t>939</w:t>
            </w:r>
          </w:p>
        </w:tc>
        <w:tc>
          <w:tcPr>
            <w:tcW w:w="3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1,871</w:t>
            </w:r>
          </w:p>
        </w:tc>
        <w:tc>
          <w:tcPr>
            <w:tcW w:w="3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1,269</w:t>
            </w:r>
          </w:p>
        </w:tc>
        <w:tc>
          <w:tcPr>
            <w:tcW w:w="4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03"/>
        </w:trPr>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(343)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(441)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w w:val="98"/>
              </w:rPr>
              <w:t>(1,612)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692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(619)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1,003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3"/>
        </w:trPr>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cash and cash equivalents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2,570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2,440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3"/>
        </w:trPr>
        <w:tc>
          <w:tcPr>
            <w:tcW w:w="5560" w:type="dxa"/>
            <w:vAlign w:val="bottom"/>
            <w:gridSpan w:val="3"/>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1,229</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1,099</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1,399</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130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at End of Year</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b w:val="1"/>
                <w:bCs w:val="1"/>
                <w:color w:val="auto"/>
              </w:rPr>
              <w:t>3,799</w:t>
            </w:r>
          </w:p>
        </w:tc>
        <w:tc>
          <w:tcPr>
            <w:tcW w:w="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b w:val="1"/>
                <w:bCs w:val="1"/>
                <w:color w:val="auto"/>
              </w:rPr>
              <w:t>1,229</w:t>
            </w: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rPr>
              <w:t>1,099</w:t>
            </w: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b w:val="1"/>
                <w:bCs w:val="1"/>
                <w:color w:val="auto"/>
              </w:rPr>
              <w:t>2,570</w:t>
            </w:r>
          </w:p>
        </w:tc>
        <w:tc>
          <w:tcPr>
            <w:tcW w:w="4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b w:val="1"/>
                <w:bCs w:val="1"/>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Cash Flows from Operating Activities</w:t>
      </w:r>
    </w:p>
    <w:p>
      <w:pPr>
        <w:spacing w:after="0" w:line="18"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Net cash provided by operating activities was $2,208 million for the year ended December 31, 2009. The $1,269 million increase from 2008 was primarily due to the following:</w:t>
      </w:r>
    </w:p>
    <w:p>
      <w:pPr>
        <w:ind w:left="460" w:hanging="452"/>
        <w:spacing w:after="0" w:line="236"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$587 million increase due to the absence of payments for securities-related litigation settlements.</w:t>
      </w:r>
    </w:p>
    <w:p>
      <w:pPr>
        <w:ind w:left="460" w:hanging="452"/>
        <w:spacing w:after="0" w:line="23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$433 million increase as a result of lower inventory levels reflecting aggressive supply chain actions in light of lower sales volume.</w:t>
      </w:r>
    </w:p>
    <w:p>
      <w:pPr>
        <w:ind w:left="460" w:right="700" w:hanging="452"/>
        <w:spacing w:after="0" w:line="23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$410 million increase from accounts receivables reflecting the benefits from sales of accounts receivables, lower revenue and strong collection effectiveness.</w:t>
      </w:r>
    </w:p>
    <w:p>
      <w:pPr>
        <w:spacing w:after="0" w:line="1" w:lineRule="exact"/>
        <w:rPr>
          <w:rFonts w:ascii="Arial" w:cs="Arial" w:eastAsia="Arial" w:hAnsi="Arial"/>
          <w:sz w:val="18"/>
          <w:szCs w:val="18"/>
          <w:color w:val="auto"/>
        </w:rPr>
      </w:pPr>
    </w:p>
    <w:p>
      <w:pPr>
        <w:ind w:left="460" w:right="160" w:hanging="452"/>
        <w:spacing w:after="0" w:line="23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$177 million increase due to lower contributions to our defined pension benefit plans. The lower contributions are primarily in the U.S. as no contributions were required due to the availability of prior years’ credit balances.</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$116 million increase due to lower net tax payments.</w:t>
      </w:r>
    </w:p>
    <w:p>
      <w:pPr>
        <w:ind w:left="460" w:hanging="452"/>
        <w:spacing w:after="0" w:line="23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$84 million increase due to higher net run-off of finance receivables.</w:t>
      </w:r>
    </w:p>
    <w:p>
      <w:pPr>
        <w:ind w:left="460" w:hanging="452"/>
        <w:spacing w:after="0" w:line="23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$64 million increase due to lower placements of equipment on operating leases reflecting lower install activity.</w:t>
      </w:r>
    </w:p>
    <w:p>
      <w:pPr>
        <w:ind w:left="460" w:hanging="452"/>
        <w:spacing w:after="0" w:line="23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$440 million decrease in pre-tax income before litigation, restructuring and acquisition costs.</w:t>
      </w: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$139 million decrease due to higher restructuring payments related to prior years’ actions.</w:t>
      </w:r>
    </w:p>
    <w:p>
      <w:pPr>
        <w:spacing w:after="0" w:line="1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18</w:t>
      </w:r>
    </w:p>
    <w:p>
      <w:pPr>
        <w:sectPr>
          <w:pgSz w:w="11900" w:h="16838" w:orient="portrait"/>
          <w:cols w:equalWidth="0" w:num="1">
            <w:col w:w="11420"/>
          </w:cols>
          <w:pgMar w:left="240" w:top="291" w:right="239" w:bottom="1440" w:gutter="0" w:footer="0" w:header="0"/>
        </w:sectPr>
      </w:pPr>
    </w:p>
    <w:bookmarkStart w:id="101" w:name="page102"/>
    <w:bookmarkEnd w:id="101"/>
    <w:p>
      <w:pPr>
        <w:ind w:left="460" w:right="620" w:hanging="452"/>
        <w:spacing w:after="0" w:line="23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$54 million decrease due to lower accounts payable and accrued compensation primarily related to lower purchases and the timing of payments to suppliers.</w:t>
      </w:r>
    </w:p>
    <w:p>
      <w:pPr>
        <w:spacing w:after="0" w:line="155" w:lineRule="exact"/>
        <w:rPr>
          <w:sz w:val="20"/>
          <w:szCs w:val="20"/>
          <w:color w:val="auto"/>
        </w:rPr>
      </w:pPr>
    </w:p>
    <w:p>
      <w:pPr>
        <w:ind w:right="500"/>
        <w:spacing w:after="0" w:line="234" w:lineRule="auto"/>
        <w:rPr>
          <w:sz w:val="20"/>
          <w:szCs w:val="20"/>
          <w:color w:val="auto"/>
        </w:rPr>
      </w:pPr>
      <w:r>
        <w:rPr>
          <w:rFonts w:ascii="Arial" w:cs="Arial" w:eastAsia="Arial" w:hAnsi="Arial"/>
          <w:sz w:val="18"/>
          <w:szCs w:val="18"/>
          <w:color w:val="auto"/>
        </w:rPr>
        <w:t>Net cash provided by operating activities was $939 million for the year ended December 31, 2008. The $932 million decrease from 2007 was primarily due to the following:</w:t>
      </w:r>
    </w:p>
    <w:p>
      <w:pPr>
        <w:ind w:left="460" w:hanging="452"/>
        <w:spacing w:after="0" w:line="236"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$615 million decrease due to net payments for the settlement of the securities-related litigation.</w:t>
      </w:r>
    </w:p>
    <w:p>
      <w:pPr>
        <w:ind w:left="460" w:hanging="452"/>
        <w:spacing w:after="0" w:line="23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$330 million decrease in pre-tax income before litigation and restructuring.</w:t>
      </w:r>
    </w:p>
    <w:p>
      <w:pPr>
        <w:ind w:left="460" w:hanging="452"/>
        <w:spacing w:after="0" w:line="23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$90 million decrease due to higher net income tax payments, primarily resulting from the absence of prior year tax refunds.</w:t>
      </w:r>
    </w:p>
    <w:p>
      <w:pPr>
        <w:ind w:left="460" w:hanging="452"/>
        <w:spacing w:after="0" w:line="23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$74 million decrease primarily due to lower benefit and compensation accruals.</w:t>
      </w:r>
    </w:p>
    <w:p>
      <w:pPr>
        <w:ind w:left="460" w:hanging="452"/>
        <w:spacing w:after="0" w:line="23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$71 million decrease due to higher inventory levels as a result of lower equipment and supplies sales in 2008.</w:t>
      </w:r>
    </w:p>
    <w:p>
      <w:pPr>
        <w:ind w:left="460" w:hanging="452"/>
        <w:spacing w:after="0" w:line="23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$136 million increase from accounts receivable due to strong collection effectiveness throughout 2008.</w:t>
      </w: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$107 million increase from derivatives, primarily due to the termination of certain interest rate swaps in fourth quarter 2008.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Cash Flows from Investing Activities</w:t>
      </w:r>
    </w:p>
    <w:p>
      <w:pPr>
        <w:spacing w:after="0" w:line="18"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Net cash used in investing activities was $343 million for the year ended December 31, 2009. The $98 million increase from 2008 was primarily due to the following:</w:t>
      </w:r>
    </w:p>
    <w:p>
      <w:pPr>
        <w:ind w:left="460" w:hanging="452"/>
        <w:spacing w:after="0" w:line="236"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$142 million increase due to lower capital expenditures (including internal use software), reflecting very stringent spending controls.</w:t>
      </w: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$21 million decrease due to lower cash proceeds from asset sales.</w:t>
      </w:r>
    </w:p>
    <w:p>
      <w:pPr>
        <w:spacing w:after="0" w:line="158"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Net cash used in investing activities was $441 million for the year ended December 31, 2008. The $1,171 million increase from 2007 was primarily due to the following:</w:t>
      </w:r>
    </w:p>
    <w:p>
      <w:pPr>
        <w:spacing w:after="0" w:line="2" w:lineRule="exact"/>
        <w:rPr>
          <w:sz w:val="20"/>
          <w:szCs w:val="20"/>
          <w:color w:val="auto"/>
        </w:rPr>
      </w:pPr>
    </w:p>
    <w:p>
      <w:pPr>
        <w:ind w:left="460" w:hanging="452"/>
        <w:spacing w:after="0" w:line="23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$1,460 million increase due to less cash used for acquisitions. 2008 acquisitions included $138 million for Veenman B.V. and Saxon Business Systems as compared to $1,568 million for GIS and its additional acquisitions in the prior year.</w:t>
      </w:r>
    </w:p>
    <w:p>
      <w:pPr>
        <w:spacing w:after="0" w:line="1" w:lineRule="exact"/>
        <w:rPr>
          <w:rFonts w:ascii="Arial" w:cs="Arial" w:eastAsia="Arial" w:hAnsi="Arial"/>
          <w:sz w:val="18"/>
          <w:szCs w:val="18"/>
          <w:color w:val="auto"/>
        </w:rPr>
      </w:pPr>
    </w:p>
    <w:p>
      <w:pPr>
        <w:ind w:left="460" w:right="100" w:hanging="452"/>
        <w:spacing w:after="0" w:line="23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$192 million decrease due to lower funds from escrow and other restricted investments in 2008. The prior year reflected funds received from the run-off of our secured borrowing programs.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$134 million decrease in other investing cash flows due to the absence of proceeds from liquidations of short-term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Cash Flows from Financing Activities</w:t>
      </w:r>
    </w:p>
    <w:p>
      <w:pPr>
        <w:spacing w:after="0" w:line="18" w:lineRule="exact"/>
        <w:rPr>
          <w:sz w:val="20"/>
          <w:szCs w:val="20"/>
          <w:color w:val="auto"/>
        </w:rPr>
      </w:pPr>
    </w:p>
    <w:p>
      <w:pPr>
        <w:ind w:right="440"/>
        <w:spacing w:after="0" w:line="234" w:lineRule="auto"/>
        <w:rPr>
          <w:sz w:val="20"/>
          <w:szCs w:val="20"/>
          <w:color w:val="auto"/>
        </w:rPr>
      </w:pPr>
      <w:r>
        <w:rPr>
          <w:rFonts w:ascii="Arial" w:cs="Arial" w:eastAsia="Arial" w:hAnsi="Arial"/>
          <w:sz w:val="18"/>
          <w:szCs w:val="18"/>
          <w:color w:val="auto"/>
        </w:rPr>
        <w:t>Net cash provided by financing activities was $692 million for the year ended December 31, 2009. The $1,003 million increase from 2008 was primarily due to the following:</w:t>
      </w:r>
    </w:p>
    <w:p>
      <w:pPr>
        <w:ind w:left="460" w:hanging="452"/>
        <w:spacing w:after="0" w:line="236"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$812 million increase because no purchases were made under our share repurchase program during 2009.</w:t>
      </w:r>
    </w:p>
    <w:p>
      <w:pPr>
        <w:ind w:left="460" w:hanging="452"/>
        <w:spacing w:after="0" w:line="23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$170 million increase from lower net repayments on secured debt.</w:t>
      </w:r>
    </w:p>
    <w:p>
      <w:pPr>
        <w:ind w:left="460" w:hanging="452"/>
        <w:spacing w:after="0" w:line="23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$21 million increase due to lower share repurchases related to employee withholding taxes on stock-based compensation vesting.</w:t>
      </w:r>
    </w:p>
    <w:p>
      <w:pPr>
        <w:ind w:left="460" w:right="20" w:hanging="452"/>
        <w:spacing w:after="0" w:line="236"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$3 million decrease due to lower net debt proceeds. 2009 reflects the repayment of $1,029 million for Senior Notes due in 2009, net payments of $448 million for Zero Coupon Notes, net payments of $246 million on the Credit Facility, net payments of $35 million primarily for foreign short-term borrowings and $44 million of debt issuance costs for the Bridge Loan Facility commitment, which was recently terminated. These payments were partially offset by net proceeds of $2,725 million from the issuance of Senior Notes in May and December 2009. 2008 reflects the issuance of $1.4 billion in Senior Notes, $250 million in Zero Coupon Notes and net payments of $354 million on the Credit Facility and $370 million on other debt.</w:t>
      </w:r>
    </w:p>
    <w:p>
      <w:pPr>
        <w:spacing w:after="0" w:line="14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19</w:t>
      </w:r>
    </w:p>
    <w:p>
      <w:pPr>
        <w:sectPr>
          <w:pgSz w:w="11900" w:h="16838" w:orient="portrait"/>
          <w:cols w:equalWidth="0" w:num="1">
            <w:col w:w="11420"/>
          </w:cols>
          <w:pgMar w:left="240" w:top="291" w:right="239" w:bottom="1440" w:gutter="0" w:footer="0" w:header="0"/>
        </w:sectPr>
      </w:pPr>
    </w:p>
    <w:bookmarkStart w:id="102" w:name="page103"/>
    <w:bookmarkEnd w:id="102"/>
    <w:p>
      <w:pPr>
        <w:ind w:right="22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cash used in financing activities was $311 million for the year ended December 31, 2008. The $308 million increase from 2007 was primarily due to the following:</w:t>
      </w:r>
    </w:p>
    <w:p>
      <w:pPr>
        <w:spacing w:after="0" w:line="2" w:lineRule="exact"/>
        <w:rPr>
          <w:sz w:val="20"/>
          <w:szCs w:val="20"/>
          <w:color w:val="auto"/>
        </w:rPr>
      </w:pPr>
    </w:p>
    <w:p>
      <w:pPr>
        <w:ind w:left="460" w:right="80" w:hanging="452"/>
        <w:spacing w:after="0" w:line="23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$1,642 million increase from lower net repayments on secured debt. 2007 reflects termination of our secured financing programs with GE in the United Kingdom and Canada of $634 million and Merrill Lynch in France for $469 million as well as the repayment of secured borrowings to DLL of $153 million. The remainder reflects lower payments associated with our GE U.S. secured borrowings.</w:t>
      </w:r>
    </w:p>
    <w:p>
      <w:pPr>
        <w:spacing w:after="0" w:line="2" w:lineRule="exact"/>
        <w:rPr>
          <w:rFonts w:ascii="Arial" w:cs="Arial" w:eastAsia="Arial" w:hAnsi="Arial"/>
          <w:sz w:val="18"/>
          <w:szCs w:val="18"/>
          <w:color w:val="auto"/>
        </w:rPr>
      </w:pPr>
    </w:p>
    <w:p>
      <w:pPr>
        <w:ind w:left="460" w:right="300" w:hanging="452"/>
        <w:spacing w:after="0" w:line="23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$888 million decrease from lower net cash proceeds from unsecured debt. 2008 reflects the issuance of $1.4 billion in Senior Notes, $250 million from a private placement borrowing and net payments of $354 million on the Credit Facility and $370 million on other debt. 2007 reflects the issuance of $1.1 billion Senior Notes, $400 million from private placement borrowings and net proceeds of $600 million on the Credit Facility, offset by net payments of $286 million on other debt.</w:t>
      </w:r>
    </w:p>
    <w:p>
      <w:pPr>
        <w:spacing w:after="0" w:line="3"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$180 million decrease due to additional purchases under our share repurchase program.</w:t>
      </w:r>
    </w:p>
    <w:p>
      <w:pPr>
        <w:ind w:left="460" w:hanging="452"/>
        <w:spacing w:after="0" w:line="23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$154 million decrease due to common stock dividend payments.</w:t>
      </w:r>
    </w:p>
    <w:p>
      <w:pPr>
        <w:ind w:left="460" w:right="260" w:hanging="452"/>
        <w:spacing w:after="0" w:line="23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$79 million decrease due to lower proceeds from the issuance of common stock, reflecting a decrease in stock option exercises as well as lower related tax benefits.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$33 million decrease due to share repurchases related to employee withholding taxes on stock-based compensation vesting.</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Financing Activities, Credit Facility and Capital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Customer Financing Activities</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provide lease equipment financing to the majority of our customers. Our lease contracts permit customers to pay for equipment over time rather than at the date of installation. Our investment in these contracts is reflected in Total finance assets, net. We currently fund our customer financing activity through cash generated from operations, cash on hand, borrowings under bank credit facilities and proceeds from capital markets offerings.</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have arrangements in certain international countries and domestically through GIS, where third party financial institutions independently provide lease financing, on a non-recourse basis to Xerox, directly to our customers. In these arrangements, we sell and transfer title of the equipment to these financial institutions. Generally, we have no continuing ownership rights in the equipment subsequent to its sale; therefore, the unrelated third party finance receivable and debt are not included in our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Total finance assets associated with our lease and finance operations as of December 31, 2009 and 2008: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4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4"/>
                <w:szCs w:val="14"/>
                <w:color w:val="auto"/>
              </w:rPr>
            </w:pPr>
          </w:p>
        </w:tc>
        <w:tc>
          <w:tcPr>
            <w:tcW w:w="980" w:type="dxa"/>
            <w:vAlign w:val="bottom"/>
          </w:tcPr>
          <w:p>
            <w:pPr>
              <w:jc w:val="right"/>
              <w:ind w:right="417"/>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477"/>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color w:val="auto"/>
              </w:rPr>
              <w:t xml:space="preserve">Total Finance receivables, net </w:t>
            </w:r>
            <w:r>
              <w:rPr>
                <w:rFonts w:ascii="Arial" w:cs="Arial" w:eastAsia="Arial" w:hAnsi="Arial"/>
                <w:sz w:val="22"/>
                <w:szCs w:val="22"/>
                <w:color w:val="auto"/>
                <w:vertAlign w:val="superscript"/>
              </w:rPr>
              <w:t>(1)</w:t>
            </w:r>
          </w:p>
        </w:tc>
        <w:tc>
          <w:tcPr>
            <w:tcW w:w="34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7,027</w:t>
            </w:r>
          </w:p>
        </w:tc>
        <w:tc>
          <w:tcPr>
            <w:tcW w:w="8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7"/>
              <w:spacing w:after="0" w:line="196" w:lineRule="exact"/>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03"/>
        </w:trPr>
        <w:tc>
          <w:tcPr>
            <w:tcW w:w="8240" w:type="dxa"/>
            <w:vAlign w:val="bottom"/>
            <w:gridSpan w:val="3"/>
          </w:tcPr>
          <w:p>
            <w:pPr>
              <w:spacing w:after="0" w:line="202" w:lineRule="exact"/>
              <w:rPr>
                <w:sz w:val="20"/>
                <w:szCs w:val="20"/>
                <w:color w:val="auto"/>
              </w:rPr>
            </w:pPr>
            <w:r>
              <w:rPr>
                <w:rFonts w:ascii="Arial" w:cs="Arial" w:eastAsia="Arial" w:hAnsi="Arial"/>
                <w:sz w:val="18"/>
                <w:szCs w:val="18"/>
                <w:color w:val="auto"/>
              </w:rPr>
              <w:t>Equipment on operating leases, net</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551</w:t>
            </w:r>
          </w:p>
        </w:tc>
        <w:tc>
          <w:tcPr>
            <w:tcW w:w="4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7"/>
              <w:spacing w:after="0" w:line="202" w:lineRule="exact"/>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Finance Assets, net</w:t>
            </w:r>
          </w:p>
        </w:tc>
        <w:tc>
          <w:tcPr>
            <w:tcW w:w="3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7,578</w:t>
            </w: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b w:val="1"/>
                <w:bCs w:val="1"/>
                <w:color w:val="auto"/>
              </w:rPr>
              <w:t>7,872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40" w:hanging="332"/>
        <w:spacing w:after="0" w:line="180" w:lineRule="auto"/>
        <w:tabs>
          <w:tab w:leader="none" w:pos="34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Includes (i) billed portion of finance receivables, net, (ii) finance receivables, net and (iii) finance receivables due after one year, net as included in the Consolidated Balance Sheets as of December 31, 2009 and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$294 million in Total finance assets, net includes favorable currency of $224 million.</w:t>
      </w:r>
    </w:p>
    <w:p>
      <w:pPr>
        <w:spacing w:after="0" w:line="1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20</w:t>
      </w:r>
    </w:p>
    <w:p>
      <w:pPr>
        <w:sectPr>
          <w:pgSz w:w="11900" w:h="16838" w:orient="portrait"/>
          <w:cols w:equalWidth="0" w:num="1">
            <w:col w:w="11420"/>
          </w:cols>
          <w:pgMar w:left="240" w:top="291" w:right="239" w:bottom="1440" w:gutter="0" w:footer="0" w:header="0"/>
        </w:sectPr>
      </w:pPr>
    </w:p>
    <w:bookmarkStart w:id="103" w:name="page104"/>
    <w:bookmarkEnd w:id="103"/>
    <w:p>
      <w:pPr>
        <w:ind w:right="20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maintain a certain level of debt, referred to as financing debt, in order to support our investment in our lease contracts. We maintain an assumed 7:1 leverage ratio of debt to equity as compared to our finance assets for this financing aspect of our business. Based on this leverage, the following represents the breakdown of Total debt between financing debt and core debt as of December 31, 2009 and 2008: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42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4"/>
                <w:szCs w:val="14"/>
                <w:color w:val="auto"/>
              </w:rPr>
            </w:pPr>
          </w:p>
        </w:tc>
        <w:tc>
          <w:tcPr>
            <w:tcW w:w="1040" w:type="dxa"/>
            <w:vAlign w:val="bottom"/>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417"/>
              <w:spacing w:after="0"/>
              <w:rPr>
                <w:sz w:val="20"/>
                <w:szCs w:val="20"/>
                <w:color w:val="auto"/>
              </w:rPr>
            </w:pPr>
            <w:r>
              <w:rPr>
                <w:rFonts w:ascii="Arial" w:cs="Arial" w:eastAsia="Arial" w:hAnsi="Arial"/>
                <w:sz w:val="14"/>
                <w:szCs w:val="14"/>
                <w:b w:val="1"/>
                <w:bCs w:val="1"/>
                <w:color w:val="auto"/>
              </w:rPr>
              <w:t>2008</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color w:val="auto"/>
              </w:rPr>
              <w:t xml:space="preserve">Financing debt </w:t>
            </w:r>
            <w:r>
              <w:rPr>
                <w:rFonts w:ascii="Arial" w:cs="Arial" w:eastAsia="Arial" w:hAnsi="Arial"/>
                <w:sz w:val="22"/>
                <w:szCs w:val="22"/>
                <w:color w:val="auto"/>
                <w:vertAlign w:val="superscript"/>
              </w:rPr>
              <w:t>(1)</w:t>
            </w:r>
          </w:p>
        </w:tc>
        <w:tc>
          <w:tcPr>
            <w:tcW w:w="34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7"/>
              <w:spacing w:after="0" w:line="196" w:lineRule="exact"/>
              <w:rPr>
                <w:sz w:val="20"/>
                <w:szCs w:val="20"/>
                <w:color w:val="auto"/>
              </w:rPr>
            </w:pPr>
            <w:r>
              <w:rPr>
                <w:rFonts w:ascii="Arial" w:cs="Arial" w:eastAsia="Arial" w:hAnsi="Arial"/>
                <w:sz w:val="18"/>
                <w:szCs w:val="18"/>
                <w:color w:val="auto"/>
              </w:rPr>
              <w:t>6,631</w:t>
            </w:r>
          </w:p>
        </w:tc>
        <w:tc>
          <w:tcPr>
            <w:tcW w:w="6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6,888</w:t>
            </w:r>
          </w:p>
        </w:tc>
      </w:tr>
      <w:tr>
        <w:trPr>
          <w:trHeight w:val="210"/>
        </w:trPr>
        <w:tc>
          <w:tcPr>
            <w:tcW w:w="8420" w:type="dxa"/>
            <w:vAlign w:val="bottom"/>
            <w:gridSpan w:val="3"/>
          </w:tcPr>
          <w:p>
            <w:pPr>
              <w:spacing w:after="0" w:line="203" w:lineRule="exact"/>
              <w:rPr>
                <w:sz w:val="20"/>
                <w:szCs w:val="20"/>
                <w:color w:val="auto"/>
              </w:rPr>
            </w:pPr>
            <w:r>
              <w:rPr>
                <w:rFonts w:ascii="Arial" w:cs="Arial" w:eastAsia="Arial" w:hAnsi="Arial"/>
                <w:sz w:val="18"/>
                <w:szCs w:val="18"/>
                <w:color w:val="auto"/>
              </w:rPr>
              <w:t xml:space="preserve">Core debt </w:t>
            </w:r>
            <w:r>
              <w:rPr>
                <w:rFonts w:ascii="Arial" w:cs="Arial" w:eastAsia="Arial" w:hAnsi="Arial"/>
                <w:sz w:val="22"/>
                <w:szCs w:val="22"/>
                <w:color w:val="auto"/>
                <w:vertAlign w:val="superscript"/>
              </w:rPr>
              <w:t>(2)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7"/>
              <w:spacing w:after="0" w:line="202" w:lineRule="exact"/>
              <w:rPr>
                <w:sz w:val="20"/>
                <w:szCs w:val="20"/>
                <w:color w:val="auto"/>
              </w:rPr>
            </w:pPr>
            <w:r>
              <w:rPr>
                <w:rFonts w:ascii="Arial" w:cs="Arial" w:eastAsia="Arial" w:hAnsi="Arial"/>
                <w:sz w:val="18"/>
                <w:szCs w:val="18"/>
                <w:color w:val="auto"/>
              </w:rPr>
              <w:t>2,633</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1,496</w:t>
            </w:r>
          </w:p>
        </w:tc>
      </w:tr>
      <w:tr>
        <w:trPr>
          <w:trHeight w:val="203"/>
        </w:trPr>
        <w:tc>
          <w:tcPr>
            <w:tcW w:w="20" w:type="dxa"/>
            <w:vAlign w:val="bottom"/>
          </w:tcPr>
          <w:p>
            <w:pPr>
              <w:spacing w:after="0"/>
              <w:rPr>
                <w:sz w:val="17"/>
                <w:szCs w:val="17"/>
                <w:color w:val="auto"/>
              </w:rPr>
            </w:pPr>
          </w:p>
        </w:tc>
        <w:tc>
          <w:tcPr>
            <w:tcW w:w="8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Debt</w:t>
            </w:r>
          </w:p>
        </w:tc>
        <w:tc>
          <w:tcPr>
            <w:tcW w:w="3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b w:val="1"/>
                <w:bCs w:val="1"/>
                <w:color w:val="auto"/>
              </w:rPr>
              <w:t>9,264</w:t>
            </w: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b w:val="1"/>
                <w:bCs w:val="1"/>
                <w:color w:val="auto"/>
              </w:rPr>
              <w:t>8,384</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right="320" w:hanging="332"/>
        <w:spacing w:after="0" w:line="182" w:lineRule="auto"/>
        <w:tabs>
          <w:tab w:leader="none" w:pos="340" w:val="left"/>
        </w:tabs>
        <w:numPr>
          <w:ilvl w:val="0"/>
          <w:numId w:val="86"/>
        </w:numPr>
        <w:rPr>
          <w:rFonts w:ascii="Arial" w:cs="Arial" w:eastAsia="Arial" w:hAnsi="Arial"/>
          <w:sz w:val="21"/>
          <w:szCs w:val="21"/>
          <w:color w:val="auto"/>
          <w:vertAlign w:val="superscript"/>
        </w:rPr>
      </w:pPr>
      <w:r>
        <w:rPr>
          <w:rFonts w:ascii="Arial" w:cs="Arial" w:eastAsia="Arial" w:hAnsi="Arial"/>
          <w:sz w:val="13"/>
          <w:szCs w:val="13"/>
          <w:color w:val="auto"/>
        </w:rPr>
        <w:t>Financing debt includes $6,149 million and $6,368 million as of December 2009 and 2008, respectively, of debt associated with Total finance receivables, net and is the basis for our calculation of “equipment financing interest” expense. The remainder of the financing debt is associated with Equipment on operating leases.</w:t>
      </w:r>
    </w:p>
    <w:p>
      <w:pPr>
        <w:ind w:left="340" w:hanging="332"/>
        <w:spacing w:after="0" w:line="188" w:lineRule="auto"/>
        <w:tabs>
          <w:tab w:leader="none" w:pos="340" w:val="left"/>
        </w:tabs>
        <w:numPr>
          <w:ilvl w:val="0"/>
          <w:numId w:val="86"/>
        </w:numPr>
        <w:rPr>
          <w:rFonts w:ascii="Arial" w:cs="Arial" w:eastAsia="Arial" w:hAnsi="Arial"/>
          <w:sz w:val="18"/>
          <w:szCs w:val="18"/>
          <w:color w:val="auto"/>
          <w:vertAlign w:val="superscript"/>
        </w:rPr>
      </w:pPr>
      <w:r>
        <w:rPr>
          <w:rFonts w:ascii="Arial" w:cs="Arial" w:eastAsia="Arial" w:hAnsi="Arial"/>
          <w:sz w:val="12"/>
          <w:szCs w:val="12"/>
          <w:color w:val="auto"/>
        </w:rPr>
        <w:t>Core debt at December 31, 2009 includes the $2.0 billion Senior Notes issuance which was used to fund the acquisition of 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debt: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(in millions)</w:t>
            </w:r>
          </w:p>
        </w:tc>
        <w:tc>
          <w:tcPr>
            <w:tcW w:w="7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2008</w:t>
            </w:r>
          </w:p>
        </w:tc>
      </w:tr>
      <w:tr>
        <w:trPr>
          <w:trHeight w:val="196"/>
        </w:trPr>
        <w:tc>
          <w:tcPr>
            <w:tcW w:w="852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color w:val="auto"/>
              </w:rPr>
              <w:t>Principal debt balance</w:t>
            </w:r>
            <w:r>
              <w:rPr>
                <w:rFonts w:ascii="Arial" w:cs="Arial" w:eastAsia="Arial" w:hAnsi="Arial"/>
                <w:sz w:val="22"/>
                <w:szCs w:val="22"/>
                <w:color w:val="auto"/>
                <w:vertAlign w:val="superscript"/>
              </w:rPr>
              <w:t>(3)</w:t>
            </w:r>
          </w:p>
        </w:tc>
        <w:tc>
          <w:tcPr>
            <w:tcW w:w="32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9,122</w:t>
            </w:r>
          </w:p>
        </w:tc>
        <w:tc>
          <w:tcPr>
            <w:tcW w:w="6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8,201</w:t>
            </w:r>
          </w:p>
        </w:tc>
      </w:tr>
      <w:tr>
        <w:trPr>
          <w:trHeight w:val="203"/>
        </w:trPr>
        <w:tc>
          <w:tcPr>
            <w:tcW w:w="8520" w:type="dxa"/>
            <w:vAlign w:val="bottom"/>
            <w:gridSpan w:val="2"/>
          </w:tcPr>
          <w:p>
            <w:pPr>
              <w:spacing w:after="0" w:line="202" w:lineRule="exact"/>
              <w:rPr>
                <w:sz w:val="20"/>
                <w:szCs w:val="20"/>
                <w:color w:val="auto"/>
              </w:rPr>
            </w:pPr>
            <w:r>
              <w:rPr>
                <w:rFonts w:ascii="Arial" w:cs="Arial" w:eastAsia="Arial" w:hAnsi="Arial"/>
                <w:sz w:val="18"/>
                <w:szCs w:val="18"/>
                <w:color w:val="auto"/>
              </w:rPr>
              <w:t>Net unamortized discount</w:t>
            </w:r>
          </w:p>
        </w:tc>
        <w:tc>
          <w:tcPr>
            <w:tcW w:w="32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w:t>
            </w:r>
          </w:p>
        </w:tc>
      </w:tr>
      <w:tr>
        <w:trPr>
          <w:trHeight w:val="203"/>
        </w:trPr>
        <w:tc>
          <w:tcPr>
            <w:tcW w:w="8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Fair value adjustments</w:t>
            </w: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153</w:t>
            </w:r>
          </w:p>
        </w:tc>
        <w:tc>
          <w:tcPr>
            <w:tcW w:w="3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189</w:t>
            </w:r>
          </w:p>
        </w:tc>
      </w:tr>
      <w:tr>
        <w:trPr>
          <w:trHeight w:val="318"/>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Debt </w:t>
            </w:r>
            <w:r>
              <w:rPr>
                <w:rFonts w:ascii="Arial" w:cs="Arial" w:eastAsia="Arial" w:hAnsi="Arial"/>
                <w:sz w:val="22"/>
                <w:szCs w:val="22"/>
                <w:b w:val="1"/>
                <w:bCs w:val="1"/>
                <w:color w:val="auto"/>
                <w:vertAlign w:val="superscript"/>
              </w:rPr>
              <w:t>(3)</w:t>
            </w:r>
          </w:p>
        </w:tc>
        <w:tc>
          <w:tcPr>
            <w:tcW w:w="32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b w:val="1"/>
                <w:bCs w:val="1"/>
                <w:color w:val="auto"/>
              </w:rPr>
              <w:t>9,264</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b w:val="1"/>
                <w:bCs w:val="1"/>
                <w:color w:val="auto"/>
              </w:rPr>
              <w:t>8,384</w:t>
            </w:r>
          </w:p>
        </w:tc>
      </w:tr>
      <w:tr>
        <w:trPr>
          <w:trHeight w:val="203"/>
        </w:trPr>
        <w:tc>
          <w:tcPr>
            <w:tcW w:w="8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Current maturities and short-term debt</w:t>
            </w: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(988)</w:t>
            </w:r>
          </w:p>
        </w:tc>
        <w:tc>
          <w:tcPr>
            <w:tcW w:w="3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(1,610)</w:t>
            </w:r>
          </w:p>
        </w:tc>
      </w:tr>
      <w:tr>
        <w:trPr>
          <w:trHeight w:val="318"/>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Total Long-term Debt</w:t>
            </w:r>
            <w:r>
              <w:rPr>
                <w:rFonts w:ascii="Arial" w:cs="Arial" w:eastAsia="Arial" w:hAnsi="Arial"/>
                <w:sz w:val="22"/>
                <w:szCs w:val="22"/>
                <w:b w:val="1"/>
                <w:bCs w:val="1"/>
                <w:color w:val="auto"/>
                <w:vertAlign w:val="superscript"/>
              </w:rPr>
              <w:t>(3)</w:t>
            </w:r>
          </w:p>
        </w:tc>
        <w:tc>
          <w:tcPr>
            <w:tcW w:w="3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5"/>
              <w:spacing w:after="0"/>
              <w:rPr>
                <w:sz w:val="20"/>
                <w:szCs w:val="20"/>
                <w:color w:val="auto"/>
              </w:rPr>
            </w:pPr>
            <w:r>
              <w:rPr>
                <w:rFonts w:ascii="Arial" w:cs="Arial" w:eastAsia="Arial" w:hAnsi="Arial"/>
                <w:sz w:val="18"/>
                <w:szCs w:val="18"/>
                <w:b w:val="1"/>
                <w:bCs w:val="1"/>
                <w:color w:val="auto"/>
              </w:rPr>
              <w:t>8,276</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5"/>
              <w:spacing w:after="0"/>
              <w:rPr>
                <w:sz w:val="20"/>
                <w:szCs w:val="20"/>
                <w:color w:val="auto"/>
              </w:rPr>
            </w:pPr>
            <w:r>
              <w:rPr>
                <w:rFonts w:ascii="Arial" w:cs="Arial" w:eastAsia="Arial" w:hAnsi="Arial"/>
                <w:sz w:val="18"/>
                <w:szCs w:val="18"/>
                <w:b w:val="1"/>
                <w:bCs w:val="1"/>
                <w:color w:val="auto"/>
              </w:rPr>
              <w:t>6,774</w:t>
            </w:r>
          </w:p>
        </w:tc>
      </w:tr>
      <w:tr>
        <w:trPr>
          <w:trHeight w:val="20"/>
        </w:trPr>
        <w:tc>
          <w:tcPr>
            <w:tcW w:w="7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22"/>
          <w:szCs w:val="22"/>
          <w:color w:val="auto"/>
          <w:vertAlign w:val="superscript"/>
        </w:rPr>
      </w:pPr>
      <w:r>
        <w:rPr>
          <w:rFonts w:ascii="Arial" w:cs="Arial" w:eastAsia="Arial" w:hAnsi="Arial"/>
          <w:sz w:val="14"/>
          <w:szCs w:val="14"/>
          <w:color w:val="auto"/>
        </w:rPr>
        <w:t>Total debt at December 31, 2009 includes the $2.0 billion Senior Notes issuance which was used to fund the acquisition of ACS.</w:t>
      </w:r>
    </w:p>
    <w:p>
      <w:pPr>
        <w:spacing w:after="0" w:line="152"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Principal debt balance at December 31, 2008 includes short-term debt of $61 million. Refer to Note 11 – Debt in the Consolidated Financial Statements for additional information regarding the above balances.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Financial Instruments</w:t>
      </w:r>
    </w:p>
    <w:p>
      <w:pPr>
        <w:spacing w:after="0" w:line="18"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Refer to Note 13 - Financial Instruments in the Consolidated Financial Statements for additional information regarding our derivative financial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Share Repurchase Programs</w:t>
      </w:r>
    </w:p>
    <w:p>
      <w:pPr>
        <w:spacing w:after="0" w:line="18"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Refer to Note 17 – Shareholders’ Equity – “Treasury Stock” in the Consolidated Financial Statements for further information regarding our share repurchase programs.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Dividends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declared a 4.25 cent per share dividend on common stock in each quarter of 2009 and 2008.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Credit Facility</w:t>
      </w:r>
    </w:p>
    <w:p>
      <w:pPr>
        <w:spacing w:after="0" w:line="1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October 2009, in connection with our anticipated acquisition of ACS, we amended our $2.0 billion Credit Facility and entered into a Bridge Loan Facility commitment as noted below. The Credit Facility amendment extended the maximum permitted leverage ratio of 4.25x through September 30, 2010, which will change to 4.00x through December 31, 2010, and to 3.75x thereafter. The amendment also included the following changes:</w:t>
      </w:r>
    </w:p>
    <w:p>
      <w:pPr>
        <w:spacing w:after="0" w:line="195" w:lineRule="exact"/>
        <w:rPr>
          <w:sz w:val="20"/>
          <w:szCs w:val="20"/>
          <w:color w:val="auto"/>
        </w:rPr>
      </w:pPr>
    </w:p>
    <w:p>
      <w:pPr>
        <w:ind w:left="460" w:right="100" w:hanging="452"/>
        <w:spacing w:after="0" w:line="23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definition of principal debt was changed such that principal debt was calculated as of December 31, 2009 net of cash proceeds from the Senior Notes issued in connection with the pre-funding of the ACS acquisition.</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21</w:t>
      </w:r>
    </w:p>
    <w:p>
      <w:pPr>
        <w:sectPr>
          <w:pgSz w:w="11900" w:h="16838" w:orient="portrait"/>
          <w:cols w:equalWidth="0" w:num="1">
            <w:col w:w="11420"/>
          </w:cols>
          <w:pgMar w:left="240" w:top="291" w:right="239" w:bottom="1440" w:gutter="0" w:footer="0" w:header="0"/>
        </w:sectPr>
      </w:pPr>
    </w:p>
    <w:bookmarkStart w:id="104" w:name="page105"/>
    <w:bookmarkEnd w:id="104"/>
    <w:p>
      <w:pPr>
        <w:jc w:val="both"/>
        <w:ind w:left="460" w:right="280" w:hanging="452"/>
        <w:spacing w:after="0" w:line="23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portion of the Credit Facility that had a maturity date of April 30, 2012, was extended to a maturity date of April 30, 2013, consistent with the majority of the facility. Accordingly, after this amendment, approximately $1.6 billion, or approximately 80% of the Credit Facility, has a maturity date of April 30, 2013.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Capital Markets Offerings</w:t>
      </w:r>
    </w:p>
    <w:p>
      <w:pPr>
        <w:spacing w:after="0" w:line="18"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In 2009, we raised net proceeds of $745 million and $1,980 million through the issuance of Senior Notes of $750 million in May and $2.0 billion in December, respectively. The net proceeds from the Senior Notes issued in December 2009 were used to fund the acquisition of ACS.</w:t>
      </w:r>
    </w:p>
    <w:p>
      <w:pPr>
        <w:spacing w:after="0" w:line="109" w:lineRule="exact"/>
        <w:rPr>
          <w:sz w:val="20"/>
          <w:szCs w:val="20"/>
          <w:color w:val="auto"/>
        </w:rPr>
      </w:pPr>
    </w:p>
    <w:p>
      <w:pPr>
        <w:ind w:left="60" w:right="80" w:hanging="48"/>
        <w:spacing w:after="0" w:line="239" w:lineRule="auto"/>
        <w:rPr>
          <w:sz w:val="20"/>
          <w:szCs w:val="20"/>
          <w:color w:val="auto"/>
        </w:rPr>
      </w:pPr>
      <w:r>
        <w:rPr>
          <w:rFonts w:ascii="Arial" w:cs="Arial" w:eastAsia="Arial" w:hAnsi="Arial"/>
          <w:sz w:val="18"/>
          <w:szCs w:val="18"/>
          <w:color w:val="auto"/>
        </w:rPr>
        <w:t>Refer to Note 3 – Acquisitions in the Consolidated Financial Statements for further information regarding the ACS acquisition, as well as Note 11 – Debt in the Consolidated Financial Statements for additional information regarding the Debt activity.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Bridge Loan Facility Commitment</w:t>
      </w:r>
    </w:p>
    <w:p>
      <w:pPr>
        <w:spacing w:after="0" w:line="18"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connection with the agreement to acquire ACS, in September 2009 we entered into a commitment for a syndicated $3.0 billion Bridge Loan Facility with several banks that was to be used for funding the acquisition in the event the transaction closed prior to obtaining permanent financing in the capital markets. Debt issuance costs for the Bridge Loan Facility commitment were $58 million. On December 4, 2009, the debt commitment was reduced to $500 million following our issuance of $2.0 billion of Senior Notes. On January 8, 2010, we terminated the remaining commitment because we concluded we had sufficient liquidity to complete the ACS acquisition without having to borrow under the Bridge Loan Facility.</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Liquidity and Financial Flexibility</w:t>
      </w:r>
    </w:p>
    <w:p>
      <w:pPr>
        <w:spacing w:after="0" w:line="188"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We manage our worldwide liquidity using internal cash management practices, which are subject to (1) the statutes, regulations and practices of each of the local jurisdictions in which we operate, (2) the legal requirements of the agreements to which we are a party and (3) the policies and cooperation of the financial institutions we utilize to maintain and provide cash management services.</w:t>
      </w:r>
    </w:p>
    <w:p>
      <w:pPr>
        <w:spacing w:after="0" w:line="15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liquidity is a function of our ability to successfully generate cash flows from a combination of efficient operations and access to capital markets. Our ability to maintain positive liquidity going forward depends on our ability to continue to generate cash from operations and access to financial markets, both of which are subject to general economic, financial, competitive, legislative, regulatory and other market factors that are beyond our control.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liquidity position as of December 31, 2009:</w:t>
      </w:r>
    </w:p>
    <w:p>
      <w:pPr>
        <w:spacing w:after="0" w:line="198" w:lineRule="exact"/>
        <w:rPr>
          <w:sz w:val="20"/>
          <w:szCs w:val="20"/>
          <w:color w:val="auto"/>
        </w:rPr>
      </w:pPr>
    </w:p>
    <w:p>
      <w:pPr>
        <w:ind w:left="460" w:right="140" w:hanging="452"/>
        <w:spacing w:after="0" w:line="234"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of December 31, 2009, total cash and cash equivalents was $3.8 billion and our borrowing capacity under our Credit Facility was $2.0 billion, reflecting no outstanding borrowings or letters of credit. Cash and cash equivalents at December 31, 2009 included the net proceeds from the $2.0 billion Senior Notes issued in December 2009, which were used to fund the acquisition of ACS.</w:t>
      </w:r>
    </w:p>
    <w:p>
      <w:pPr>
        <w:spacing w:after="0" w:line="2" w:lineRule="exact"/>
        <w:rPr>
          <w:rFonts w:ascii="Arial" w:cs="Arial" w:eastAsia="Arial" w:hAnsi="Arial"/>
          <w:sz w:val="18"/>
          <w:szCs w:val="18"/>
          <w:color w:val="auto"/>
        </w:rPr>
      </w:pPr>
    </w:p>
    <w:p>
      <w:pPr>
        <w:ind w:left="460" w:right="320" w:hanging="452"/>
        <w:spacing w:after="0" w:line="281"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Over the past three years we have consistently delivered strong cash flow from operations, driven by the strength of our annuity based revenue model. Cash flows from operations were $2,208 million, $939 million and $1,871 million for the years ended December 31, 2009, 2008 and 2007, respectively. Cash flows from operations in 2008 included $615 million in net payments for our securities litigation.</w:t>
      </w:r>
    </w:p>
    <w:p>
      <w:pPr>
        <w:spacing w:after="0" w:line="1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22</w:t>
      </w:r>
    </w:p>
    <w:p>
      <w:pPr>
        <w:sectPr>
          <w:pgSz w:w="11900" w:h="16838" w:orient="portrait"/>
          <w:cols w:equalWidth="0" w:num="1">
            <w:col w:w="11420"/>
          </w:cols>
          <w:pgMar w:left="240" w:top="291" w:right="239" w:bottom="1440" w:gutter="0" w:footer="0" w:header="0"/>
        </w:sectPr>
      </w:pPr>
    </w:p>
    <w:bookmarkStart w:id="105" w:name="page106"/>
    <w:bookmarkEnd w:id="105"/>
    <w:p>
      <w:pPr>
        <w:ind w:left="460" w:hanging="452"/>
        <w:spacing w:after="0"/>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principal debt maturities are in line with historical and projected cash flows and are spread over the next ten years as follows (in millions):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2010</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988</w:t>
            </w:r>
          </w:p>
        </w:tc>
        <w:tc>
          <w:tcPr>
            <w:tcW w:w="300" w:type="dxa"/>
            <w:vAlign w:val="bottom"/>
            <w:shd w:val="clear" w:color="auto" w:fill="CCEEFF"/>
          </w:tcPr>
          <w:p>
            <w:pPr>
              <w:spacing w:after="0"/>
              <w:rPr>
                <w:sz w:val="17"/>
                <w:szCs w:val="17"/>
                <w:color w:val="auto"/>
              </w:rPr>
            </w:pPr>
          </w:p>
        </w:tc>
      </w:tr>
      <w:tr>
        <w:trPr>
          <w:trHeight w:val="203"/>
        </w:trPr>
        <w:tc>
          <w:tcPr>
            <w:tcW w:w="1960" w:type="dxa"/>
            <w:vAlign w:val="bottom"/>
            <w:gridSpan w:val="3"/>
          </w:tcPr>
          <w:p>
            <w:pPr>
              <w:spacing w:after="0" w:line="202" w:lineRule="exact"/>
              <w:rPr>
                <w:sz w:val="20"/>
                <w:szCs w:val="20"/>
                <w:color w:val="auto"/>
              </w:rPr>
            </w:pPr>
            <w:r>
              <w:rPr>
                <w:rFonts w:ascii="Arial" w:cs="Arial" w:eastAsia="Arial" w:hAnsi="Arial"/>
                <w:sz w:val="18"/>
                <w:szCs w:val="18"/>
                <w:color w:val="auto"/>
              </w:rPr>
              <w:t>2011</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802</w:t>
            </w:r>
          </w:p>
        </w:tc>
        <w:tc>
          <w:tcPr>
            <w:tcW w:w="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1,101</w:t>
            </w:r>
          </w:p>
        </w:tc>
        <w:tc>
          <w:tcPr>
            <w:tcW w:w="300" w:type="dxa"/>
            <w:vAlign w:val="bottom"/>
            <w:shd w:val="clear" w:color="auto" w:fill="CCEEFF"/>
          </w:tcPr>
          <w:p>
            <w:pPr>
              <w:spacing w:after="0"/>
              <w:rPr>
                <w:sz w:val="17"/>
                <w:szCs w:val="17"/>
                <w:color w:val="auto"/>
              </w:rPr>
            </w:pPr>
          </w:p>
        </w:tc>
      </w:tr>
      <w:tr>
        <w:trPr>
          <w:trHeight w:val="203"/>
        </w:trPr>
        <w:tc>
          <w:tcPr>
            <w:tcW w:w="1960" w:type="dxa"/>
            <w:vAlign w:val="bottom"/>
            <w:gridSpan w:val="3"/>
          </w:tcPr>
          <w:p>
            <w:pPr>
              <w:spacing w:after="0" w:line="202" w:lineRule="exact"/>
              <w:rPr>
                <w:sz w:val="20"/>
                <w:szCs w:val="20"/>
                <w:color w:val="auto"/>
              </w:rPr>
            </w:pPr>
            <w:r>
              <w:rPr>
                <w:rFonts w:ascii="Arial" w:cs="Arial" w:eastAsia="Arial" w:hAnsi="Arial"/>
                <w:sz w:val="18"/>
                <w:szCs w:val="18"/>
                <w:color w:val="auto"/>
              </w:rPr>
              <w:t>2013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w:t>
            </w:r>
          </w:p>
        </w:tc>
        <w:tc>
          <w:tcPr>
            <w:tcW w:w="300" w:type="dxa"/>
            <w:vAlign w:val="bottom"/>
            <w:shd w:val="clear" w:color="auto" w:fill="CCEEFF"/>
          </w:tcPr>
          <w:p>
            <w:pPr>
              <w:spacing w:after="0"/>
              <w:rPr>
                <w:sz w:val="17"/>
                <w:szCs w:val="17"/>
                <w:color w:val="auto"/>
              </w:rPr>
            </w:pPr>
          </w:p>
        </w:tc>
      </w:tr>
      <w:tr>
        <w:trPr>
          <w:trHeight w:val="203"/>
        </w:trPr>
        <w:tc>
          <w:tcPr>
            <w:tcW w:w="1960" w:type="dxa"/>
            <w:vAlign w:val="bottom"/>
            <w:gridSpan w:val="3"/>
          </w:tcPr>
          <w:p>
            <w:pPr>
              <w:spacing w:after="0" w:line="202" w:lineRule="exact"/>
              <w:rPr>
                <w:sz w:val="20"/>
                <w:szCs w:val="20"/>
                <w:color w:val="auto"/>
              </w:rPr>
            </w:pPr>
            <w:r>
              <w:rPr>
                <w:rFonts w:ascii="Arial" w:cs="Arial" w:eastAsia="Arial" w:hAnsi="Arial"/>
                <w:sz w:val="18"/>
                <w:szCs w:val="18"/>
                <w:color w:val="auto"/>
              </w:rPr>
              <w:t>2015</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w:t>
            </w:r>
          </w:p>
        </w:tc>
        <w:tc>
          <w:tcPr>
            <w:tcW w:w="300" w:type="dxa"/>
            <w:vAlign w:val="bottom"/>
            <w:shd w:val="clear" w:color="auto" w:fill="CCEEFF"/>
          </w:tcPr>
          <w:p>
            <w:pPr>
              <w:spacing w:after="0"/>
              <w:rPr>
                <w:sz w:val="17"/>
                <w:szCs w:val="17"/>
                <w:color w:val="auto"/>
              </w:rPr>
            </w:pPr>
          </w:p>
        </w:tc>
      </w:tr>
      <w:tr>
        <w:trPr>
          <w:trHeight w:val="203"/>
        </w:trPr>
        <w:tc>
          <w:tcPr>
            <w:tcW w:w="1960" w:type="dxa"/>
            <w:vAlign w:val="bottom"/>
            <w:gridSpan w:val="3"/>
          </w:tcPr>
          <w:p>
            <w:pPr>
              <w:spacing w:after="0" w:line="202" w:lineRule="exact"/>
              <w:rPr>
                <w:sz w:val="20"/>
                <w:szCs w:val="20"/>
                <w:color w:val="auto"/>
              </w:rPr>
            </w:pPr>
            <w:r>
              <w:rPr>
                <w:rFonts w:ascii="Arial" w:cs="Arial" w:eastAsia="Arial" w:hAnsi="Arial"/>
                <w:sz w:val="18"/>
                <w:szCs w:val="18"/>
                <w:color w:val="auto"/>
              </w:rPr>
              <w:t>2017</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1,001</w:t>
            </w:r>
          </w:p>
        </w:tc>
        <w:tc>
          <w:tcPr>
            <w:tcW w:w="300" w:type="dxa"/>
            <w:vAlign w:val="bottom"/>
            <w:shd w:val="clear" w:color="auto" w:fill="CCEEFF"/>
          </w:tcPr>
          <w:p>
            <w:pPr>
              <w:spacing w:after="0"/>
              <w:rPr>
                <w:sz w:val="17"/>
                <w:szCs w:val="17"/>
                <w:color w:val="auto"/>
              </w:rPr>
            </w:pPr>
          </w:p>
        </w:tc>
      </w:tr>
      <w:tr>
        <w:trPr>
          <w:trHeight w:val="210"/>
        </w:trPr>
        <w:tc>
          <w:tcPr>
            <w:tcW w:w="1960" w:type="dxa"/>
            <w:vAlign w:val="bottom"/>
            <w:gridSpan w:val="3"/>
          </w:tcPr>
          <w:p>
            <w:pPr>
              <w:spacing w:after="0" w:line="202" w:lineRule="exact"/>
              <w:rPr>
                <w:sz w:val="20"/>
                <w:szCs w:val="20"/>
                <w:color w:val="auto"/>
              </w:rPr>
            </w:pPr>
            <w:r>
              <w:rPr>
                <w:rFonts w:ascii="Arial" w:cs="Arial" w:eastAsia="Arial" w:hAnsi="Arial"/>
                <w:sz w:val="18"/>
                <w:szCs w:val="18"/>
                <w:color w:val="auto"/>
              </w:rPr>
              <w:t>2019 and thereafter</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9,122</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2010, in connection with the closing of our acquisition of ACS, we borrowed $649 million under our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Loan Covenants and Compliance</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At December 31, 2009, we were in full compliance with the covenants and other provisions of the Credit Facility, our Senior Notes and our Bridge Loan Facility commitment (which was terminated on January 8, 2010). We have the right to prepay any outstanding loans or to terminate the Credit Facility without penalty. Failure to be in compliance with any material provision or covenant of these agreements could have a material adverse effect on our liquidity and operations and our ability to continue to fund our customers’ purchase of Xerox equipment.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 Debt for further information regarding debt arrangements.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 xml:space="preserve">Credit Ratings: </w:t>
      </w:r>
      <w:r>
        <w:rPr>
          <w:rFonts w:ascii="Arial" w:cs="Arial" w:eastAsia="Arial" w:hAnsi="Arial"/>
          <w:sz w:val="18"/>
          <w:szCs w:val="18"/>
          <w:color w:val="000000"/>
        </w:rPr>
        <w:t>We are currently rated investment grade by all major rating agencies. As of February 8, 2010 the ratings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6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Senior Unsecured Debt</w:t>
            </w:r>
          </w:p>
        </w:tc>
        <w:tc>
          <w:tcPr>
            <w:tcW w:w="10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Outlook</w:t>
            </w: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color w:val="auto"/>
              </w:rPr>
              <w:t>Moody’s</w:t>
            </w:r>
          </w:p>
        </w:tc>
        <w:tc>
          <w:tcPr>
            <w:tcW w:w="2400" w:type="dxa"/>
            <w:vAlign w:val="bottom"/>
          </w:tcPr>
          <w:p>
            <w:pPr>
              <w:jc w:val="center"/>
              <w:spacing w:after="0" w:line="201" w:lineRule="exact"/>
              <w:rPr>
                <w:sz w:val="20"/>
                <w:szCs w:val="20"/>
                <w:color w:val="auto"/>
              </w:rPr>
            </w:pPr>
            <w:r>
              <w:rPr>
                <w:rFonts w:ascii="Arial" w:cs="Arial" w:eastAsia="Arial" w:hAnsi="Arial"/>
                <w:sz w:val="18"/>
                <w:szCs w:val="18"/>
                <w:color w:val="auto"/>
                <w:w w:val="99"/>
              </w:rPr>
              <w:t>Baa2</w:t>
            </w:r>
          </w:p>
        </w:tc>
        <w:tc>
          <w:tcPr>
            <w:tcW w:w="100" w:type="dxa"/>
            <w:vAlign w:val="bottom"/>
          </w:tcPr>
          <w:p>
            <w:pPr>
              <w:spacing w:after="0"/>
              <w:rPr>
                <w:sz w:val="17"/>
                <w:szCs w:val="17"/>
                <w:color w:val="auto"/>
              </w:rPr>
            </w:pPr>
          </w:p>
        </w:tc>
        <w:tc>
          <w:tcPr>
            <w:tcW w:w="2400" w:type="dxa"/>
            <w:vAlign w:val="bottom"/>
          </w:tcPr>
          <w:p>
            <w:pPr>
              <w:jc w:val="center"/>
              <w:spacing w:after="0" w:line="201" w:lineRule="exact"/>
              <w:rPr>
                <w:sz w:val="20"/>
                <w:szCs w:val="20"/>
                <w:color w:val="auto"/>
              </w:rPr>
            </w:pPr>
            <w:r>
              <w:rPr>
                <w:rFonts w:ascii="Arial" w:cs="Arial" w:eastAsia="Arial" w:hAnsi="Arial"/>
                <w:sz w:val="18"/>
                <w:szCs w:val="18"/>
                <w:color w:val="auto"/>
                <w:w w:val="93"/>
              </w:rPr>
              <w:t>Stable</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Standard &amp; Poors</w:t>
            </w:r>
          </w:p>
        </w:tc>
        <w:tc>
          <w:tcPr>
            <w:tcW w:w="2400" w:type="dxa"/>
            <w:vAlign w:val="bottom"/>
          </w:tcPr>
          <w:p>
            <w:pPr>
              <w:jc w:val="center"/>
              <w:spacing w:after="0" w:line="202" w:lineRule="exact"/>
              <w:rPr>
                <w:sz w:val="20"/>
                <w:szCs w:val="20"/>
                <w:color w:val="auto"/>
              </w:rPr>
            </w:pPr>
            <w:r>
              <w:rPr>
                <w:rFonts w:ascii="Arial" w:cs="Arial" w:eastAsia="Arial" w:hAnsi="Arial"/>
                <w:sz w:val="18"/>
                <w:szCs w:val="18"/>
                <w:color w:val="auto"/>
                <w:w w:val="99"/>
              </w:rPr>
              <w:t>BBB-</w:t>
            </w:r>
          </w:p>
        </w:tc>
        <w:tc>
          <w:tcPr>
            <w:tcW w:w="100" w:type="dxa"/>
            <w:vAlign w:val="bottom"/>
          </w:tcPr>
          <w:p>
            <w:pPr>
              <w:spacing w:after="0"/>
              <w:rPr>
                <w:sz w:val="17"/>
                <w:szCs w:val="17"/>
                <w:color w:val="auto"/>
              </w:rPr>
            </w:pPr>
          </w:p>
        </w:tc>
        <w:tc>
          <w:tcPr>
            <w:tcW w:w="2400" w:type="dxa"/>
            <w:vAlign w:val="bottom"/>
          </w:tcPr>
          <w:p>
            <w:pPr>
              <w:jc w:val="center"/>
              <w:spacing w:after="0" w:line="202" w:lineRule="exact"/>
              <w:rPr>
                <w:sz w:val="20"/>
                <w:szCs w:val="20"/>
                <w:color w:val="auto"/>
              </w:rPr>
            </w:pPr>
            <w:r>
              <w:rPr>
                <w:rFonts w:ascii="Arial" w:cs="Arial" w:eastAsia="Arial" w:hAnsi="Arial"/>
                <w:sz w:val="18"/>
                <w:szCs w:val="18"/>
                <w:color w:val="auto"/>
                <w:w w:val="93"/>
              </w:rPr>
              <w:t>Stable</w:t>
            </w:r>
          </w:p>
        </w:tc>
      </w:tr>
      <w:tr>
        <w:trPr>
          <w:trHeight w:val="211"/>
        </w:trPr>
        <w:tc>
          <w:tcPr>
            <w:tcW w:w="3460" w:type="dxa"/>
            <w:vAlign w:val="bottom"/>
          </w:tcPr>
          <w:p>
            <w:pPr>
              <w:spacing w:after="0"/>
              <w:rPr>
                <w:sz w:val="20"/>
                <w:szCs w:val="20"/>
                <w:color w:val="auto"/>
              </w:rPr>
            </w:pPr>
            <w:r>
              <w:rPr>
                <w:rFonts w:ascii="Arial" w:cs="Arial" w:eastAsia="Arial" w:hAnsi="Arial"/>
                <w:sz w:val="18"/>
                <w:szCs w:val="18"/>
                <w:color w:val="auto"/>
              </w:rPr>
              <w:t>Fitch</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BBB</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5"/>
              </w:rPr>
              <w:t>Negative</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Contractual Cash Obligations and Other Commercial Commitments and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2009, we had the following contractual cash obligations and other commercial commitments and contingencies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Thereafter</w:t>
            </w:r>
          </w:p>
        </w:tc>
      </w:tr>
      <w:tr>
        <w:trPr>
          <w:trHeight w:val="142"/>
        </w:trPr>
        <w:tc>
          <w:tcPr>
            <w:tcW w:w="572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 xml:space="preserve">Long-term debt, including capital lease obligations </w:t>
            </w:r>
            <w:r>
              <w:rPr>
                <w:rFonts w:ascii="Arial" w:cs="Arial" w:eastAsia="Arial" w:hAnsi="Arial"/>
                <w:sz w:val="16"/>
                <w:szCs w:val="16"/>
                <w:color w:val="auto"/>
                <w:vertAlign w:val="superscript"/>
              </w:rPr>
              <w:t>(1)</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988</w:t>
            </w:r>
          </w:p>
        </w:tc>
        <w:tc>
          <w:tcPr>
            <w:tcW w:w="3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802</w:t>
            </w:r>
          </w:p>
        </w:tc>
        <w:tc>
          <w:tcPr>
            <w:tcW w:w="3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1,101</w:t>
            </w:r>
          </w:p>
        </w:tc>
        <w:tc>
          <w:tcPr>
            <w:tcW w:w="4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961</w:t>
            </w:r>
          </w:p>
        </w:tc>
        <w:tc>
          <w:tcPr>
            <w:tcW w:w="4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819</w:t>
            </w:r>
          </w:p>
        </w:tc>
        <w:tc>
          <w:tcPr>
            <w:tcW w:w="40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4,451</w:t>
            </w:r>
          </w:p>
        </w:tc>
      </w:tr>
      <w:tr>
        <w:trPr>
          <w:trHeight w:val="149"/>
        </w:trPr>
        <w:tc>
          <w:tcPr>
            <w:tcW w:w="5720" w:type="dxa"/>
            <w:vAlign w:val="bottom"/>
          </w:tcPr>
          <w:p>
            <w:pPr>
              <w:spacing w:after="0" w:line="149" w:lineRule="exact"/>
              <w:rPr>
                <w:sz w:val="20"/>
                <w:szCs w:val="20"/>
                <w:color w:val="auto"/>
              </w:rPr>
            </w:pPr>
            <w:r>
              <w:rPr>
                <w:rFonts w:ascii="Arial" w:cs="Arial" w:eastAsia="Arial" w:hAnsi="Arial"/>
                <w:sz w:val="11"/>
                <w:szCs w:val="11"/>
                <w:color w:val="auto"/>
              </w:rPr>
              <w:t xml:space="preserve">Minimum operating lease commitments </w:t>
            </w:r>
            <w:r>
              <w:rPr>
                <w:rFonts w:ascii="Arial" w:cs="Arial" w:eastAsia="Arial" w:hAnsi="Arial"/>
                <w:sz w:val="17"/>
                <w:szCs w:val="17"/>
                <w:color w:val="auto"/>
                <w:vertAlign w:val="superscript"/>
              </w:rPr>
              <w:t>(2)</w:t>
            </w:r>
          </w:p>
        </w:tc>
        <w:tc>
          <w:tcPr>
            <w:tcW w:w="1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80</w:t>
            </w:r>
          </w:p>
        </w:tc>
      </w:tr>
      <w:tr>
        <w:trPr>
          <w:trHeight w:val="149"/>
        </w:trPr>
        <w:tc>
          <w:tcPr>
            <w:tcW w:w="57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Liability to subsidiary trust issuing preferred securities </w:t>
            </w:r>
            <w:r>
              <w:rPr>
                <w:rFonts w:ascii="Arial" w:cs="Arial" w:eastAsia="Arial" w:hAnsi="Arial"/>
                <w:sz w:val="17"/>
                <w:szCs w:val="17"/>
                <w:color w:val="auto"/>
                <w:vertAlign w:val="superscript"/>
              </w:rPr>
              <w:t>(3)</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649</w:t>
            </w:r>
          </w:p>
        </w:tc>
      </w:tr>
      <w:tr>
        <w:trPr>
          <w:trHeight w:val="149"/>
        </w:trPr>
        <w:tc>
          <w:tcPr>
            <w:tcW w:w="5720" w:type="dxa"/>
            <w:vAlign w:val="bottom"/>
          </w:tcPr>
          <w:p>
            <w:pPr>
              <w:spacing w:after="0" w:line="149" w:lineRule="exact"/>
              <w:rPr>
                <w:sz w:val="20"/>
                <w:szCs w:val="20"/>
                <w:color w:val="auto"/>
              </w:rPr>
            </w:pPr>
            <w:r>
              <w:rPr>
                <w:rFonts w:ascii="Arial" w:cs="Arial" w:eastAsia="Arial" w:hAnsi="Arial"/>
                <w:sz w:val="14"/>
                <w:szCs w:val="14"/>
                <w:color w:val="auto"/>
              </w:rPr>
              <w:t>Retiree Health Payments</w:t>
            </w:r>
          </w:p>
        </w:tc>
        <w:tc>
          <w:tcPr>
            <w:tcW w:w="1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457</w:t>
            </w:r>
          </w:p>
        </w:tc>
      </w:tr>
      <w:tr>
        <w:trPr>
          <w:trHeight w:val="149"/>
        </w:trPr>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Commitments</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9"/>
        </w:trPr>
        <w:tc>
          <w:tcPr>
            <w:tcW w:w="5720" w:type="dxa"/>
            <w:vAlign w:val="bottom"/>
          </w:tcPr>
          <w:p>
            <w:pPr>
              <w:ind w:left="440"/>
              <w:spacing w:after="0" w:line="149" w:lineRule="exact"/>
              <w:rPr>
                <w:sz w:val="20"/>
                <w:szCs w:val="20"/>
                <w:color w:val="auto"/>
              </w:rPr>
            </w:pPr>
            <w:r>
              <w:rPr>
                <w:rFonts w:ascii="Arial" w:cs="Arial" w:eastAsia="Arial" w:hAnsi="Arial"/>
                <w:sz w:val="11"/>
                <w:szCs w:val="11"/>
                <w:color w:val="auto"/>
              </w:rPr>
              <w:t xml:space="preserve">Flextronics </w:t>
            </w:r>
            <w:r>
              <w:rPr>
                <w:rFonts w:ascii="Arial" w:cs="Arial" w:eastAsia="Arial" w:hAnsi="Arial"/>
                <w:sz w:val="17"/>
                <w:szCs w:val="17"/>
                <w:color w:val="auto"/>
                <w:vertAlign w:val="superscript"/>
              </w:rPr>
              <w:t>(4)</w:t>
            </w:r>
          </w:p>
        </w:tc>
        <w:tc>
          <w:tcPr>
            <w:tcW w:w="1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503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r>
      <w:tr>
        <w:trPr>
          <w:trHeight w:val="149"/>
        </w:trPr>
        <w:tc>
          <w:tcPr>
            <w:tcW w:w="5720" w:type="dxa"/>
            <w:vAlign w:val="bottom"/>
            <w:shd w:val="clear" w:color="auto" w:fill="CCEEFF"/>
          </w:tcPr>
          <w:p>
            <w:pPr>
              <w:ind w:left="440"/>
              <w:spacing w:after="0" w:line="149" w:lineRule="exact"/>
              <w:rPr>
                <w:sz w:val="20"/>
                <w:szCs w:val="20"/>
                <w:color w:val="auto"/>
              </w:rPr>
            </w:pPr>
            <w:r>
              <w:rPr>
                <w:rFonts w:ascii="Arial" w:cs="Arial" w:eastAsia="Arial" w:hAnsi="Arial"/>
                <w:sz w:val="11"/>
                <w:szCs w:val="11"/>
                <w:color w:val="auto"/>
              </w:rPr>
              <w:t>Fuji Xerox</w:t>
            </w:r>
            <w:r>
              <w:rPr>
                <w:rFonts w:ascii="Arial" w:cs="Arial" w:eastAsia="Arial" w:hAnsi="Arial"/>
                <w:sz w:val="17"/>
                <w:szCs w:val="17"/>
                <w:color w:val="auto"/>
                <w:vertAlign w:val="superscript"/>
              </w:rPr>
              <w:t>(5)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1,256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r>
      <w:tr>
        <w:trPr>
          <w:trHeight w:val="149"/>
        </w:trPr>
        <w:tc>
          <w:tcPr>
            <w:tcW w:w="5720" w:type="dxa"/>
            <w:vAlign w:val="bottom"/>
          </w:tcPr>
          <w:p>
            <w:pPr>
              <w:ind w:left="440"/>
              <w:spacing w:after="0" w:line="149" w:lineRule="exact"/>
              <w:rPr>
                <w:sz w:val="20"/>
                <w:szCs w:val="20"/>
                <w:color w:val="auto"/>
              </w:rPr>
            </w:pPr>
            <w:r>
              <w:rPr>
                <w:rFonts w:ascii="Arial" w:cs="Arial" w:eastAsia="Arial" w:hAnsi="Arial"/>
                <w:sz w:val="11"/>
                <w:szCs w:val="11"/>
                <w:color w:val="auto"/>
              </w:rPr>
              <w:t xml:space="preserve">EDS Contracts </w:t>
            </w:r>
            <w:r>
              <w:rPr>
                <w:rFonts w:ascii="Arial" w:cs="Arial" w:eastAsia="Arial" w:hAnsi="Arial"/>
                <w:sz w:val="17"/>
                <w:szCs w:val="17"/>
                <w:color w:val="auto"/>
                <w:vertAlign w:val="superscript"/>
              </w:rPr>
              <w:t>(6)</w:t>
            </w:r>
          </w:p>
        </w:tc>
        <w:tc>
          <w:tcPr>
            <w:tcW w:w="1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r>
      <w:tr>
        <w:trPr>
          <w:trHeight w:val="149"/>
        </w:trPr>
        <w:tc>
          <w:tcPr>
            <w:tcW w:w="5720" w:type="dxa"/>
            <w:vAlign w:val="bottom"/>
            <w:shd w:val="clear" w:color="auto" w:fill="CCEEFF"/>
          </w:tcPr>
          <w:p>
            <w:pPr>
              <w:ind w:left="440"/>
              <w:spacing w:after="0" w:line="149" w:lineRule="exact"/>
              <w:rPr>
                <w:sz w:val="20"/>
                <w:szCs w:val="20"/>
                <w:color w:val="auto"/>
              </w:rPr>
            </w:pPr>
            <w:r>
              <w:rPr>
                <w:rFonts w:ascii="Arial" w:cs="Arial" w:eastAsia="Arial" w:hAnsi="Arial"/>
                <w:sz w:val="11"/>
                <w:szCs w:val="11"/>
                <w:color w:val="auto"/>
              </w:rPr>
              <w:t>Other IM service contracts</w:t>
            </w:r>
            <w:r>
              <w:rPr>
                <w:rFonts w:ascii="Arial" w:cs="Arial" w:eastAsia="Arial" w:hAnsi="Arial"/>
                <w:sz w:val="17"/>
                <w:szCs w:val="17"/>
                <w:color w:val="auto"/>
                <w:vertAlign w:val="superscript"/>
              </w:rPr>
              <w:t>(7)</w:t>
            </w: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80</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77</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61</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18</w:t>
            </w:r>
          </w:p>
        </w:tc>
      </w:tr>
      <w:tr>
        <w:trPr>
          <w:trHeight w:val="264"/>
        </w:trPr>
        <w:tc>
          <w:tcPr>
            <w:tcW w:w="5720" w:type="dxa"/>
            <w:vAlign w:val="bottom"/>
          </w:tcPr>
          <w:p>
            <w:pPr>
              <w:spacing w:after="0"/>
              <w:rPr>
                <w:sz w:val="20"/>
                <w:szCs w:val="20"/>
                <w:color w:val="auto"/>
              </w:rPr>
            </w:pPr>
            <w:r>
              <w:rPr>
                <w:rFonts w:ascii="Arial" w:cs="Arial" w:eastAsia="Arial" w:hAnsi="Arial"/>
                <w:sz w:val="14"/>
                <w:szCs w:val="14"/>
                <w:b w:val="1"/>
                <w:bCs w:val="1"/>
                <w:color w:val="auto"/>
              </w:rPr>
              <w:t>Total Contractual Cash Obligations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3,267</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1,238</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1,467</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1,293</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1,050</w:t>
            </w:r>
          </w:p>
        </w:tc>
        <w:tc>
          <w:tcPr>
            <w:tcW w:w="400" w:type="dxa"/>
            <w:vAlign w:val="bottom"/>
            <w:gridSpan w:val="2"/>
          </w:tcPr>
          <w:p>
            <w:pPr>
              <w:ind w:left="24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5,655</w:t>
            </w:r>
          </w:p>
        </w:tc>
      </w:tr>
      <w:tr>
        <w:trPr>
          <w:trHeight w:val="20"/>
        </w:trPr>
        <w:tc>
          <w:tcPr>
            <w:tcW w:w="5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right="32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Refer to Note 11 - Debt in our Consolidated Financial Statements for additional information and interest payments related to long-term debt (amounts above include principal portion only).</w:t>
      </w:r>
    </w:p>
    <w:p>
      <w:pPr>
        <w:ind w:left="34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Refer to Note 6 - Land, Buildings and Equipment, Net in our Consolidated Financial Statements for additional information related to minimum operating lease commitments.</w:t>
      </w:r>
    </w:p>
    <w:p>
      <w:pPr>
        <w:ind w:left="340" w:right="280" w:hanging="332"/>
        <w:spacing w:after="0" w:line="23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Refer to Note 12 - Liability to Subsidiary Trust Issuing Preferred Securities in our Consolidated Financial Statements for additional information and interest payments (amounts above include principal portion only).</w:t>
      </w:r>
    </w:p>
    <w:p>
      <w:pPr>
        <w:spacing w:after="0" w:line="1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23</w:t>
      </w:r>
    </w:p>
    <w:p>
      <w:pPr>
        <w:sectPr>
          <w:pgSz w:w="11900" w:h="16838" w:orient="portrait"/>
          <w:cols w:equalWidth="0" w:num="1">
            <w:col w:w="11420"/>
          </w:cols>
          <w:pgMar w:left="240" w:top="291" w:right="239" w:bottom="1440" w:gutter="0" w:footer="0" w:header="0"/>
        </w:sectPr>
      </w:pPr>
    </w:p>
    <w:bookmarkStart w:id="106" w:name="page107"/>
    <w:bookmarkEnd w:id="106"/>
    <w:p>
      <w:pPr>
        <w:ind w:left="340" w:right="60" w:hanging="332"/>
        <w:spacing w:after="0" w:line="258"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Flextronics: We outsource certain manufacturing activities to Flextronics and are currently in the third year of the Master Supply Agreement. The term of this agreement is three years, with two additional one year extension periods at our option. The amount included in the table reflects our estimate of purchases over the next year and is not a contractual commitment.</w:t>
      </w:r>
    </w:p>
    <w:p>
      <w:pPr>
        <w:ind w:left="340" w:hanging="332"/>
        <w:spacing w:after="0" w:line="221"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Fuji Xerox: The amount included in the table reflects our estimate of purchases over the next year and is not a contractual commitment.</w:t>
      </w:r>
    </w:p>
    <w:p>
      <w:pPr>
        <w:ind w:left="340" w:right="40" w:hanging="332"/>
        <w:spacing w:after="0" w:line="258"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EDS contract: We have an information management contract with Electronic Data Systems Corp. (“EDS”) through March 2014. Services to be provided under this contract include support for European and Brazilian mainframe system processing and application maintenance through June 2010, as well as workplace and service desk and voice and data network management through March 2014. There are no minimum payments required under this contract. The amounts disclosed in the table reflect our estimate of probable minimum payments for the periods shown. We can terminate the contract for convenience with six months prior notice, as defined in the contract, with no termination fee and with payment to EDS for costs incurred as of the termination date. Should we terminate the contract for convenience, we have an option to purchase the assets placed in service under the EDS contract.</w:t>
      </w:r>
    </w:p>
    <w:p>
      <w:pPr>
        <w:spacing w:after="0" w:line="1" w:lineRule="exact"/>
        <w:rPr>
          <w:rFonts w:ascii="Arial" w:cs="Arial" w:eastAsia="Arial" w:hAnsi="Arial"/>
          <w:sz w:val="12"/>
          <w:szCs w:val="12"/>
          <w:color w:val="auto"/>
        </w:rPr>
      </w:pPr>
    </w:p>
    <w:p>
      <w:pPr>
        <w:ind w:left="340" w:right="160" w:hanging="332"/>
        <w:spacing w:after="0" w:line="226"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IM (Information Management) services: During 2009 we terminated several agreements with EDS for information management services and entered into new agreements for similar services with several providers. Services to be provided under these contracts include support for data network transport; mainframe application processing, development and support; and mid-range applications processing and support. These contracts have various terms through 2015. Some of the contracts require minimum payments and include termination penalties. The amounts disclosed in this table reflect our estimate of probable minimum payments.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Pension and Other Post-retirement Benefit Plans</w:t>
      </w:r>
    </w:p>
    <w:p>
      <w:pPr>
        <w:spacing w:after="0" w:line="1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sponsor pension and other post-retirement benefit plans that may require periodic cash contributions. Our 2009 contributions for these plans were $122 million for pensions and $107 million for our retiree health plans. We expect to make contributions of approximately $260 million to our worldwide defined benefit pension plans and $103 million to our retiree health benefit plans in 2010. Once the January 1, 2010 actuarial valuations are finalized for our U.S. qualified pension plans, we will reassess the need for additional contributions for these plans. No additional contributions were made in 2009, due to the ERISA funded status of our U.S. qualified pension plans and the availability of a credit balance that had resulted from funding in prior periods in excess of minimum requirements. In 2008, we made additional contributions above what was disclosed in the 2007 Annual Report of $165 million to our U.S. qualified pension plans.</w:t>
      </w:r>
    </w:p>
    <w:p>
      <w:pPr>
        <w:spacing w:after="0" w:line="15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retiree health benefit plans are non-funded and are almost entirely related to domestic operations. Cash contributions are made each year to cover medical claims costs incurred in that year. The amounts reported in the above table as retiree health payments represent our estimated future benefit payments.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Fuji Xerox</w:t>
      </w:r>
    </w:p>
    <w:p>
      <w:pPr>
        <w:spacing w:after="0" w:line="18"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We purchased products, including parts and supplies, from Fuji Xerox totaling $1.6 billion, $2.1 billion and $1.9 billion in 2009, 2008 and 2007, respectively. Our purchase commitments with Fuji Xerox are in the normal course of business and typically have a lead time of three months. Related party transactions with Fuji Xerox are discussed in Note 7 - Investments in Affiliates, at Equity in the Consolidated Financial Statements.</w:t>
      </w:r>
    </w:p>
    <w:p>
      <w:pPr>
        <w:spacing w:after="0" w:line="1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24</w:t>
      </w:r>
    </w:p>
    <w:p>
      <w:pPr>
        <w:sectPr>
          <w:pgSz w:w="11900" w:h="16838" w:orient="portrait"/>
          <w:cols w:equalWidth="0" w:num="1">
            <w:col w:w="11420"/>
          </w:cols>
          <w:pgMar w:left="240" w:top="287"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Brazil Tax and Labor Contingencies</w:t>
      </w:r>
    </w:p>
    <w:p>
      <w:pPr>
        <w:spacing w:after="0" w:line="1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Brazilian operations were involved in various litigation matters and have received or been the subject of numerous governmental assessments related to indirect and other taxes, as well as disputes associated with former employees and contract labor. The tax matters, which comprise a significant portion of the total contingencies, principally relate to claims for taxes on the internal transfer of inventory, municipal service taxes on rentals and gross revenue taxes. We are disputing these tax matters and intend to vigorously defend our position. Based on the opinion of legal counsel and current reserves for those matters deemed probable of loss, we do not believe that the ultimate resolution of these matters will materially impact our results of operations, financial position or cash flows. The labor matters principally relate to claims made by former employees and contract labor for the equivalent payment of all social security and other related labor benefits, as well as consequential tax claims, as if they were regular employees. As of December 31, 2009, the total amounts related to the unreserved portion of the tax and labor contingencies, inclusive of any related interest, amounted to approximately $1,225 million, with the increase from the December 31, 2008 balance of $839 million primarily related to currency and current year interest indexation. In connection with the above proceedings, customary local regulations may require us to make escrow cash deposits or post other security of up to half of the total amount in dispute. As of December 31, 2009 we had $240 million of escrow cash deposits for matters we are disputing and there are liens on certain Brazilian assets with a net book value of $19 million and additional letters of credit of approximately $137 million. Generally, any escrowed amounts would be refundable and any liens would be removed to the extent the matters are resolved in our favor. We routinely assess all these matters as to probability of ultimately incurring a liability against our Brazilian operations and record our best estimate of the ultimate loss in situations where we assess the likelihood of an ultimate loss as probable.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Other Contingencies and Commitments</w:t>
      </w:r>
    </w:p>
    <w:p>
      <w:pPr>
        <w:spacing w:after="0" w:line="1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As more fully discussed in Note 16 – Contingencies in the Consolidated Financial Statements, we are involved in a variety of claims, lawsuits, investigations and proceedings concerning securities law, intellectual property law, environmental law, employment law and the Employee Retirement Income Security Act. In addition, guarantees, indemnifications and claims may arise during the ordinary course of business from relationships with suppliers, customers and nonconsolidated affiliates. Nonperformance under a contract including a guarantee, indemnification or claim could trigger an obligation of the Company. We determine whether an estimated loss from a contingency should be accrued by assessing whether a loss is deemed probable and can be reasonably estimated. Should developments in any of these areas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Unrecognized Tax Benefits</w:t>
      </w:r>
    </w:p>
    <w:p>
      <w:pPr>
        <w:spacing w:after="0" w:line="1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of December 31, 2009, we had $148 million of unrecognized tax benefits. This represents the tax benefits associated with various tax positions taken, or expected to be taken, on domestic and international tax returns that have not been recognized in our financial statements due to uncertainty regarding their resolution. The resolution or settlement of these tax positions with the taxing authorities is at various stages and therefore we are unable to make a reliable estimate of the eventual cash flows by period that may be required to settle these matters. In addition, certain of these matters may not require cash settlement due to the existence of credit and net operating loss carryforwards, as well as other offsets, including the indirect benefit from other taxing jurisdictions that may be available.</w:t>
      </w:r>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Off-Balance Sheet Arrangements</w:t>
      </w:r>
    </w:p>
    <w:p>
      <w:pPr>
        <w:spacing w:after="0" w:line="20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Although we rarely utilize off-balance sheet arrangements in our operations, we enter into operating leases in the normal course of business. The nature of these lease arrangements is discussed in Note 6 - Land, Buildings and Equipment, Net in the Consolidated Financial Statements. In addition, we have facilities in the U.S., Canada and several countries in Europe that enable us to sell, on an on-going basis, certain short-term accounts receivable without recourse to third parties. Refer to Note 4 – Receivables, Net in the Consolidated Financial Statements for further information.</w:t>
      </w:r>
    </w:p>
    <w:p>
      <w:pPr>
        <w:spacing w:after="0" w:line="15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Refer to Note 16 – Contingencies in the Consolidated Financial Statements for further information regarding our guarantees, indemnifications and warranty liabilities.</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25</w:t>
      </w:r>
    </w:p>
    <w:p>
      <w:pPr>
        <w:sectPr>
          <w:pgSz w:w="11900" w:h="16838" w:orient="portrait"/>
          <w:cols w:equalWidth="0" w:num="1">
            <w:col w:w="11420"/>
          </w:cols>
          <w:pgMar w:left="240" w:top="269" w:right="239" w:bottom="1440" w:gutter="0" w:footer="0" w:header="0"/>
        </w:sectPr>
      </w:pPr>
    </w:p>
    <w:bookmarkStart w:id="108" w:name="page109"/>
    <w:bookmarkEnd w:id="108"/>
    <w:p>
      <w:pPr>
        <w:spacing w:after="0"/>
        <w:rPr>
          <w:sz w:val="20"/>
          <w:szCs w:val="20"/>
          <w:color w:val="auto"/>
        </w:rPr>
      </w:pPr>
      <w:r>
        <w:rPr>
          <w:rFonts w:ascii="Arial" w:cs="Arial" w:eastAsia="Arial" w:hAnsi="Arial"/>
          <w:sz w:val="24"/>
          <w:szCs w:val="24"/>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Risk Management</w:t>
      </w:r>
    </w:p>
    <w:p>
      <w:pPr>
        <w:spacing w:after="0" w:line="20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are exposed to market risk from foreign currency exchange rates and interest rates, which could affect operating results, financial position and cash flows. We manage our exposure to these market risks through our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155"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Recent market events have not required us to materially modify or change our financial risk management strategies with respect to our exposures to interest rate and foreign currency risk. Refer to Note 13 – Financial Instruments in the Consolidated Financial Statements for further discussion on our financial risk management.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Foreign Exchange Risk Management</w:t>
      </w:r>
    </w:p>
    <w:p>
      <w:pPr>
        <w:spacing w:after="0" w:line="1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Assuming a 10% appreciation or depreciation in foreign currency exchange rates from the quoted foreign currency exchange rates at December 31, 2009, the potential change in the fair value of foreign currency-denominated assets and liabilities in each entity would not be significant because all material currency asset and liability exposures were economically hedged as of December 31, 2009. A 10% appreciation or depreciation of the U.S. Dollar against all currencies from the quoted foreign currency exchange rates at December 31, 2009 would have a $689 million impact on our cumulative translation adjustment portion of equity. The net amount invested in foreign subsidiaries and affiliates primarily Xerox Limited, Fuji Xerox, Xerox Canada Inc. and Xerox do Brasil, and translated into Dollars using the year-end exchange rates, was $6.9 billion at December 31, 2009.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Interest Rate Risk Management</w:t>
      </w:r>
    </w:p>
    <w:p>
      <w:pPr>
        <w:spacing w:after="0" w:line="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consolidated weighted-average interest rates related to our total debt and liability to subsidiary trust issuing preferred securities for 2009, 2008 and 2007 approximated 6.1%, 6.6%, and 7.1%, respectively. Interest expense includes the impact of our interest rate derivatives.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Virtually all customer-financing assets earn fixed rates of interest. The interest rates on a significant portion of the Company’s term debt are fixed.</w:t>
      </w:r>
    </w:p>
    <w:p>
      <w:pPr>
        <w:spacing w:after="0" w:line="18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 of December 31, 2009, $2.4 billion of our total debt carried variable interest rates, including the effect of pay variable interest rate swaps we are utilizing with the intent to reduce the effective interest rate on our fixed coupon debt.</w:t>
      </w:r>
    </w:p>
    <w:p>
      <w:pPr>
        <w:spacing w:after="0" w:line="15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fair market values of our fixed-rate financial instruments are sensitive to changes in interest rates. At December 31, 2009, a 10% change in market interest rates would change the fair values of such financial instruments by approximately $274 million.</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Non-GAAP Financial Measures</w:t>
      </w:r>
    </w:p>
    <w:p>
      <w:pPr>
        <w:spacing w:after="0" w:line="28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reported our financial results in accordance with generally accepted accounting principles (“GAAP”). A reconciliation of the following non-GAAP financial measures to the most directly comparable financial measures calculated and presented in accordance with GAAP are set forth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Adjusted Revenue</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discussed the revenue growth for the year ended December 31, 2008 using non-GAAP financial measures. To understand trends in the business, we believe that it is helpful to adjust the revenue growth rates to illustrate the impact of the acquisition of GIS by including their estimated revenue for the comparable 2007 period. We refer to this adjusted revenue as “As Adjusted” in the following reconciliation table. Revenue “As Adjusted” adds GIS’s revenues from January 1, 2007 to May 8, 2007 to our 2007 reported revenue. Management believes these measures give investors an additional perspective on revenue trends, as well as the impact to the Company of the acquisition of GIS that was completed in May 2007.</w:t>
      </w:r>
    </w:p>
    <w:p>
      <w:pPr>
        <w:spacing w:after="0" w:line="14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26</w:t>
      </w:r>
    </w:p>
    <w:p>
      <w:pPr>
        <w:sectPr>
          <w:pgSz w:w="11900" w:h="16838" w:orient="portrait"/>
          <w:cols w:equalWidth="0" w:num="1">
            <w:col w:w="11420"/>
          </w:cols>
          <w:pgMar w:left="240" w:top="254"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5"/>
        </w:trPr>
        <w:tc>
          <w:tcPr>
            <w:tcW w:w="378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Equipment Sales Revenue:</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As Reported</w:t>
            </w:r>
          </w:p>
        </w:tc>
        <w:tc>
          <w:tcPr>
            <w:tcW w:w="3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4,679</w:t>
            </w: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4,753</w:t>
            </w:r>
          </w:p>
        </w:tc>
        <w:tc>
          <w:tcPr>
            <w:tcW w:w="1100" w:type="dxa"/>
            <w:vAlign w:val="bottom"/>
            <w:gridSpan w:val="2"/>
          </w:tcPr>
          <w:p>
            <w:pPr>
              <w:jc w:val="right"/>
              <w:ind w:right="102"/>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As Adjusted</w:t>
            </w:r>
          </w:p>
        </w:tc>
        <w:tc>
          <w:tcPr>
            <w:tcW w:w="3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4,679</w:t>
            </w:r>
          </w:p>
        </w:tc>
        <w:tc>
          <w:tcPr>
            <w:tcW w:w="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4,938</w:t>
            </w:r>
          </w:p>
        </w:tc>
        <w:tc>
          <w:tcPr>
            <w:tcW w:w="1100" w:type="dxa"/>
            <w:vAlign w:val="bottom"/>
            <w:gridSpan w:val="2"/>
            <w:shd w:val="clear" w:color="auto" w:fill="CCEEFF"/>
          </w:tcPr>
          <w:p>
            <w:pPr>
              <w:jc w:val="right"/>
              <w:ind w:right="102"/>
              <w:spacing w:after="0" w:line="202" w:lineRule="exact"/>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Post Sale Revenue:</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As Reported</w:t>
            </w:r>
          </w:p>
        </w:tc>
        <w:tc>
          <w:tcPr>
            <w:tcW w:w="3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12,929</w:t>
            </w:r>
          </w:p>
        </w:tc>
        <w:tc>
          <w:tcPr>
            <w:tcW w:w="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12,475</w:t>
            </w:r>
          </w:p>
        </w:tc>
        <w:tc>
          <w:tcPr>
            <w:tcW w:w="1100" w:type="dxa"/>
            <w:vAlign w:val="bottom"/>
            <w:gridSpan w:val="2"/>
            <w:shd w:val="clear" w:color="auto" w:fill="CCEEFF"/>
          </w:tcPr>
          <w:p>
            <w:pPr>
              <w:jc w:val="right"/>
              <w:ind w:right="102"/>
              <w:spacing w:after="0" w:line="202" w:lineRule="exact"/>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As Adjusted</w:t>
            </w:r>
          </w:p>
        </w:tc>
        <w:tc>
          <w:tcPr>
            <w:tcW w:w="3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12,929</w:t>
            </w: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12,681</w:t>
            </w:r>
          </w:p>
        </w:tc>
        <w:tc>
          <w:tcPr>
            <w:tcW w:w="1100" w:type="dxa"/>
            <w:vAlign w:val="bottom"/>
            <w:gridSpan w:val="2"/>
          </w:tcPr>
          <w:p>
            <w:pPr>
              <w:jc w:val="right"/>
              <w:ind w:right="102"/>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Revenues: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As Reported</w:t>
            </w:r>
          </w:p>
        </w:tc>
        <w:tc>
          <w:tcPr>
            <w:tcW w:w="3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17,608</w:t>
            </w: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17,228</w:t>
            </w:r>
          </w:p>
        </w:tc>
        <w:tc>
          <w:tcPr>
            <w:tcW w:w="1100" w:type="dxa"/>
            <w:vAlign w:val="bottom"/>
            <w:gridSpan w:val="2"/>
          </w:tcPr>
          <w:p>
            <w:pPr>
              <w:jc w:val="right"/>
              <w:ind w:right="102"/>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As Adjusted</w:t>
            </w:r>
          </w:p>
        </w:tc>
        <w:tc>
          <w:tcPr>
            <w:tcW w:w="3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17,608</w:t>
            </w:r>
          </w:p>
        </w:tc>
        <w:tc>
          <w:tcPr>
            <w:tcW w:w="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17,619</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1269BC"/>
        </w:rPr>
        <w:t>Adjusted Effective Tax Rate</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effective tax rate for the year ended December 31, 2008 is discussed using a non-GAAP financial measure that excludes the effect of charges associated with an equipment write-off; restructuring and asset impairments; certain litigation matters and the settlement of certain previously unrecognized tax benefits. Management believes that it is helpful to exclude these effects to better understand, analyze and compare 2008’s income tax expense and effective tax rate to the 2007 amounts given the discrete nature and size of these items in 2008.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60" w:type="dxa"/>
            <w:vAlign w:val="bottom"/>
            <w:gridSpan w:val="7"/>
          </w:tcPr>
          <w:p>
            <w:pPr>
              <w:ind w:left="480"/>
              <w:spacing w:after="0"/>
              <w:rPr>
                <w:sz w:val="20"/>
                <w:szCs w:val="20"/>
                <w:color w:val="auto"/>
              </w:rPr>
            </w:pPr>
            <w:r>
              <w:rPr>
                <w:rFonts w:ascii="Arial" w:cs="Arial" w:eastAsia="Arial" w:hAnsi="Arial"/>
                <w:sz w:val="14"/>
                <w:szCs w:val="14"/>
                <w:b w:val="1"/>
                <w:bCs w:val="1"/>
                <w:color w:val="auto"/>
              </w:rPr>
              <w:t>Year Ended December 31, 2008</w:t>
            </w:r>
          </w:p>
        </w:tc>
      </w:tr>
      <w:tr>
        <w:trPr>
          <w:trHeight w:val="125"/>
        </w:trPr>
        <w:tc>
          <w:tcPr>
            <w:tcW w:w="70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37"/>
              <w:spacing w:after="0" w:line="125" w:lineRule="exact"/>
              <w:rPr>
                <w:sz w:val="20"/>
                <w:szCs w:val="20"/>
                <w:color w:val="auto"/>
              </w:rPr>
            </w:pPr>
            <w:r>
              <w:rPr>
                <w:rFonts w:ascii="Arial" w:cs="Arial" w:eastAsia="Arial" w:hAnsi="Arial"/>
                <w:sz w:val="14"/>
                <w:szCs w:val="14"/>
                <w:b w:val="1"/>
                <w:bCs w:val="1"/>
                <w:color w:val="auto"/>
              </w:rPr>
              <w:t>Income</w:t>
            </w: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6"/>
              <w:spacing w:after="0" w:line="125" w:lineRule="exact"/>
              <w:rPr>
                <w:sz w:val="20"/>
                <w:szCs w:val="20"/>
                <w:color w:val="auto"/>
              </w:rPr>
            </w:pPr>
            <w:r>
              <w:rPr>
                <w:rFonts w:ascii="Arial" w:cs="Arial" w:eastAsia="Arial" w:hAnsi="Arial"/>
                <w:sz w:val="14"/>
                <w:szCs w:val="14"/>
                <w:b w:val="1"/>
                <w:bCs w:val="1"/>
                <w:color w:val="auto"/>
              </w:rPr>
              <w:t>Effective Tax</w:t>
            </w:r>
          </w:p>
        </w:tc>
        <w:tc>
          <w:tcPr>
            <w:tcW w:w="220" w:type="dxa"/>
            <w:vAlign w:val="bottom"/>
          </w:tcPr>
          <w:p>
            <w:pPr>
              <w:spacing w:after="0"/>
              <w:rPr>
                <w:sz w:val="10"/>
                <w:szCs w:val="10"/>
                <w:color w:val="auto"/>
              </w:rPr>
            </w:pPr>
          </w:p>
        </w:tc>
      </w:tr>
      <w:tr>
        <w:trPr>
          <w:trHeight w:val="165"/>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(in millions)</w:t>
            </w:r>
          </w:p>
        </w:tc>
        <w:tc>
          <w:tcPr>
            <w:tcW w:w="4080" w:type="dxa"/>
            <w:vAlign w:val="bottom"/>
          </w:tcPr>
          <w:p>
            <w:pPr>
              <w:spacing w:after="0"/>
              <w:rPr>
                <w:sz w:val="14"/>
                <w:szCs w:val="1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Pre-Tax Income</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Taxes</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4"/>
                <w:szCs w:val="14"/>
                <w:color w:val="auto"/>
              </w:rPr>
            </w:pPr>
          </w:p>
        </w:tc>
      </w:tr>
      <w:tr>
        <w:trPr>
          <w:trHeight w:val="196"/>
        </w:trPr>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 Reported</w:t>
            </w:r>
          </w:p>
        </w:tc>
        <w:tc>
          <w:tcPr>
            <w:tcW w:w="4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(79)</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7"/>
              <w:spacing w:after="0" w:line="196" w:lineRule="exact"/>
              <w:rPr>
                <w:sz w:val="20"/>
                <w:szCs w:val="20"/>
                <w:color w:val="auto"/>
              </w:rPr>
            </w:pPr>
            <w:r>
              <w:rPr>
                <w:rFonts w:ascii="Arial" w:cs="Arial" w:eastAsia="Arial" w:hAnsi="Arial"/>
                <w:sz w:val="18"/>
                <w:szCs w:val="18"/>
                <w:color w:val="auto"/>
              </w:rPr>
              <w:t>(231)</w:t>
            </w:r>
          </w:p>
        </w:tc>
        <w:tc>
          <w:tcPr>
            <w:tcW w:w="1200" w:type="dxa"/>
            <w:vAlign w:val="bottom"/>
            <w:gridSpan w:val="2"/>
            <w:shd w:val="clear" w:color="auto" w:fill="CCEEFF"/>
          </w:tcPr>
          <w:p>
            <w:pPr>
              <w:jc w:val="right"/>
              <w:ind w:right="26"/>
              <w:spacing w:after="0" w:line="196" w:lineRule="exact"/>
              <w:rPr>
                <w:sz w:val="20"/>
                <w:szCs w:val="20"/>
                <w:color w:val="auto"/>
              </w:rPr>
            </w:pPr>
            <w:r>
              <w:rPr>
                <w:rFonts w:ascii="Arial" w:cs="Arial" w:eastAsia="Arial" w:hAnsi="Arial"/>
                <w:sz w:val="18"/>
                <w:szCs w:val="18"/>
                <w:color w:val="auto"/>
              </w:rPr>
              <w:t>292.4%</w:t>
            </w:r>
          </w:p>
        </w:tc>
        <w:tc>
          <w:tcPr>
            <w:tcW w:w="220" w:type="dxa"/>
            <w:vAlign w:val="bottom"/>
            <w:shd w:val="clear" w:color="auto" w:fill="CCEEFF"/>
          </w:tcPr>
          <w:p>
            <w:pPr>
              <w:spacing w:after="0"/>
              <w:rPr>
                <w:sz w:val="17"/>
                <w:szCs w:val="17"/>
                <w:color w:val="auto"/>
              </w:rPr>
            </w:pPr>
          </w:p>
        </w:tc>
      </w:tr>
      <w:tr>
        <w:trPr>
          <w:trHeight w:val="203"/>
        </w:trPr>
        <w:tc>
          <w:tcPr>
            <w:tcW w:w="47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Restructuring and asset impairment charges</w:t>
            </w:r>
          </w:p>
        </w:tc>
        <w:tc>
          <w:tcPr>
            <w:tcW w:w="400" w:type="dxa"/>
            <w:vAlign w:val="bottom"/>
          </w:tcPr>
          <w:p>
            <w:pPr>
              <w:spacing w:after="0"/>
              <w:rPr>
                <w:sz w:val="17"/>
                <w:szCs w:val="17"/>
                <w:color w:val="auto"/>
              </w:rPr>
            </w:pPr>
          </w:p>
        </w:tc>
        <w:tc>
          <w:tcPr>
            <w:tcW w:w="8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426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134</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7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Equipment write-off</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7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Provision for securities litigation matters</w:t>
            </w:r>
          </w:p>
        </w:tc>
        <w:tc>
          <w:tcPr>
            <w:tcW w:w="400" w:type="dxa"/>
            <w:vAlign w:val="bottom"/>
          </w:tcPr>
          <w:p>
            <w:pPr>
              <w:spacing w:after="0"/>
              <w:rPr>
                <w:sz w:val="17"/>
                <w:szCs w:val="17"/>
                <w:color w:val="auto"/>
              </w:rPr>
            </w:pPr>
          </w:p>
        </w:tc>
        <w:tc>
          <w:tcPr>
            <w:tcW w:w="8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774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283</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7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Tax settlements</w:t>
            </w: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0"/>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As Adjusted</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1,160</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242</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b w:val="1"/>
                <w:bCs w:val="1"/>
                <w:color w:val="auto"/>
              </w:rPr>
              <w:t>20.9%</w:t>
            </w:r>
          </w:p>
        </w:tc>
        <w:tc>
          <w:tcPr>
            <w:tcW w:w="22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Management believes that these non-GAAP financial measures provide an additional means of analyzing the current period results against the corresponding prior period results. However, non-GAAP financial measures should be viewed in addition to, and not as a substitute for, the Company’s reported results prepared in accordance with GAAP.</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This Annual Report contains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Information concerning these factors is included in our 2009 Annual Report on Form 10-K filed with the Securities and Exchange Commission (“SEC”). We do not intend to update these forward-looking statements, except as required by law.</w:t>
      </w:r>
    </w:p>
    <w:p>
      <w:pPr>
        <w:spacing w:after="0" w:line="11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27</w:t>
      </w:r>
    </w:p>
    <w:p>
      <w:pPr>
        <w:sectPr>
          <w:pgSz w:w="11900" w:h="16838" w:orient="portrait"/>
          <w:cols w:equalWidth="0" w:num="1">
            <w:col w:w="11420"/>
          </w:cols>
          <w:pgMar w:left="240" w:top="271" w:right="239" w:bottom="1440" w:gutter="0" w:footer="0" w:header="0"/>
        </w:sectPr>
      </w:pPr>
    </w:p>
    <w:bookmarkStart w:id="110" w:name="page111"/>
    <w:bookmarkEnd w:id="110"/>
    <w:p>
      <w:pPr>
        <w:spacing w:after="0"/>
        <w:rPr>
          <w:sz w:val="20"/>
          <w:szCs w:val="20"/>
          <w:color w:val="auto"/>
        </w:rPr>
      </w:pPr>
      <w:r>
        <w:rPr>
          <w:rFonts w:ascii="Arial" w:cs="Arial" w:eastAsia="Arial" w:hAnsi="Arial"/>
          <w:sz w:val="24"/>
          <w:szCs w:val="24"/>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XEROX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CONSOLIDATED STATEMENTS OF INCOME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80" w:type="dxa"/>
            <w:vAlign w:val="bottom"/>
            <w:gridSpan w:val="3"/>
            <w:vMerge w:val="restart"/>
          </w:tcPr>
          <w:p>
            <w:pPr>
              <w:spacing w:after="0"/>
              <w:rPr>
                <w:sz w:val="20"/>
                <w:szCs w:val="20"/>
                <w:color w:val="auto"/>
              </w:rPr>
            </w:pPr>
            <w:r>
              <w:rPr>
                <w:rFonts w:ascii="Arial" w:cs="Arial" w:eastAsia="Arial" w:hAnsi="Arial"/>
                <w:sz w:val="14"/>
                <w:szCs w:val="14"/>
                <w:color w:val="auto"/>
              </w:rPr>
              <w:t>(in millions, except per-share data)</w:t>
            </w:r>
          </w:p>
        </w:tc>
        <w:tc>
          <w:tcPr>
            <w:tcW w:w="1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5"/>
              </w:rPr>
              <w:t>Year Ended December 31,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4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gridSpan w:val="3"/>
          </w:tcPr>
          <w:p>
            <w:pPr>
              <w:spacing w:after="0" w:line="202" w:lineRule="exact"/>
              <w:rPr>
                <w:sz w:val="20"/>
                <w:szCs w:val="20"/>
                <w:color w:val="auto"/>
              </w:rPr>
            </w:pPr>
            <w:r>
              <w:rPr>
                <w:rFonts w:ascii="Arial" w:cs="Arial" w:eastAsia="Arial" w:hAnsi="Arial"/>
                <w:sz w:val="18"/>
                <w:szCs w:val="18"/>
                <w:color w:val="auto"/>
              </w:rPr>
              <w:t>Sales</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6,646</w:t>
            </w: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8,325</w:t>
            </w:r>
          </w:p>
        </w:tc>
        <w:tc>
          <w:tcPr>
            <w:tcW w:w="380" w:type="dxa"/>
            <w:vAlign w:val="bottom"/>
          </w:tcPr>
          <w:p>
            <w:pPr>
              <w:spacing w:after="0"/>
              <w:rPr>
                <w:sz w:val="17"/>
                <w:szCs w:val="17"/>
                <w:color w:val="auto"/>
              </w:rPr>
            </w:pPr>
          </w:p>
        </w:tc>
        <w:tc>
          <w:tcPr>
            <w:tcW w:w="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8,192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Service, outsourcing and rentals</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7,820</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8,485</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03"/>
        </w:trPr>
        <w:tc>
          <w:tcPr>
            <w:tcW w:w="6180" w:type="dxa"/>
            <w:vAlign w:val="bottom"/>
            <w:gridSpan w:val="3"/>
          </w:tcPr>
          <w:p>
            <w:pPr>
              <w:spacing w:after="0" w:line="202" w:lineRule="exact"/>
              <w:rPr>
                <w:sz w:val="20"/>
                <w:szCs w:val="20"/>
                <w:color w:val="auto"/>
              </w:rPr>
            </w:pPr>
            <w:r>
              <w:rPr>
                <w:rFonts w:ascii="Arial" w:cs="Arial" w:eastAsia="Arial" w:hAnsi="Arial"/>
                <w:sz w:val="18"/>
                <w:szCs w:val="18"/>
                <w:color w:val="auto"/>
              </w:rPr>
              <w:t>Finance income</w:t>
            </w:r>
          </w:p>
        </w:tc>
        <w:tc>
          <w:tcPr>
            <w:tcW w:w="1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713</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798</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Total Revenues</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15,179</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b w:val="1"/>
                <w:bCs w:val="1"/>
                <w:color w:val="auto"/>
              </w:rPr>
              <w:t>17,608</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b w:val="1"/>
                <w:bCs w:val="1"/>
                <w:color w:val="auto"/>
              </w:rPr>
              <w:t>17,228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Costs and Expenses</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4,395</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5,519</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03"/>
        </w:trPr>
        <w:tc>
          <w:tcPr>
            <w:tcW w:w="6180" w:type="dxa"/>
            <w:vAlign w:val="bottom"/>
            <w:gridSpan w:val="3"/>
          </w:tcPr>
          <w:p>
            <w:pPr>
              <w:spacing w:after="0" w:line="202" w:lineRule="exact"/>
              <w:rPr>
                <w:sz w:val="20"/>
                <w:szCs w:val="20"/>
                <w:color w:val="auto"/>
              </w:rPr>
            </w:pPr>
            <w:r>
              <w:rPr>
                <w:rFonts w:ascii="Arial" w:cs="Arial" w:eastAsia="Arial" w:hAnsi="Arial"/>
                <w:sz w:val="18"/>
                <w:szCs w:val="18"/>
                <w:color w:val="auto"/>
              </w:rPr>
              <w:t>Cost of service, outsourcing and rentals</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4,488</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4,929</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Equipment financing interest</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271</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305</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3"/>
        </w:trPr>
        <w:tc>
          <w:tcPr>
            <w:tcW w:w="6180" w:type="dxa"/>
            <w:vAlign w:val="bottom"/>
            <w:gridSpan w:val="3"/>
          </w:tcPr>
          <w:p>
            <w:pPr>
              <w:spacing w:after="0" w:line="202" w:lineRule="exact"/>
              <w:rPr>
                <w:sz w:val="20"/>
                <w:szCs w:val="20"/>
                <w:color w:val="auto"/>
              </w:rPr>
            </w:pPr>
            <w:r>
              <w:rPr>
                <w:rFonts w:ascii="Arial" w:cs="Arial" w:eastAsia="Arial" w:hAnsi="Arial"/>
                <w:sz w:val="18"/>
                <w:szCs w:val="18"/>
                <w:color w:val="auto"/>
              </w:rPr>
              <w:t>Research, development and engineering expenses</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840</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884</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administrative and general expenses</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4,149</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4,534</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03"/>
        </w:trPr>
        <w:tc>
          <w:tcPr>
            <w:tcW w:w="6180" w:type="dxa"/>
            <w:vAlign w:val="bottom"/>
            <w:gridSpan w:val="3"/>
          </w:tcPr>
          <w:p>
            <w:pPr>
              <w:spacing w:after="0" w:line="202" w:lineRule="exact"/>
              <w:rPr>
                <w:sz w:val="20"/>
                <w:szCs w:val="20"/>
                <w:color w:val="auto"/>
              </w:rPr>
            </w:pPr>
            <w:r>
              <w:rPr>
                <w:rFonts w:ascii="Arial" w:cs="Arial" w:eastAsia="Arial" w:hAnsi="Arial"/>
                <w:sz w:val="18"/>
                <w:szCs w:val="18"/>
                <w:color w:val="auto"/>
              </w:rPr>
              <w:t>Restructuring and asset impairment charges</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429</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Acquisition-related costs</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80" w:type="dxa"/>
            <w:vAlign w:val="bottom"/>
            <w:gridSpan w:val="3"/>
          </w:tcPr>
          <w:p>
            <w:pPr>
              <w:spacing w:after="0" w:line="202" w:lineRule="exact"/>
              <w:rPr>
                <w:sz w:val="20"/>
                <w:szCs w:val="20"/>
                <w:color w:val="auto"/>
              </w:rPr>
            </w:pPr>
            <w:r>
              <w:rPr>
                <w:rFonts w:ascii="Arial" w:cs="Arial" w:eastAsia="Arial" w:hAnsi="Arial"/>
                <w:sz w:val="18"/>
                <w:szCs w:val="18"/>
                <w:color w:val="auto"/>
              </w:rPr>
              <w:t>Other expenses, net</w:t>
            </w:r>
          </w:p>
        </w:tc>
        <w:tc>
          <w:tcPr>
            <w:tcW w:w="1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345</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1,087</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Total Costs and Expenses</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14,552</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b w:val="1"/>
                <w:bCs w:val="1"/>
                <w:color w:val="auto"/>
              </w:rPr>
              <w:t>17,687</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b w:val="1"/>
                <w:bCs w:val="1"/>
                <w:color w:val="auto"/>
              </w:rPr>
              <w:t>15,760</w:t>
            </w:r>
          </w:p>
        </w:tc>
        <w:tc>
          <w:tcPr>
            <w:tcW w:w="0" w:type="dxa"/>
            <w:vAlign w:val="bottom"/>
          </w:tcPr>
          <w:p>
            <w:pPr>
              <w:spacing w:after="0"/>
              <w:rPr>
                <w:sz w:val="1"/>
                <w:szCs w:val="1"/>
                <w:color w:val="auto"/>
              </w:rPr>
            </w:pPr>
          </w:p>
        </w:tc>
      </w:tr>
      <w:tr>
        <w:trPr>
          <w:trHeight w:val="311"/>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Income (Loss) before Income Taxes and Equity Income</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627</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b w:val="1"/>
                <w:bCs w:val="1"/>
                <w:color w:val="auto"/>
              </w:rPr>
              <w:t>(79)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b w:val="1"/>
                <w:bCs w:val="1"/>
                <w:color w:val="auto"/>
              </w:rPr>
              <w:t>1,468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152</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(231)</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6180" w:type="dxa"/>
            <w:vAlign w:val="bottom"/>
            <w:gridSpan w:val="3"/>
          </w:tcPr>
          <w:p>
            <w:pPr>
              <w:spacing w:after="0" w:line="202" w:lineRule="exact"/>
              <w:rPr>
                <w:sz w:val="20"/>
                <w:szCs w:val="20"/>
                <w:color w:val="auto"/>
              </w:rPr>
            </w:pPr>
            <w:r>
              <w:rPr>
                <w:rFonts w:ascii="Arial" w:cs="Arial" w:eastAsia="Arial" w:hAnsi="Arial"/>
                <w:sz w:val="18"/>
                <w:szCs w:val="18"/>
                <w:color w:val="auto"/>
              </w:rPr>
              <w:t>Equity in net income of unconsolidated affiliates</w:t>
            </w:r>
          </w:p>
        </w:tc>
        <w:tc>
          <w:tcPr>
            <w:tcW w:w="1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41</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113</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Net Income</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516</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b w:val="1"/>
                <w:bCs w:val="1"/>
                <w:color w:val="auto"/>
              </w:rPr>
              <w:t>265</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b w:val="1"/>
                <w:bCs w:val="1"/>
                <w:color w:val="auto"/>
              </w:rPr>
              <w:t>1,165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1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31</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35</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Net Income Attributable to Xerox</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485</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b w:val="1"/>
                <w:bCs w:val="1"/>
                <w:color w:val="auto"/>
              </w:rPr>
              <w:t>230</w:t>
            </w:r>
          </w:p>
        </w:tc>
        <w:tc>
          <w:tcPr>
            <w:tcW w:w="3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b w:val="1"/>
                <w:bCs w:val="1"/>
                <w:color w:val="auto"/>
              </w:rPr>
              <w:t>1,135</w:t>
            </w:r>
          </w:p>
        </w:tc>
        <w:tc>
          <w:tcPr>
            <w:tcW w:w="0" w:type="dxa"/>
            <w:vAlign w:val="bottom"/>
          </w:tcPr>
          <w:p>
            <w:pPr>
              <w:spacing w:after="0"/>
              <w:rPr>
                <w:sz w:val="1"/>
                <w:szCs w:val="1"/>
                <w:color w:val="auto"/>
              </w:rPr>
            </w:pPr>
          </w:p>
        </w:tc>
      </w:tr>
      <w:tr>
        <w:trPr>
          <w:trHeight w:val="20"/>
        </w:trPr>
        <w:tc>
          <w:tcPr>
            <w:tcW w:w="618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Basic Earnings per Share</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b w:val="1"/>
                <w:bCs w:val="1"/>
                <w:color w:val="auto"/>
              </w:rPr>
              <w:t>0.56</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93"/>
              <w:spacing w:after="0"/>
              <w:rPr>
                <w:sz w:val="20"/>
                <w:szCs w:val="20"/>
                <w:color w:val="auto"/>
              </w:rPr>
            </w:pPr>
            <w:r>
              <w:rPr>
                <w:rFonts w:ascii="Arial" w:cs="Arial" w:eastAsia="Arial" w:hAnsi="Arial"/>
                <w:sz w:val="18"/>
                <w:szCs w:val="18"/>
                <w:b w:val="1"/>
                <w:bCs w:val="1"/>
                <w:color w:val="auto"/>
              </w:rPr>
              <w:t>0.26</w:t>
            </w:r>
          </w:p>
        </w:tc>
        <w:tc>
          <w:tcPr>
            <w:tcW w:w="380" w:type="dxa"/>
            <w:vAlign w:val="bottom"/>
          </w:tcPr>
          <w:p>
            <w:pPr>
              <w:spacing w:after="0"/>
              <w:rPr>
                <w:sz w:val="24"/>
                <w:szCs w:val="2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0.55</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b w:val="1"/>
                <w:bCs w:val="1"/>
                <w:color w:val="auto"/>
              </w:rPr>
              <w:t>0.26</w:t>
            </w:r>
          </w:p>
        </w:tc>
        <w:tc>
          <w:tcPr>
            <w:tcW w:w="3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28</w:t>
      </w:r>
    </w:p>
    <w:p>
      <w:pPr>
        <w:sectPr>
          <w:pgSz w:w="11900" w:h="16838" w:orient="portrait"/>
          <w:cols w:equalWidth="0" w:num="1">
            <w:col w:w="11420"/>
          </w:cols>
          <w:pgMar w:left="240" w:top="254" w:right="239" w:bottom="1440" w:gutter="0" w:footer="0" w:header="0"/>
        </w:sectPr>
      </w:pPr>
    </w:p>
    <w:bookmarkStart w:id="111" w:name="page112"/>
    <w:bookmarkEnd w:id="111"/>
    <w:p>
      <w:pPr>
        <w:spacing w:after="0"/>
        <w:rPr>
          <w:sz w:val="20"/>
          <w:szCs w:val="20"/>
          <w:color w:val="auto"/>
        </w:rPr>
      </w:pPr>
      <w:r>
        <w:rPr>
          <w:rFonts w:ascii="Arial" w:cs="Arial" w:eastAsia="Arial" w:hAnsi="Arial"/>
          <w:sz w:val="24"/>
          <w:szCs w:val="24"/>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XEROX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0" w:type="dxa"/>
            <w:vAlign w:val="bottom"/>
            <w:gridSpan w:val="3"/>
          </w:tcPr>
          <w:p>
            <w:pPr>
              <w:spacing w:after="0" w:line="142" w:lineRule="exact"/>
              <w:rPr>
                <w:sz w:val="20"/>
                <w:szCs w:val="20"/>
                <w:color w:val="auto"/>
              </w:rPr>
            </w:pPr>
            <w:r>
              <w:rPr>
                <w:rFonts w:ascii="Arial" w:cs="Arial" w:eastAsia="Arial" w:hAnsi="Arial"/>
                <w:sz w:val="14"/>
                <w:szCs w:val="14"/>
                <w:color w:val="auto"/>
              </w:rPr>
              <w:t>(in millions, except share data in thousands)</w:t>
            </w: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9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Cash and cash equivalents</w:t>
            </w:r>
          </w:p>
        </w:tc>
        <w:tc>
          <w:tcPr>
            <w:tcW w:w="2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3,799</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net</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1,702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Billed portion of finance receivables, net</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226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Finance receivables, net</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2,396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Inventories</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900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current assets</w:t>
            </w:r>
          </w:p>
        </w:tc>
        <w:tc>
          <w:tcPr>
            <w:tcW w:w="2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708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9,731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Finance receivables due after one year, net</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4,405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Equipment on operating leases, net</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551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Land, buildings and equipment, net</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1,309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Investments in affiliates, at equity</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1,056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598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Goodwill</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3,422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 assets, long-term</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1,640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Other long-term assets</w:t>
            </w:r>
          </w:p>
        </w:tc>
        <w:tc>
          <w:tcPr>
            <w:tcW w:w="2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color w:val="auto"/>
              </w:rPr>
              <w:t>1,320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Total Assets</w:t>
            </w:r>
          </w:p>
        </w:tc>
        <w:tc>
          <w:tcPr>
            <w:tcW w:w="2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24,032</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22,447</w:t>
            </w: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600" w:type="dxa"/>
            <w:vAlign w:val="bottom"/>
            <w:gridSpan w:val="3"/>
            <w:vMerge w:val="continue"/>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Short-term debt and current portion of long-term debt</w:t>
            </w:r>
          </w:p>
        </w:tc>
        <w:tc>
          <w:tcPr>
            <w:tcW w:w="2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988</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Accounts payable</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1,451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 and benefits costs</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Other current liabilities</w:t>
            </w:r>
          </w:p>
        </w:tc>
        <w:tc>
          <w:tcPr>
            <w:tcW w:w="2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color w:val="auto"/>
              </w:rPr>
              <w:t>1,327</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current liabilities</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4,461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Long-term debt</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8,276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Liability to subsidiary trust issuing preferred securities</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649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Pension and other benefit liabilities</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1,884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Post-retirement medical benefits</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999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Other long-term liabilities</w:t>
            </w:r>
          </w:p>
        </w:tc>
        <w:tc>
          <w:tcPr>
            <w:tcW w:w="2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color w:val="auto"/>
              </w:rPr>
              <w:t>572</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Total Liabilities</w:t>
            </w:r>
          </w:p>
        </w:tc>
        <w:tc>
          <w:tcPr>
            <w:tcW w:w="2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16,841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16,089</w:t>
            </w:r>
          </w:p>
        </w:tc>
        <w:tc>
          <w:tcPr>
            <w:tcW w:w="0" w:type="dxa"/>
            <w:vAlign w:val="bottom"/>
          </w:tcPr>
          <w:p>
            <w:pPr>
              <w:spacing w:after="0"/>
              <w:rPr>
                <w:sz w:val="1"/>
                <w:szCs w:val="1"/>
                <w:color w:val="auto"/>
              </w:rPr>
            </w:pPr>
          </w:p>
        </w:tc>
      </w:tr>
      <w:tr>
        <w:trPr>
          <w:trHeight w:val="318"/>
        </w:trPr>
        <w:tc>
          <w:tcPr>
            <w:tcW w:w="660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871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2,493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Retained earnings</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5,674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2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(1,988)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rPr>
              <w:t>Xerox Shareholders’ Equity</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7,050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Noncontrolling interests</w:t>
            </w:r>
          </w:p>
        </w:tc>
        <w:tc>
          <w:tcPr>
            <w:tcW w:w="2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Equity</w:t>
            </w:r>
          </w:p>
        </w:tc>
        <w:tc>
          <w:tcPr>
            <w:tcW w:w="2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7,191</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6,358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Total Liabilities and Equity</w:t>
            </w:r>
          </w:p>
        </w:tc>
        <w:tc>
          <w:tcPr>
            <w:tcW w:w="2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24,032</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22,447</w:t>
            </w:r>
          </w:p>
        </w:tc>
        <w:tc>
          <w:tcPr>
            <w:tcW w:w="0" w:type="dxa"/>
            <w:vAlign w:val="bottom"/>
          </w:tcPr>
          <w:p>
            <w:pPr>
              <w:spacing w:after="0"/>
              <w:rPr>
                <w:sz w:val="1"/>
                <w:szCs w:val="1"/>
                <w:color w:val="auto"/>
              </w:rPr>
            </w:pPr>
          </w:p>
        </w:tc>
      </w:tr>
      <w:tr>
        <w:trPr>
          <w:trHeight w:val="20"/>
        </w:trPr>
        <w:tc>
          <w:tcPr>
            <w:tcW w:w="264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Shares of Common Stock Issued and Outstanding</w:t>
            </w:r>
          </w:p>
        </w:tc>
        <w:tc>
          <w:tcPr>
            <w:tcW w:w="2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869,381</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864,777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9300" w:type="dxa"/>
            <w:vAlign w:val="bottom"/>
            <w:gridSpan w:val="4"/>
          </w:tcPr>
          <w:p>
            <w:pPr>
              <w:ind w:left="2200"/>
              <w:spacing w:after="0"/>
              <w:rPr>
                <w:sz w:val="20"/>
                <w:szCs w:val="20"/>
                <w:color w:val="auto"/>
              </w:rPr>
            </w:pPr>
            <w:r>
              <w:rPr>
                <w:rFonts w:ascii="Arial" w:cs="Arial" w:eastAsia="Arial" w:hAnsi="Arial"/>
                <w:sz w:val="18"/>
                <w:szCs w:val="18"/>
                <w:color w:val="auto"/>
                <w:w w:val="99"/>
              </w:rPr>
              <w:t>The accompanying notes are an integral part of these Consolidated Financial Statements.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820" w:type="dxa"/>
            <w:vAlign w:val="bottom"/>
            <w:gridSpan w:val="6"/>
          </w:tcPr>
          <w:p>
            <w:pPr>
              <w:jc w:val="right"/>
              <w:spacing w:after="0"/>
              <w:rPr>
                <w:sz w:val="20"/>
                <w:szCs w:val="20"/>
                <w:color w:val="auto"/>
              </w:rPr>
            </w:pPr>
            <w:r>
              <w:rPr>
                <w:rFonts w:ascii="Arial" w:cs="Arial" w:eastAsia="Arial" w:hAnsi="Arial"/>
                <w:sz w:val="18"/>
                <w:szCs w:val="18"/>
                <w:color w:val="1269BC"/>
              </w:rPr>
              <w:t>Xerox 2009 Annual Report  29</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4" w:right="239" w:bottom="1440" w:gutter="0" w:footer="0" w:header="0"/>
        </w:sectPr>
      </w:pPr>
    </w:p>
    <w:bookmarkStart w:id="112" w:name="page113"/>
    <w:bookmarkEnd w:id="112"/>
    <w:p>
      <w:pPr>
        <w:spacing w:after="0"/>
        <w:rPr>
          <w:sz w:val="20"/>
          <w:szCs w:val="20"/>
          <w:color w:val="auto"/>
        </w:rPr>
      </w:pPr>
      <w:r>
        <w:rPr>
          <w:rFonts w:ascii="Arial" w:cs="Arial" w:eastAsia="Arial" w:hAnsi="Arial"/>
          <w:sz w:val="24"/>
          <w:szCs w:val="24"/>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XEROX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ind w:right="35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00" w:type="dxa"/>
            <w:vAlign w:val="bottom"/>
            <w:gridSpan w:val="3"/>
          </w:tcPr>
          <w:p>
            <w:pPr>
              <w:spacing w:after="0" w:line="142" w:lineRule="exact"/>
              <w:rPr>
                <w:sz w:val="20"/>
                <w:szCs w:val="20"/>
                <w:color w:val="auto"/>
              </w:rPr>
            </w:pPr>
            <w:r>
              <w:rPr>
                <w:rFonts w:ascii="Arial" w:cs="Arial" w:eastAsia="Arial" w:hAnsi="Arial"/>
                <w:sz w:val="14"/>
                <w:szCs w:val="14"/>
                <w:color w:val="auto"/>
              </w:rPr>
              <w:t>(in millions)</w:t>
            </w:r>
          </w:p>
        </w:tc>
        <w:tc>
          <w:tcPr>
            <w:tcW w:w="7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9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722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3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265</w:t>
            </w:r>
          </w:p>
        </w:tc>
        <w:tc>
          <w:tcPr>
            <w:tcW w:w="3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Adjustments required to reconcile net income to cash flows from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698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669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receivables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Provision for inventory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expense (benefit)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Net gain on sales of businesses and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Undistributed equity in net income of unconsolidated affiliates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litigation,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781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Payments for securities litigation,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Restructuring and asset impairment charges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429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Payments for restructurings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Contributions to pension benefit plans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98"/>
              </w:rPr>
              <w:t>Decrease (increase)</w:t>
            </w:r>
          </w:p>
        </w:tc>
        <w:tc>
          <w:tcPr>
            <w:tcW w:w="7220" w:type="dxa"/>
            <w:vAlign w:val="bottom"/>
          </w:tcPr>
          <w:p>
            <w:pPr>
              <w:ind w:left="40"/>
              <w:spacing w:after="0" w:line="149" w:lineRule="exact"/>
              <w:rPr>
                <w:sz w:val="20"/>
                <w:szCs w:val="20"/>
                <w:color w:val="auto"/>
              </w:rPr>
            </w:pPr>
            <w:r>
              <w:rPr>
                <w:rFonts w:ascii="Arial" w:cs="Arial" w:eastAsia="Arial" w:hAnsi="Arial"/>
                <w:sz w:val="14"/>
                <w:szCs w:val="14"/>
                <w:color w:val="auto"/>
              </w:rPr>
              <w:t>in accounts receivable and billed portion of finance receivables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98"/>
              </w:rPr>
              <w:t>Decrease (increase)</w:t>
            </w:r>
          </w:p>
        </w:tc>
        <w:tc>
          <w:tcPr>
            <w:tcW w:w="72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 inventories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Increase in equipment on operating leases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finance receivables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98"/>
              </w:rPr>
              <w:t>Decrease (increase)</w:t>
            </w:r>
          </w:p>
        </w:tc>
        <w:tc>
          <w:tcPr>
            <w:tcW w:w="7220" w:type="dxa"/>
            <w:vAlign w:val="bottom"/>
          </w:tcPr>
          <w:p>
            <w:pPr>
              <w:ind w:left="40"/>
              <w:spacing w:after="0" w:line="149" w:lineRule="exact"/>
              <w:rPr>
                <w:sz w:val="20"/>
                <w:szCs w:val="20"/>
                <w:color w:val="auto"/>
              </w:rPr>
            </w:pPr>
            <w:r>
              <w:rPr>
                <w:rFonts w:ascii="Arial" w:cs="Arial" w:eastAsia="Arial" w:hAnsi="Arial"/>
                <w:sz w:val="14"/>
                <w:szCs w:val="14"/>
                <w:color w:val="auto"/>
              </w:rPr>
              <w:t>in other current and long-term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accounts payable and accrued compensation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(Decrease) increase in other current and long-term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in income tax assets and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Net change in derivative assets and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230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Other operating, net</w:t>
            </w:r>
          </w:p>
        </w:tc>
        <w:tc>
          <w:tcPr>
            <w:tcW w:w="7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80" w:type="dxa"/>
            <w:vAlign w:val="bottom"/>
            <w:gridSpan w:val="2"/>
          </w:tcPr>
          <w:p>
            <w:pPr>
              <w:ind w:left="240"/>
              <w:spacing w:after="0"/>
              <w:rPr>
                <w:sz w:val="20"/>
                <w:szCs w:val="20"/>
                <w:color w:val="auto"/>
              </w:rPr>
            </w:pPr>
            <w:r>
              <w:rPr>
                <w:rFonts w:ascii="Arial" w:cs="Arial" w:eastAsia="Arial" w:hAnsi="Arial"/>
                <w:sz w:val="14"/>
                <w:szCs w:val="14"/>
                <w:color w:val="auto"/>
              </w:rPr>
              <w:t>Net cash provided by operating activities</w:t>
            </w: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2,208</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939</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Cost of additions to land, buildings and equipment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of land, buildings and equipment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Cost of additions to internal use software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Acquisitions, net of cash acquired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Net change in escrow and other restricted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investing, net</w:t>
            </w:r>
          </w:p>
        </w:tc>
        <w:tc>
          <w:tcPr>
            <w:tcW w:w="7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80" w:type="dxa"/>
            <w:vAlign w:val="bottom"/>
            <w:gridSpan w:val="2"/>
          </w:tcPr>
          <w:p>
            <w:pPr>
              <w:ind w:left="240"/>
              <w:spacing w:after="0"/>
              <w:rPr>
                <w:sz w:val="20"/>
                <w:szCs w:val="20"/>
                <w:color w:val="auto"/>
              </w:rPr>
            </w:pPr>
            <w:r>
              <w:rPr>
                <w:rFonts w:ascii="Arial" w:cs="Arial" w:eastAsia="Arial" w:hAnsi="Arial"/>
                <w:sz w:val="14"/>
                <w:szCs w:val="14"/>
                <w:color w:val="auto"/>
              </w:rPr>
              <w:t>Net cash used in investing activities</w:t>
            </w: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Net payments on secured financings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proceeds on other debt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926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Common stock dividends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issuances of common stock</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Excess tax benefits from stock-based compensation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to acquire treasury stock, including fees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Repurchases related to stock-based compensation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financing</w:t>
            </w:r>
          </w:p>
        </w:tc>
        <w:tc>
          <w:tcPr>
            <w:tcW w:w="7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80" w:type="dxa"/>
            <w:vAlign w:val="bottom"/>
            <w:gridSpan w:val="2"/>
          </w:tcPr>
          <w:p>
            <w:pPr>
              <w:ind w:left="240"/>
              <w:spacing w:after="0"/>
              <w:rPr>
                <w:sz w:val="20"/>
                <w:szCs w:val="20"/>
                <w:color w:val="auto"/>
              </w:rPr>
            </w:pPr>
            <w:r>
              <w:rPr>
                <w:rFonts w:ascii="Arial" w:cs="Arial" w:eastAsia="Arial" w:hAnsi="Arial"/>
                <w:sz w:val="14"/>
                <w:szCs w:val="14"/>
                <w:color w:val="auto"/>
              </w:rPr>
              <w:t>Net cash provided by (used in) financing activities</w:t>
            </w: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64"/>
        </w:trPr>
        <w:tc>
          <w:tcPr>
            <w:tcW w:w="8920" w:type="dxa"/>
            <w:vAlign w:val="bottom"/>
            <w:gridSpan w:val="4"/>
          </w:tcPr>
          <w:p>
            <w:pPr>
              <w:spacing w:after="0"/>
              <w:rPr>
                <w:sz w:val="20"/>
                <w:szCs w:val="20"/>
                <w:color w:val="auto"/>
              </w:rPr>
            </w:pPr>
            <w:r>
              <w:rPr>
                <w:rFonts w:ascii="Arial" w:cs="Arial" w:eastAsia="Arial" w:hAnsi="Arial"/>
                <w:sz w:val="14"/>
                <w:szCs w:val="14"/>
                <w:color w:val="auto"/>
              </w:rPr>
              <w:t>Increase (decrease) in cash and cash equivalents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2,570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1,229</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1,099</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156"/>
        </w:trPr>
        <w:tc>
          <w:tcPr>
            <w:tcW w:w="892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Cash and Cash Equivalents at End of Year</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3,799</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1,229</w:t>
            </w: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1,099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30</w:t>
      </w:r>
    </w:p>
    <w:p>
      <w:pPr>
        <w:sectPr>
          <w:pgSz w:w="11900" w:h="16838" w:orient="portrait"/>
          <w:cols w:equalWidth="0" w:num="1">
            <w:col w:w="11420"/>
          </w:cols>
          <w:pgMar w:left="240" w:top="254" w:right="239" w:bottom="1440" w:gutter="0" w:footer="0" w:header="0"/>
        </w:sectPr>
      </w:pPr>
    </w:p>
    <w:bookmarkStart w:id="113" w:name="page114"/>
    <w:bookmarkEnd w:id="113"/>
    <w:p>
      <w:pPr>
        <w:spacing w:after="0"/>
        <w:rPr>
          <w:sz w:val="20"/>
          <w:szCs w:val="20"/>
          <w:color w:val="auto"/>
        </w:rPr>
      </w:pPr>
      <w:r>
        <w:rPr>
          <w:rFonts w:ascii="Arial" w:cs="Arial" w:eastAsia="Arial" w:hAnsi="Arial"/>
          <w:sz w:val="24"/>
          <w:szCs w:val="24"/>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XEROX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CONSOLIDATED STATEMENTS OF SHAREHOLDERS’ EQUITY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Xerox</w:t>
            </w: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Treasury</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Retained</w:t>
            </w:r>
          </w:p>
        </w:tc>
        <w:tc>
          <w:tcPr>
            <w:tcW w:w="9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1"/>
              </w:rPr>
              <w:t xml:space="preserve">AOCL </w:t>
            </w:r>
            <w:r>
              <w:rPr>
                <w:rFonts w:ascii="Arial" w:cs="Arial" w:eastAsia="Arial" w:hAnsi="Arial"/>
                <w:sz w:val="22"/>
                <w:szCs w:val="22"/>
                <w:b w:val="1"/>
                <w:bCs w:val="1"/>
                <w:color w:val="auto"/>
                <w:w w:val="91"/>
                <w:vertAlign w:val="superscript"/>
              </w:rPr>
              <w:t>(1)</w:t>
            </w: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Shareholders’</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9"/>
        </w:trPr>
        <w:tc>
          <w:tcPr>
            <w:tcW w:w="408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(in millions)</w:t>
            </w:r>
          </w:p>
        </w:tc>
        <w:tc>
          <w:tcPr>
            <w:tcW w:w="880" w:type="dxa"/>
            <w:vAlign w:val="bottom"/>
            <w:gridSpan w:val="3"/>
          </w:tcPr>
          <w:p>
            <w:pPr>
              <w:jc w:val="right"/>
              <w:ind w:right="400"/>
              <w:spacing w:after="0" w:line="152" w:lineRule="exact"/>
              <w:rPr>
                <w:sz w:val="20"/>
                <w:szCs w:val="20"/>
                <w:color w:val="auto"/>
              </w:rPr>
            </w:pPr>
            <w:r>
              <w:rPr>
                <w:rFonts w:ascii="Arial" w:cs="Arial" w:eastAsia="Arial" w:hAnsi="Arial"/>
                <w:sz w:val="14"/>
                <w:szCs w:val="14"/>
                <w:b w:val="1"/>
                <w:bCs w:val="1"/>
                <w:color w:val="auto"/>
              </w:rPr>
              <w:t>Stock</w:t>
            </w:r>
          </w:p>
        </w:tc>
        <w:tc>
          <w:tcPr>
            <w:tcW w:w="940" w:type="dxa"/>
            <w:vAlign w:val="bottom"/>
            <w:gridSpan w:val="3"/>
          </w:tcPr>
          <w:p>
            <w:pPr>
              <w:jc w:val="right"/>
              <w:ind w:right="400"/>
              <w:spacing w:after="0" w:line="152" w:lineRule="exact"/>
              <w:rPr>
                <w:sz w:val="20"/>
                <w:szCs w:val="20"/>
                <w:color w:val="auto"/>
              </w:rPr>
            </w:pPr>
            <w:r>
              <w:rPr>
                <w:rFonts w:ascii="Arial" w:cs="Arial" w:eastAsia="Arial" w:hAnsi="Arial"/>
                <w:sz w:val="14"/>
                <w:szCs w:val="14"/>
                <w:b w:val="1"/>
                <w:bCs w:val="1"/>
                <w:color w:val="auto"/>
              </w:rPr>
              <w:t>Capital</w:t>
            </w:r>
          </w:p>
        </w:tc>
        <w:tc>
          <w:tcPr>
            <w:tcW w:w="880" w:type="dxa"/>
            <w:vAlign w:val="bottom"/>
            <w:gridSpan w:val="3"/>
          </w:tcPr>
          <w:p>
            <w:pPr>
              <w:jc w:val="right"/>
              <w:ind w:right="400"/>
              <w:spacing w:after="0" w:line="152" w:lineRule="exact"/>
              <w:rPr>
                <w:sz w:val="20"/>
                <w:szCs w:val="20"/>
                <w:color w:val="auto"/>
              </w:rPr>
            </w:pPr>
            <w:r>
              <w:rPr>
                <w:rFonts w:ascii="Arial" w:cs="Arial" w:eastAsia="Arial" w:hAnsi="Arial"/>
                <w:sz w:val="14"/>
                <w:szCs w:val="14"/>
                <w:b w:val="1"/>
                <w:bCs w:val="1"/>
                <w:color w:val="auto"/>
              </w:rPr>
              <w:t>Stock</w:t>
            </w:r>
          </w:p>
        </w:tc>
        <w:tc>
          <w:tcPr>
            <w:tcW w:w="880" w:type="dxa"/>
            <w:vAlign w:val="bottom"/>
            <w:gridSpan w:val="2"/>
          </w:tcPr>
          <w:p>
            <w:pPr>
              <w:jc w:val="right"/>
              <w:ind w:right="300"/>
              <w:spacing w:after="0" w:line="152" w:lineRule="exact"/>
              <w:rPr>
                <w:sz w:val="20"/>
                <w:szCs w:val="20"/>
                <w:color w:val="auto"/>
              </w:rPr>
            </w:pPr>
            <w:r>
              <w:rPr>
                <w:rFonts w:ascii="Arial" w:cs="Arial" w:eastAsia="Arial" w:hAnsi="Arial"/>
                <w:sz w:val="14"/>
                <w:szCs w:val="14"/>
                <w:b w:val="1"/>
                <w:bCs w:val="1"/>
                <w:color w:val="auto"/>
                <w:w w:val="93"/>
              </w:rPr>
              <w:t>Earnings</w:t>
            </w:r>
          </w:p>
        </w:tc>
        <w:tc>
          <w:tcPr>
            <w:tcW w:w="9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540"/>
              <w:spacing w:after="0" w:line="152" w:lineRule="exact"/>
              <w:rPr>
                <w:sz w:val="20"/>
                <w:szCs w:val="20"/>
                <w:color w:val="auto"/>
              </w:rPr>
            </w:pPr>
            <w:r>
              <w:rPr>
                <w:rFonts w:ascii="Arial" w:cs="Arial" w:eastAsia="Arial" w:hAnsi="Arial"/>
                <w:sz w:val="14"/>
                <w:szCs w:val="14"/>
                <w:b w:val="1"/>
                <w:bCs w:val="1"/>
                <w:color w:val="auto"/>
                <w:w w:val="93"/>
              </w:rPr>
              <w:t>Equity</w:t>
            </w:r>
          </w:p>
        </w:tc>
        <w:tc>
          <w:tcPr>
            <w:tcW w:w="1000" w:type="dxa"/>
            <w:vAlign w:val="bottom"/>
            <w:gridSpan w:val="3"/>
          </w:tcPr>
          <w:p>
            <w:pPr>
              <w:jc w:val="right"/>
              <w:ind w:right="380"/>
              <w:spacing w:after="0" w:line="152" w:lineRule="exact"/>
              <w:rPr>
                <w:sz w:val="20"/>
                <w:szCs w:val="20"/>
                <w:color w:val="auto"/>
              </w:rPr>
            </w:pPr>
            <w:r>
              <w:rPr>
                <w:rFonts w:ascii="Arial" w:cs="Arial" w:eastAsia="Arial" w:hAnsi="Arial"/>
                <w:sz w:val="14"/>
                <w:szCs w:val="14"/>
                <w:b w:val="1"/>
                <w:bCs w:val="1"/>
                <w:color w:val="auto"/>
              </w:rPr>
              <w:t>Interests</w:t>
            </w:r>
          </w:p>
        </w:tc>
        <w:tc>
          <w:tcPr>
            <w:tcW w:w="640" w:type="dxa"/>
            <w:vAlign w:val="bottom"/>
            <w:gridSpan w:val="3"/>
          </w:tcPr>
          <w:p>
            <w:pPr>
              <w:ind w:left="60"/>
              <w:spacing w:after="0" w:line="15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33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2006</w:t>
            </w:r>
          </w:p>
        </w:tc>
        <w:tc>
          <w:tcPr>
            <w:tcW w:w="3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956</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3,710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w w:val="97"/>
              </w:rPr>
              <w:t>(141)</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$ 4,202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(1,647)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7,080</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108</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80" w:type="dxa"/>
            <w:vAlign w:val="bottom"/>
            <w:gridSpan w:val="3"/>
          </w:tcPr>
          <w:p>
            <w:pPr>
              <w:spacing w:after="0" w:line="155" w:lineRule="exact"/>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1,135</w:t>
            </w:r>
          </w:p>
        </w:tc>
        <w:tc>
          <w:tcPr>
            <w:tcW w:w="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1,135</w:t>
            </w:r>
          </w:p>
        </w:tc>
        <w:tc>
          <w:tcPr>
            <w:tcW w:w="3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w:t>
            </w: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adjustments</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501</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501</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Cumulative effect of change in accounting principles</w:t>
            </w:r>
          </w:p>
        </w:tc>
        <w:tc>
          <w:tcPr>
            <w:tcW w:w="300" w:type="dxa"/>
            <w:vAlign w:val="bottom"/>
          </w:tcPr>
          <w:p>
            <w:pPr>
              <w:spacing w:after="0"/>
              <w:rPr>
                <w:sz w:val="12"/>
                <w:szCs w:val="12"/>
                <w:color w:val="auto"/>
              </w:rPr>
            </w:pPr>
          </w:p>
        </w:tc>
        <w:tc>
          <w:tcPr>
            <w:tcW w:w="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w:t>
            </w:r>
          </w:p>
        </w:tc>
        <w:tc>
          <w:tcPr>
            <w:tcW w:w="34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Changes in defined benefit plans </w:t>
            </w:r>
            <w:r>
              <w:rPr>
                <w:rFonts w:ascii="Arial" w:cs="Arial" w:eastAsia="Arial" w:hAnsi="Arial"/>
                <w:sz w:val="17"/>
                <w:szCs w:val="17"/>
                <w:color w:val="auto"/>
                <w:vertAlign w:val="superscript"/>
              </w:rPr>
              <w:t>(2)</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382</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382</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Other unrealized losses</w:t>
            </w:r>
          </w:p>
        </w:tc>
        <w:tc>
          <w:tcPr>
            <w:tcW w:w="300" w:type="dxa"/>
            <w:vAlign w:val="bottom"/>
          </w:tcPr>
          <w:p>
            <w:pPr>
              <w:spacing w:after="0"/>
              <w:rPr>
                <w:sz w:val="12"/>
                <w:szCs w:val="12"/>
                <w:color w:val="auto"/>
              </w:rPr>
            </w:pPr>
          </w:p>
        </w:tc>
        <w:tc>
          <w:tcPr>
            <w:tcW w:w="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3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Comprehensive Income</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3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80" w:type="dxa"/>
            <w:vAlign w:val="bottom"/>
            <w:gridSpan w:val="3"/>
          </w:tcPr>
          <w:p>
            <w:pPr>
              <w:spacing w:after="0" w:line="223" w:lineRule="exact"/>
              <w:rPr>
                <w:sz w:val="20"/>
                <w:szCs w:val="20"/>
                <w:color w:val="auto"/>
              </w:rPr>
            </w:pPr>
            <w:r>
              <w:rPr>
                <w:rFonts w:ascii="Arial" w:cs="Arial" w:eastAsia="Arial" w:hAnsi="Arial"/>
                <w:sz w:val="14"/>
                <w:szCs w:val="14"/>
                <w:color w:val="auto"/>
              </w:rPr>
              <w:t>Cash dividends declared on common stock</w:t>
            </w:r>
            <w:r>
              <w:rPr>
                <w:rFonts w:ascii="Arial" w:cs="Arial" w:eastAsia="Arial" w:hAnsi="Arial"/>
                <w:sz w:val="22"/>
                <w:szCs w:val="22"/>
                <w:color w:val="auto"/>
                <w:vertAlign w:val="superscript"/>
              </w:rPr>
              <w:t>(3)</w:t>
            </w:r>
          </w:p>
        </w:tc>
        <w:tc>
          <w:tcPr>
            <w:tcW w:w="300" w:type="dxa"/>
            <w:vAlign w:val="bottom"/>
          </w:tcPr>
          <w:p>
            <w:pPr>
              <w:spacing w:after="0"/>
              <w:rPr>
                <w:sz w:val="19"/>
                <w:szCs w:val="19"/>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19"/>
                <w:szCs w:val="19"/>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(40)</w:t>
            </w:r>
          </w:p>
        </w:tc>
        <w:tc>
          <w:tcPr>
            <w:tcW w:w="340" w:type="dxa"/>
            <w:vAlign w:val="bottom"/>
          </w:tcPr>
          <w:p>
            <w:pPr>
              <w:spacing w:after="0"/>
              <w:rPr>
                <w:sz w:val="19"/>
                <w:szCs w:val="19"/>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 and incentive plans, net</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165</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172</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Payments to acquire treasury stock</w:t>
            </w:r>
          </w:p>
        </w:tc>
        <w:tc>
          <w:tcPr>
            <w:tcW w:w="300" w:type="dxa"/>
            <w:vAlign w:val="bottom"/>
          </w:tcPr>
          <w:p>
            <w:pPr>
              <w:spacing w:after="0"/>
              <w:rPr>
                <w:sz w:val="12"/>
                <w:szCs w:val="12"/>
                <w:color w:val="auto"/>
              </w:rPr>
            </w:pPr>
          </w:p>
        </w:tc>
        <w:tc>
          <w:tcPr>
            <w:tcW w:w="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(632)</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(632)</w:t>
            </w:r>
          </w:p>
        </w:tc>
        <w:tc>
          <w:tcPr>
            <w:tcW w:w="34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Cancellation of treasury stock</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(699)</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742</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300" w:type="dxa"/>
            <w:vAlign w:val="bottom"/>
          </w:tcPr>
          <w:p>
            <w:pPr>
              <w:spacing w:after="0"/>
              <w:rPr>
                <w:sz w:val="12"/>
                <w:szCs w:val="12"/>
                <w:color w:val="auto"/>
              </w:rPr>
            </w:pPr>
          </w:p>
        </w:tc>
        <w:tc>
          <w:tcPr>
            <w:tcW w:w="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Purchase of noncontrolling interests</w:t>
            </w:r>
            <w:r>
              <w:rPr>
                <w:rFonts w:ascii="Arial" w:cs="Arial" w:eastAsia="Arial" w:hAnsi="Arial"/>
                <w:sz w:val="17"/>
                <w:szCs w:val="17"/>
                <w:color w:val="auto"/>
                <w:vertAlign w:val="superscript"/>
              </w:rPr>
              <w:t>(4)</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Balance at December 31, 2007</w:t>
            </w:r>
          </w:p>
        </w:tc>
        <w:tc>
          <w:tcPr>
            <w:tcW w:w="3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920</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3,176</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(31)</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$ 5,288</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(765)</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8,588</w:t>
            </w:r>
          </w:p>
        </w:tc>
        <w:tc>
          <w:tcPr>
            <w:tcW w:w="300" w:type="dxa"/>
            <w:vAlign w:val="bottom"/>
          </w:tcPr>
          <w:p>
            <w:pPr>
              <w:spacing w:after="0"/>
              <w:rPr>
                <w:sz w:val="19"/>
                <w:szCs w:val="19"/>
                <w:color w:val="auto"/>
              </w:rPr>
            </w:pPr>
          </w:p>
        </w:tc>
        <w:tc>
          <w:tcPr>
            <w:tcW w:w="34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103</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8,691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332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230</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230</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Translation adjustments</w:t>
            </w:r>
          </w:p>
        </w:tc>
        <w:tc>
          <w:tcPr>
            <w:tcW w:w="300" w:type="dxa"/>
            <w:vAlign w:val="bottom"/>
          </w:tcPr>
          <w:p>
            <w:pPr>
              <w:spacing w:after="0"/>
              <w:rPr>
                <w:sz w:val="12"/>
                <w:szCs w:val="12"/>
                <w:color w:val="auto"/>
              </w:rPr>
            </w:pPr>
          </w:p>
        </w:tc>
        <w:tc>
          <w:tcPr>
            <w:tcW w:w="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(1,364)</w:t>
            </w:r>
          </w:p>
        </w:tc>
        <w:tc>
          <w:tcPr>
            <w:tcW w:w="2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(1,364)</w:t>
            </w:r>
          </w:p>
        </w:tc>
        <w:tc>
          <w:tcPr>
            <w:tcW w:w="34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change in accounting principles</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Changes in defined benefit plans </w:t>
            </w:r>
            <w:r>
              <w:rPr>
                <w:rFonts w:ascii="Arial" w:cs="Arial" w:eastAsia="Arial" w:hAnsi="Arial"/>
                <w:sz w:val="17"/>
                <w:szCs w:val="17"/>
                <w:color w:val="auto"/>
                <w:vertAlign w:val="superscript"/>
              </w:rPr>
              <w:t>(2)</w:t>
            </w:r>
          </w:p>
        </w:tc>
        <w:tc>
          <w:tcPr>
            <w:tcW w:w="300" w:type="dxa"/>
            <w:vAlign w:val="bottom"/>
          </w:tcPr>
          <w:p>
            <w:pPr>
              <w:spacing w:after="0"/>
              <w:rPr>
                <w:sz w:val="12"/>
                <w:szCs w:val="12"/>
                <w:color w:val="auto"/>
              </w:rPr>
            </w:pPr>
          </w:p>
        </w:tc>
        <w:tc>
          <w:tcPr>
            <w:tcW w:w="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2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(286)</w:t>
            </w:r>
          </w:p>
        </w:tc>
        <w:tc>
          <w:tcPr>
            <w:tcW w:w="34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unrealized losses, net</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Comprehensive (Loss) Income</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(1,446)</w:t>
            </w:r>
          </w:p>
        </w:tc>
        <w:tc>
          <w:tcPr>
            <w:tcW w:w="34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32</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(1,414)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3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Cash dividends declared on common stock</w:t>
            </w:r>
            <w:r>
              <w:rPr>
                <w:rFonts w:ascii="Arial" w:cs="Arial" w:eastAsia="Arial" w:hAnsi="Arial"/>
                <w:sz w:val="17"/>
                <w:szCs w:val="17"/>
                <w:color w:val="auto"/>
                <w:vertAlign w:val="superscript"/>
              </w:rPr>
              <w:t>(3)</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(152)</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(152)</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Stock option and incentive plans, net</w:t>
            </w:r>
          </w:p>
        </w:tc>
        <w:tc>
          <w:tcPr>
            <w:tcW w:w="300" w:type="dxa"/>
            <w:vAlign w:val="bottom"/>
          </w:tcPr>
          <w:p>
            <w:pPr>
              <w:spacing w:after="0"/>
              <w:rPr>
                <w:sz w:val="12"/>
                <w:szCs w:val="12"/>
                <w:color w:val="auto"/>
              </w:rPr>
            </w:pPr>
          </w:p>
        </w:tc>
        <w:tc>
          <w:tcPr>
            <w:tcW w:w="5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w:t>
            </w:r>
          </w:p>
        </w:tc>
        <w:tc>
          <w:tcPr>
            <w:tcW w:w="280" w:type="dxa"/>
            <w:vAlign w:val="bottom"/>
          </w:tcPr>
          <w:p>
            <w:pPr>
              <w:spacing w:after="0"/>
              <w:rPr>
                <w:sz w:val="12"/>
                <w:szCs w:val="12"/>
                <w:color w:val="auto"/>
              </w:rPr>
            </w:pP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60</w:t>
            </w:r>
          </w:p>
        </w:tc>
        <w:tc>
          <w:tcPr>
            <w:tcW w:w="34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Payments to acquire treasury stock</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(812)</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(812)</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Cancellation of treasury stock</w:t>
            </w:r>
          </w:p>
        </w:tc>
        <w:tc>
          <w:tcPr>
            <w:tcW w:w="30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w:t>
            </w:r>
          </w:p>
        </w:tc>
        <w:tc>
          <w:tcPr>
            <w:tcW w:w="2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(784)</w:t>
            </w:r>
          </w:p>
        </w:tc>
        <w:tc>
          <w:tcPr>
            <w:tcW w:w="28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843</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 at December 31, 2008</w:t>
            </w:r>
          </w:p>
        </w:tc>
        <w:tc>
          <w:tcPr>
            <w:tcW w:w="30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w w:val="85"/>
              </w:rPr>
              <w:t>866</w:t>
            </w:r>
          </w:p>
        </w:tc>
        <w:tc>
          <w:tcPr>
            <w:tcW w:w="3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2,447</w:t>
            </w: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$ 5,341</w:t>
            </w:r>
          </w:p>
        </w:tc>
        <w:tc>
          <w:tcPr>
            <w:tcW w:w="3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(2,416)</w:t>
            </w:r>
          </w:p>
        </w:tc>
        <w:tc>
          <w:tcPr>
            <w:tcW w:w="3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6,238</w:t>
            </w:r>
          </w:p>
        </w:tc>
        <w:tc>
          <w:tcPr>
            <w:tcW w:w="3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120</w:t>
            </w: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6,358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2"/>
                <w:szCs w:val="12"/>
                <w:color w:val="auto"/>
              </w:rPr>
            </w:pPr>
          </w:p>
        </w:tc>
        <w:tc>
          <w:tcPr>
            <w:tcW w:w="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485</w:t>
            </w:r>
          </w:p>
        </w:tc>
        <w:tc>
          <w:tcPr>
            <w:tcW w:w="22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485</w:t>
            </w:r>
          </w:p>
        </w:tc>
        <w:tc>
          <w:tcPr>
            <w:tcW w:w="34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adjustments</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595</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595</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Changes in defined benefit plans </w:t>
            </w:r>
            <w:r>
              <w:rPr>
                <w:rFonts w:ascii="Arial" w:cs="Arial" w:eastAsia="Arial" w:hAnsi="Arial"/>
                <w:sz w:val="17"/>
                <w:szCs w:val="17"/>
                <w:color w:val="auto"/>
                <w:vertAlign w:val="superscript"/>
              </w:rPr>
              <w:t>(2)</w:t>
            </w:r>
          </w:p>
        </w:tc>
        <w:tc>
          <w:tcPr>
            <w:tcW w:w="300" w:type="dxa"/>
            <w:vAlign w:val="bottom"/>
          </w:tcPr>
          <w:p>
            <w:pPr>
              <w:spacing w:after="0"/>
              <w:rPr>
                <w:sz w:val="12"/>
                <w:szCs w:val="12"/>
                <w:color w:val="auto"/>
              </w:rPr>
            </w:pPr>
          </w:p>
        </w:tc>
        <w:tc>
          <w:tcPr>
            <w:tcW w:w="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(169)</w:t>
            </w:r>
          </w:p>
        </w:tc>
        <w:tc>
          <w:tcPr>
            <w:tcW w:w="2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(169)</w:t>
            </w:r>
          </w:p>
        </w:tc>
        <w:tc>
          <w:tcPr>
            <w:tcW w:w="34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unrealized gains</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Comprehensive Income</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913</w:t>
            </w:r>
          </w:p>
        </w:tc>
        <w:tc>
          <w:tcPr>
            <w:tcW w:w="300" w:type="dxa"/>
            <w:vAlign w:val="bottom"/>
          </w:tcPr>
          <w:p>
            <w:pPr>
              <w:spacing w:after="0"/>
              <w:rPr>
                <w:sz w:val="19"/>
                <w:szCs w:val="19"/>
                <w:color w:val="auto"/>
              </w:rPr>
            </w:pPr>
          </w:p>
        </w:tc>
        <w:tc>
          <w:tcPr>
            <w:tcW w:w="34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300" w:type="dxa"/>
            <w:vAlign w:val="bottom"/>
          </w:tcPr>
          <w:p>
            <w:pPr>
              <w:spacing w:after="0"/>
              <w:rPr>
                <w:sz w:val="19"/>
                <w:szCs w:val="19"/>
                <w:color w:val="auto"/>
              </w:rPr>
            </w:pP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945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3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Cash dividends declared on common stock</w:t>
            </w:r>
            <w:r>
              <w:rPr>
                <w:rFonts w:ascii="Arial" w:cs="Arial" w:eastAsia="Arial" w:hAnsi="Arial"/>
                <w:sz w:val="17"/>
                <w:szCs w:val="17"/>
                <w:color w:val="auto"/>
                <w:vertAlign w:val="superscript"/>
              </w:rPr>
              <w:t>(3)</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(152)</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(152)</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Stock option and incentive plans, net</w:t>
            </w:r>
          </w:p>
        </w:tc>
        <w:tc>
          <w:tcPr>
            <w:tcW w:w="300" w:type="dxa"/>
            <w:vAlign w:val="bottom"/>
          </w:tcPr>
          <w:p>
            <w:pPr>
              <w:spacing w:after="0"/>
              <w:rPr>
                <w:sz w:val="12"/>
                <w:szCs w:val="12"/>
                <w:color w:val="auto"/>
              </w:rPr>
            </w:pPr>
          </w:p>
        </w:tc>
        <w:tc>
          <w:tcPr>
            <w:tcW w:w="5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w:t>
            </w:r>
          </w:p>
        </w:tc>
        <w:tc>
          <w:tcPr>
            <w:tcW w:w="280" w:type="dxa"/>
            <w:vAlign w:val="bottom"/>
          </w:tcPr>
          <w:p>
            <w:pPr>
              <w:spacing w:after="0"/>
              <w:rPr>
                <w:sz w:val="12"/>
                <w:szCs w:val="12"/>
                <w:color w:val="auto"/>
              </w:rPr>
            </w:pP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72</w:t>
            </w:r>
          </w:p>
        </w:tc>
        <w:tc>
          <w:tcPr>
            <w:tcW w:w="34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 loss on stock option and incentive plans, net</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300" w:type="dxa"/>
            <w:vAlign w:val="bottom"/>
          </w:tcPr>
          <w:p>
            <w:pPr>
              <w:spacing w:after="0"/>
              <w:rPr>
                <w:sz w:val="12"/>
                <w:szCs w:val="12"/>
                <w:color w:val="auto"/>
              </w:rPr>
            </w:pPr>
          </w:p>
        </w:tc>
        <w:tc>
          <w:tcPr>
            <w:tcW w:w="5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332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2009</w:t>
            </w:r>
          </w:p>
        </w:tc>
        <w:tc>
          <w:tcPr>
            <w:tcW w:w="3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871</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2,493</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$ 5,674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(1,988)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7,050</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141</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Refer to Note 1 “Accumulated Other Comprehensive Loss (AOCL)” section for additional information.</w:t>
      </w:r>
    </w:p>
    <w:p>
      <w:pPr>
        <w:ind w:left="340" w:hanging="332"/>
        <w:spacing w:after="0" w:line="221"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Refer to Note 14 - Employee Benefit Plans for additional information.</w:t>
      </w:r>
    </w:p>
    <w:p>
      <w:pPr>
        <w:ind w:left="340" w:hanging="332"/>
        <w:spacing w:after="0" w:line="221"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Cash dividends declared of $0.0425 in the fourth quarter 2007 and in each of the four quarters in 2008 and 2009.</w:t>
      </w: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purchase of De Lage Landen’s 51% ownership interest in our lease finance joint venture in the Netherlands.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40"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31</w:t>
      </w:r>
    </w:p>
    <w:p>
      <w:pPr>
        <w:sectPr>
          <w:pgSz w:w="11900" w:h="16838" w:orient="portrait"/>
          <w:cols w:equalWidth="0" w:num="1">
            <w:col w:w="11420"/>
          </w:cols>
          <w:pgMar w:left="240" w:top="254" w:right="239" w:bottom="1440" w:gutter="0" w:footer="0" w:header="0"/>
        </w:sectPr>
      </w:pPr>
    </w:p>
    <w:bookmarkStart w:id="114" w:name="page115"/>
    <w:bookmarkEnd w:id="114"/>
    <w:p>
      <w:pPr>
        <w:spacing w:after="0"/>
        <w:rPr>
          <w:sz w:val="20"/>
          <w:szCs w:val="20"/>
          <w:color w:val="auto"/>
        </w:rPr>
      </w:pPr>
      <w:r>
        <w:rPr>
          <w:rFonts w:ascii="Arial" w:cs="Arial" w:eastAsia="Arial" w:hAnsi="Arial"/>
          <w:sz w:val="24"/>
          <w:szCs w:val="24"/>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the Consolidated Financial Statements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Dollars in millions, except per share data and unless otherwise indicated.</w:t>
      </w:r>
    </w:p>
    <w:p>
      <w:pPr>
        <w:spacing w:after="0" w:line="116"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Note 1 – Summary of Significant Accounting Policies</w:t>
      </w:r>
    </w:p>
    <w:p>
      <w:pPr>
        <w:spacing w:after="0" w:line="20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References herein to “we,” “us,” “our,” the “Company,” and Xerox refer to Xerox Corporation and its consolidated subsidiaries unless the context specifically requires otherwise.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Description of Business and Basis of Presentation</w:t>
      </w:r>
    </w:p>
    <w:p>
      <w:pPr>
        <w:spacing w:after="0" w:line="1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are a technology and services enterprise and a leader in the global document market. We develop, manufacture, market, service and finance a complete range of document equipment, software, solutions and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Basis of Consolidation</w:t>
      </w:r>
    </w:p>
    <w:p>
      <w:pPr>
        <w:spacing w:after="0" w:line="1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Consolidated Financial Statements include the accounts of Xerox Corporation and all of our controlled subsidiary companies. All significant intercompany accounts and transactions have been eliminated. Investments in business entities in which we do not have control, but we have the ability to exercise significant influence over operating and financial policies (generally 20% to 50% ownership) are accounted for using the equity method of accounting. Operating results of acquired businesses are included in the Consolidated Statements of Income from the date of acquisition.</w:t>
      </w:r>
    </w:p>
    <w:p>
      <w:pPr>
        <w:spacing w:after="0" w:line="15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We consolidate variable interest entities if we are deemed to be the primary beneficiary of the entity. Operating results for variable interest entities in which we are determined to be the primary beneficiary are included in the Consolidated Statements of Income from the date such determination is made.</w:t>
      </w:r>
    </w:p>
    <w:p>
      <w:pPr>
        <w:spacing w:after="0" w:line="15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For convenience and ease of reference, we refer to the financial statement caption “Income (Loss) before Income Taxes and Equity Income” as “Pre-tax Income” or “Pre-tax Loss” throughout the Notes to the Consolidated Financial Statements.</w:t>
      </w:r>
    </w:p>
    <w:p>
      <w:pPr>
        <w:spacing w:after="0" w:line="155"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In 2009, we changed the presentation of our financial statements for noncontrolling (minority) interests. Refer to “Business Combinations and Noncontrolling Interests” below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Use of Estimates</w:t>
      </w:r>
    </w:p>
    <w:p>
      <w:pPr>
        <w:spacing w:after="0" w:line="18"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preparation of our Consolidated Financial Statements, in accordance with accounting principles generally accepted in the United States of America, requires that we make estimates and assumptions that affect the reported amounts of assets and liabilities, as well as the disclosure of contingent assets and liabilities at the date of the financial statements, and the reported amounts of revenues and expenses during the reporting period. Significant estimates and assumptions are used for, but not limited to: (i) allocation of revenues and fair values in leases and other multiple element arrangements; (ii) accounting for residual values; (iii) economic lives of leased assets; (iv) allowance for doubtful accounts; (v) inventory valuation; (vi) restructuring and related charges; (vii) asset impairments; (viii) depreciable lives of assets; (ix) useful lives of intangible assets;</w:t>
      </w:r>
    </w:p>
    <w:p>
      <w:pPr>
        <w:spacing w:after="0" w:line="1" w:lineRule="exact"/>
        <w:rPr>
          <w:sz w:val="20"/>
          <w:szCs w:val="20"/>
          <w:color w:val="auto"/>
        </w:rPr>
      </w:pPr>
    </w:p>
    <w:p>
      <w:pPr>
        <w:jc w:val="both"/>
        <w:ind w:right="280" w:firstLine="8"/>
        <w:spacing w:after="0" w:line="275" w:lineRule="auto"/>
        <w:tabs>
          <w:tab w:leader="none" w:pos="254" w:val="left"/>
        </w:tabs>
        <w:numPr>
          <w:ilvl w:val="0"/>
          <w:numId w:val="95"/>
        </w:numPr>
        <w:rPr>
          <w:rFonts w:ascii="Arial" w:cs="Arial" w:eastAsia="Arial" w:hAnsi="Arial"/>
          <w:sz w:val="16"/>
          <w:szCs w:val="16"/>
          <w:color w:val="auto"/>
        </w:rPr>
      </w:pPr>
      <w:r>
        <w:rPr>
          <w:rFonts w:ascii="Arial" w:cs="Arial" w:eastAsia="Arial" w:hAnsi="Arial"/>
          <w:sz w:val="16"/>
          <w:szCs w:val="16"/>
          <w:color w:val="auto"/>
        </w:rPr>
        <w:t>pension and post-retirement benefit plans; (xi) income tax reserves and valuation allowances; and (xii) contingency and litigation reserves. Future events and their effects cannot be predicted with certainty; accordingly, our accounting estimates require the exercise of judgment. The accounting estimates used in the preparation of our Consolidated Financial Statements will change as new events occur, as more experience is acquired, as additional information is obtained and as our operating environment changes. Actual results could differ from those estimates.</w:t>
      </w:r>
    </w:p>
    <w:p>
      <w:pPr>
        <w:spacing w:after="0" w:line="11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32</w:t>
      </w:r>
    </w:p>
    <w:p>
      <w:pPr>
        <w:sectPr>
          <w:pgSz w:w="11900" w:h="16838" w:orient="portrait"/>
          <w:cols w:equalWidth="0" w:num="1">
            <w:col w:w="11420"/>
          </w:cols>
          <w:pgMar w:left="240" w:top="254"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summarizes certain significant charges that require management estimates: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26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56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Restructuring provisions and asset impairments</w:t>
            </w:r>
          </w:p>
        </w:tc>
        <w:tc>
          <w:tcPr>
            <w:tcW w:w="56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  (8)</w:t>
            </w:r>
          </w:p>
        </w:tc>
        <w:tc>
          <w:tcPr>
            <w:tcW w:w="82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$429</w:t>
            </w:r>
          </w:p>
        </w:tc>
        <w:tc>
          <w:tcPr>
            <w:tcW w:w="88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  (6)</w:t>
            </w:r>
          </w:p>
        </w:tc>
        <w:tc>
          <w:tcPr>
            <w:tcW w:w="0" w:type="dxa"/>
            <w:vAlign w:val="bottom"/>
          </w:tcPr>
          <w:p>
            <w:pPr>
              <w:spacing w:after="0"/>
              <w:rPr>
                <w:sz w:val="1"/>
                <w:szCs w:val="1"/>
                <w:color w:val="auto"/>
              </w:rPr>
            </w:pPr>
          </w:p>
        </w:tc>
      </w:tr>
      <w:tr>
        <w:trPr>
          <w:trHeight w:val="203"/>
        </w:trPr>
        <w:tc>
          <w:tcPr>
            <w:tcW w:w="9160" w:type="dxa"/>
            <w:vAlign w:val="bottom"/>
            <w:gridSpan w:val="4"/>
          </w:tcPr>
          <w:p>
            <w:pPr>
              <w:spacing w:after="0" w:line="203"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2"/>
                <w:szCs w:val="22"/>
                <w:color w:val="auto"/>
                <w:vertAlign w:val="superscript"/>
              </w:rPr>
              <w:t>(1)</w:t>
            </w:r>
          </w:p>
        </w:tc>
        <w:tc>
          <w:tcPr>
            <w:tcW w:w="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64</w:t>
            </w:r>
          </w:p>
        </w:tc>
        <w:tc>
          <w:tcPr>
            <w:tcW w:w="8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58</w:t>
            </w:r>
          </w:p>
        </w:tc>
        <w:tc>
          <w:tcPr>
            <w:tcW w:w="88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Provisions for receivables</w:t>
            </w:r>
          </w:p>
        </w:tc>
        <w:tc>
          <w:tcPr>
            <w:tcW w:w="56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289</w:t>
            </w:r>
          </w:p>
        </w:tc>
        <w:tc>
          <w:tcPr>
            <w:tcW w:w="82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199</w:t>
            </w:r>
          </w:p>
        </w:tc>
        <w:tc>
          <w:tcPr>
            <w:tcW w:w="880" w:type="dxa"/>
            <w:vAlign w:val="bottom"/>
            <w:gridSpan w:val="2"/>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9160" w:type="dxa"/>
            <w:vAlign w:val="bottom"/>
            <w:gridSpan w:val="4"/>
          </w:tcPr>
          <w:p>
            <w:pPr>
              <w:spacing w:after="0" w:line="202" w:lineRule="exact"/>
              <w:rPr>
                <w:sz w:val="20"/>
                <w:szCs w:val="20"/>
                <w:color w:val="auto"/>
              </w:rPr>
            </w:pPr>
            <w:r>
              <w:rPr>
                <w:rFonts w:ascii="Arial" w:cs="Arial" w:eastAsia="Arial" w:hAnsi="Arial"/>
                <w:sz w:val="18"/>
                <w:szCs w:val="18"/>
                <w:color w:val="auto"/>
              </w:rPr>
              <w:t>Provisions for obsolete and excess inventory</w:t>
            </w:r>
          </w:p>
        </w:tc>
        <w:tc>
          <w:tcPr>
            <w:tcW w:w="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52</w:t>
            </w:r>
          </w:p>
        </w:tc>
        <w:tc>
          <w:tcPr>
            <w:tcW w:w="8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115</w:t>
            </w:r>
          </w:p>
        </w:tc>
        <w:tc>
          <w:tcPr>
            <w:tcW w:w="88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Provisions for litigation and regulatory matters</w:t>
            </w:r>
          </w:p>
        </w:tc>
        <w:tc>
          <w:tcPr>
            <w:tcW w:w="56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781</w:t>
            </w:r>
          </w:p>
        </w:tc>
        <w:tc>
          <w:tcPr>
            <w:tcW w:w="88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9160" w:type="dxa"/>
            <w:vAlign w:val="bottom"/>
            <w:gridSpan w:val="4"/>
          </w:tcPr>
          <w:p>
            <w:pPr>
              <w:spacing w:after="0" w:line="202" w:lineRule="exact"/>
              <w:rPr>
                <w:sz w:val="20"/>
                <w:szCs w:val="20"/>
                <w:color w:val="auto"/>
              </w:rPr>
            </w:pPr>
            <w:r>
              <w:rPr>
                <w:rFonts w:ascii="Arial" w:cs="Arial" w:eastAsia="Arial" w:hAnsi="Arial"/>
                <w:sz w:val="18"/>
                <w:szCs w:val="18"/>
                <w:color w:val="auto"/>
              </w:rPr>
              <w:t>Depreciation and obsolescence of equipment on operating leases</w:t>
            </w:r>
          </w:p>
        </w:tc>
        <w:tc>
          <w:tcPr>
            <w:tcW w:w="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329</w:t>
            </w:r>
          </w:p>
        </w:tc>
        <w:tc>
          <w:tcPr>
            <w:tcW w:w="8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298</w:t>
            </w:r>
          </w:p>
        </w:tc>
        <w:tc>
          <w:tcPr>
            <w:tcW w:w="88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Depreciation of buildings and equipment</w:t>
            </w:r>
          </w:p>
        </w:tc>
        <w:tc>
          <w:tcPr>
            <w:tcW w:w="56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247</w:t>
            </w:r>
          </w:p>
        </w:tc>
        <w:tc>
          <w:tcPr>
            <w:tcW w:w="82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257</w:t>
            </w:r>
          </w:p>
        </w:tc>
        <w:tc>
          <w:tcPr>
            <w:tcW w:w="880" w:type="dxa"/>
            <w:vAlign w:val="bottom"/>
            <w:gridSpan w:val="2"/>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3"/>
        </w:trPr>
        <w:tc>
          <w:tcPr>
            <w:tcW w:w="9160" w:type="dxa"/>
            <w:vAlign w:val="bottom"/>
            <w:gridSpan w:val="4"/>
          </w:tcPr>
          <w:p>
            <w:pPr>
              <w:spacing w:after="0" w:line="202" w:lineRule="exact"/>
              <w:rPr>
                <w:sz w:val="20"/>
                <w:szCs w:val="20"/>
                <w:color w:val="auto"/>
              </w:rPr>
            </w:pPr>
            <w:r>
              <w:rPr>
                <w:rFonts w:ascii="Arial" w:cs="Arial" w:eastAsia="Arial" w:hAnsi="Arial"/>
                <w:sz w:val="18"/>
                <w:szCs w:val="18"/>
                <w:color w:val="auto"/>
              </w:rPr>
              <w:t>Amortization of internal use and product software</w:t>
            </w:r>
          </w:p>
        </w:tc>
        <w:tc>
          <w:tcPr>
            <w:tcW w:w="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58</w:t>
            </w:r>
          </w:p>
        </w:tc>
        <w:tc>
          <w:tcPr>
            <w:tcW w:w="8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56</w:t>
            </w:r>
          </w:p>
        </w:tc>
        <w:tc>
          <w:tcPr>
            <w:tcW w:w="88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Defined pension benefits – net periodic benefit cost</w:t>
            </w:r>
          </w:p>
        </w:tc>
        <w:tc>
          <w:tcPr>
            <w:tcW w:w="56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232</w:t>
            </w:r>
          </w:p>
        </w:tc>
        <w:tc>
          <w:tcPr>
            <w:tcW w:w="82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174</w:t>
            </w:r>
          </w:p>
        </w:tc>
        <w:tc>
          <w:tcPr>
            <w:tcW w:w="880" w:type="dxa"/>
            <w:vAlign w:val="bottom"/>
            <w:gridSpan w:val="2"/>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3"/>
        </w:trPr>
        <w:tc>
          <w:tcPr>
            <w:tcW w:w="9160" w:type="dxa"/>
            <w:vAlign w:val="bottom"/>
            <w:gridSpan w:val="4"/>
          </w:tcPr>
          <w:p>
            <w:pPr>
              <w:spacing w:after="0" w:line="202" w:lineRule="exact"/>
              <w:rPr>
                <w:sz w:val="20"/>
                <w:szCs w:val="20"/>
                <w:color w:val="auto"/>
              </w:rPr>
            </w:pPr>
            <w:r>
              <w:rPr>
                <w:rFonts w:ascii="Arial" w:cs="Arial" w:eastAsia="Arial" w:hAnsi="Arial"/>
                <w:sz w:val="18"/>
                <w:szCs w:val="18"/>
                <w:color w:val="auto"/>
              </w:rPr>
              <w:t>Other post-retirement benefits – net periodic benefit cost</w:t>
            </w:r>
          </w:p>
        </w:tc>
        <w:tc>
          <w:tcPr>
            <w:tcW w:w="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26</w:t>
            </w:r>
          </w:p>
        </w:tc>
        <w:tc>
          <w:tcPr>
            <w:tcW w:w="8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77</w:t>
            </w:r>
          </w:p>
        </w:tc>
        <w:tc>
          <w:tcPr>
            <w:tcW w:w="88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Deferred tax asset valuation allowance provisions</w:t>
            </w:r>
          </w:p>
        </w:tc>
        <w:tc>
          <w:tcPr>
            <w:tcW w:w="5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w:t>
            </w:r>
          </w:p>
        </w:tc>
        <w:tc>
          <w:tcPr>
            <w:tcW w:w="880" w:type="dxa"/>
            <w:vAlign w:val="bottom"/>
            <w:gridSpan w:val="2"/>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220" w:type="dxa"/>
            <w:vAlign w:val="bottom"/>
          </w:tcPr>
          <w:p>
            <w:pPr>
              <w:spacing w:after="0"/>
              <w:rPr>
                <w:sz w:val="20"/>
                <w:szCs w:val="20"/>
                <w:color w:val="auto"/>
              </w:rPr>
            </w:pPr>
            <w:r>
              <w:rPr>
                <w:rFonts w:ascii="Arial" w:cs="Arial" w:eastAsia="Arial" w:hAnsi="Arial"/>
                <w:sz w:val="11"/>
                <w:szCs w:val="11"/>
                <w:color w:val="auto"/>
              </w:rPr>
              <w:t>(1)</w:t>
            </w:r>
          </w:p>
        </w:tc>
        <w:tc>
          <w:tcPr>
            <w:tcW w:w="8920" w:type="dxa"/>
            <w:vAlign w:val="bottom"/>
            <w:gridSpan w:val="2"/>
            <w:vMerge w:val="restart"/>
          </w:tcPr>
          <w:p>
            <w:pPr>
              <w:ind w:left="100"/>
              <w:spacing w:after="0"/>
              <w:rPr>
                <w:sz w:val="20"/>
                <w:szCs w:val="20"/>
                <w:color w:val="auto"/>
              </w:rPr>
            </w:pPr>
            <w:r>
              <w:rPr>
                <w:rFonts w:ascii="Arial" w:cs="Arial" w:eastAsia="Arial" w:hAnsi="Arial"/>
                <w:sz w:val="14"/>
                <w:szCs w:val="14"/>
                <w:color w:val="auto"/>
              </w:rPr>
              <w:t>Note this includes amortization of $4 for patents which is included in cost of sales.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9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Changes in Estimates</w:t>
      </w:r>
    </w:p>
    <w:p>
      <w:pPr>
        <w:spacing w:after="0" w:line="18"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In the ordinary course of accounting for items discussed above, we make changes in estimates as appropriate and as we become aware of circumstances surrounding those estimates. Such changes and refinements in estimation methodologies are reflected in reported results of operations in the period in which the changes are made and, if material, their effects are disclosed in the Notes to the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New Accounting Standards and Accounting Changes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FASB Establishes Accounting Standards Codification™</w:t>
      </w:r>
    </w:p>
    <w:p>
      <w:pPr>
        <w:spacing w:after="0" w:line="18"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In 2009, the FASB issued Accounting Standards Update No. 2009-01, “Generally Accepted Accounting Principles” (ASC Topic 105) which establishes the FASB Accounting Standards Codification (“the Codification” or “ASC”) as the official single source of authoritative U.S. generally accepted accounting principles (“GAAP”). All existing accounting standards are superseded. All other accounting guidance not included in the Codification will be considered non-authoritative. The Codification also includes all relevant Securities and Exchange Commission (“SEC”) guidance organized using the same topical structure in separate sections within the Codification.</w:t>
      </w:r>
    </w:p>
    <w:p>
      <w:pPr>
        <w:spacing w:after="0" w:line="157"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Following the Codification, the Board will not issue new standards in the form of Statements, FASB Staff Positions or Emerging Issues Task Force Abstracts. Instead, it will issue Accounting Standards Updates (“ASU”) which will serve to update the Codification, provide background information about the guidance and provide the basis for conclusions on the changes to the Codification.</w:t>
      </w:r>
    </w:p>
    <w:p>
      <w:pPr>
        <w:spacing w:after="0" w:line="154"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The Codification is not intended to change GAAP, but it will change the way GAAP is organized and presented. The Codification was effective for our third-quarter 2009 financial statements and the principal impact on our financial statements is limited to disclosures as all future references to authoritative accounting literature will be referenced in accordance with the Codification. In order to ease the transition to the Codification, we are providing the Codification cross-reference alongside the references to the standards issued and adopted prior to the adoption of the Codification.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Fair Value Accounting</w:t>
      </w:r>
    </w:p>
    <w:p>
      <w:pPr>
        <w:spacing w:after="0" w:line="18"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In 2006, the FASB issued SFAS No. 157, “Fair Value Measurements” (ASC Topic 820) which defines fair value, establishes a market-based framework or hierarchy for measuring fair value and expands disclosures about fair value</w:t>
      </w:r>
    </w:p>
    <w:p>
      <w:pPr>
        <w:spacing w:after="0" w:line="141"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33</w:t>
      </w:r>
    </w:p>
    <w:p>
      <w:pPr>
        <w:sectPr>
          <w:pgSz w:w="11900" w:h="16838" w:orient="portrait"/>
          <w:cols w:equalWidth="0" w:num="1">
            <w:col w:w="11420"/>
          </w:cols>
          <w:pgMar w:left="240" w:top="291" w:right="239" w:bottom="1440" w:gutter="0" w:footer="0" w:header="0"/>
        </w:sectPr>
      </w:pPr>
    </w:p>
    <w:bookmarkStart w:id="116" w:name="page117"/>
    <w:bookmarkEnd w:id="116"/>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measurements. This guidance is applicable whenever another accounting pronouncement requires or permits assets and liabilities to be measured at fair value. It does not expand or require any new fair value measures; however the application of this statement may change current practice. We adopted this guidance for financial assets and liabilities effective January 1, 2008 and for non-financial assets and liabilities effective January 1, 2009. The adoption of this guidance, which primarily affected the valuation of our derivative contracts, did not have a material effect on our financial condition or results of operations.</w:t>
      </w:r>
    </w:p>
    <w:p>
      <w:pPr>
        <w:spacing w:after="0" w:line="157"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In 2009, the FASB issued the following updates that provide additional application guidance and enhance disclosures regarding fair value measurements and impairments of securities:</w:t>
      </w:r>
    </w:p>
    <w:p>
      <w:pPr>
        <w:spacing w:after="0" w:line="195" w:lineRule="exact"/>
        <w:rPr>
          <w:sz w:val="20"/>
          <w:szCs w:val="20"/>
          <w:color w:val="auto"/>
        </w:rPr>
      </w:pPr>
    </w:p>
    <w:p>
      <w:pPr>
        <w:ind w:left="440" w:right="220" w:hanging="324"/>
        <w:spacing w:after="0" w:line="234" w:lineRule="auto"/>
        <w:tabs>
          <w:tab w:leader="none" w:pos="4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FSP FAS 157-4, “Determining Fair Value When the Volume and Level of Activity for the Asset or Liability Have Significantly Decreased and Identifying Transactions That Are Not Orderly” (ASC Topic 820-10-65).</w:t>
      </w:r>
    </w:p>
    <w:p>
      <w:pPr>
        <w:spacing w:after="0" w:line="1" w:lineRule="exact"/>
        <w:rPr>
          <w:rFonts w:ascii="Arial" w:cs="Arial" w:eastAsia="Arial" w:hAnsi="Arial"/>
          <w:sz w:val="18"/>
          <w:szCs w:val="18"/>
          <w:color w:val="auto"/>
        </w:rPr>
      </w:pPr>
    </w:p>
    <w:p>
      <w:pPr>
        <w:ind w:left="440" w:hanging="324"/>
        <w:spacing w:after="0" w:line="234" w:lineRule="auto"/>
        <w:tabs>
          <w:tab w:leader="none" w:pos="4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FSP FAS 115-2 and FAS 124-2, “Recognition and Presentation of Other-Than-Temporary Impairments” (ASC Topic 320-10-65).</w:t>
      </w:r>
    </w:p>
    <w:p>
      <w:pPr>
        <w:ind w:left="440" w:hanging="324"/>
        <w:spacing w:after="0"/>
        <w:tabs>
          <w:tab w:leader="none" w:pos="4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FSP FAS 107-1 and APB 28-1, “Interim Disclosures about Fair Value of Financial Instruments” (ASC Topic 320-10-65).</w:t>
      </w:r>
    </w:p>
    <w:p>
      <w:pPr>
        <w:spacing w:after="0" w:line="158"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elected to early adopt these updates effective March 31, 2009 and the adoption did not have a material effect on our financial condition or results of operations.</w:t>
      </w:r>
    </w:p>
    <w:p>
      <w:pPr>
        <w:spacing w:after="0" w:line="15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2009, the FASB issued ASU No. 2009-05 which amends Fair Value Measurements and Disclosures – Overall (ASC Topic 820-10) to provide guidance on the fair value measurement of liabilities. This update provides clarification for circumstances in which a quoted price in an active market for the identical liability is not available. This update was effective October 1, 2009 (our fourth quarter) and did not have a material effect on our financial condition or results of operations.</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2010, the FASB issued ASU No. 2010-06 which amends Fair Value Measurements and Disclosures – Overall (ASC Topic 820-10). This update requires a gross presentation of activities within the Level 3 roll forward and adds a new requirement to disclose transfers in and out of Level 1 and 2 measurements. The update also clarifies the following existing disclosure requirements in ASC 820-10 regarding: i) the level of disaggregation of fair value measurements; and ii) the disclosures regarding inputs and valuation techniques. This update is effective for our fiscal year beginning January 1, 2010 except for the gross presentation of the Level 3 roll forward information, which is effective for our fiscal year beginning January 1, 2011. The principle impact from this update will be expanded disclosures regarding our fair value measurements.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Business Combinations and Noncontrolling Interests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2007, the FASB issued SFAS No. 141 (revised 2007), “Business Combinations” (ASC Topic 805). This guidance requires the acquiring entity in a business combination to recognize the full fair value of assets acquired and liabilities assumed in the transaction (whether a full or partial acquisition); establishes the acquisition date fair value as the measurement objective for all assets acquired and liabilities assumed; requires expensing of most transaction and restructuring costs; and requires the acquirer to disclose the information needed to evaluate and understand the nature and financial effect of the business combination. We adopted this guidance effective January 1, 2009 and have applied it to all business combinations prospectively from that date. The impact of ASC Topic 805 on our consolidated financial statements will depend upon the nature, terms and size of the acquisitions we consummate in the future.</w:t>
      </w:r>
    </w:p>
    <w:p>
      <w:pPr>
        <w:spacing w:after="0" w:line="155"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color w:val="auto"/>
        </w:rPr>
        <w:t>In 2009, the FASB issued Staff Position No. FSP FAS 141(R)-1; “Accounting for Assets Acquired and Liabilities Assumed in a Business Combination That Arise from Contingencies” (ASC Topic 805-20). This updated guidance amended the accounting treatment for assets and liabilities arising from contingencies in a business combination and requires that pre-acquisition contingencies be recognized at fair value, if fair value can be reasonably determined. If fair value cannot be reasonably determined, measurement should be based on the best estimate in accordance with SFAS No. 5, “Accounting for Contingencies” (ASC Topic 405). This updated guidance was effective January 1, 2009.</w:t>
      </w:r>
    </w:p>
    <w:p>
      <w:pPr>
        <w:spacing w:after="0" w:line="115"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34</w:t>
      </w:r>
    </w:p>
    <w:p>
      <w:pPr>
        <w:sectPr>
          <w:pgSz w:w="11900" w:h="16838" w:orient="portrait"/>
          <w:cols w:equalWidth="0" w:num="1">
            <w:col w:w="11420"/>
          </w:cols>
          <w:pgMar w:left="240" w:top="291" w:right="239" w:bottom="1440" w:gutter="0" w:footer="0" w:header="0"/>
        </w:sectPr>
      </w:pPr>
    </w:p>
    <w:bookmarkStart w:id="117" w:name="page118"/>
    <w:bookmarkEnd w:id="117"/>
    <w:p>
      <w:pPr>
        <w:ind w:right="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2007, the FASB issued SFAS No. 160, “Noncontrolling Interests in Consolidated Financial Statements—an amendment of Accounting Research Bulletin No. 51” (ASC Topic 810-10-65). This guidance requires companies to present noncontrolling (minority) interests as equity (as opposed to a liability) and provides guidance on the accounting for transactions between an entity and noncontrolling interests. In addition, it requires companies to report a consolidated net income (loss) measure that includes the amount attributable to such noncontrolling interests. We adopted this guidance effective January 1, 2009, and have applied it to noncontrolling interests prospectively from that date. The presentation and disclosure requirements were applied retrospectively for all periods presented. As a result of this adoption, we reclassified noncontrolling interests in the amount of $120 from Other long-term liabilities to equity in the December 31, 2008 balance sheet.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Revenue Recognition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2009, the FASB issued the following ASUs:</w:t>
      </w:r>
    </w:p>
    <w:p>
      <w:pPr>
        <w:spacing w:after="0" w:line="198" w:lineRule="exact"/>
        <w:rPr>
          <w:sz w:val="20"/>
          <w:szCs w:val="20"/>
          <w:color w:val="auto"/>
        </w:rPr>
      </w:pPr>
    </w:p>
    <w:p>
      <w:pPr>
        <w:ind w:left="440" w:right="40" w:hanging="324"/>
        <w:spacing w:after="0" w:line="234"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ASU No. 2009-13, Revenue Recognition (ASC Topic 605) - Multiple-Deliverable Revenue Arrangements, a consensus of the FASB Emerging Issues Task Force. This guidance modifies the fair value requirements of ASC subtopic 605-25 Revenue Recognition-Multiple Element Arrangements by allowing the use of the “best estimate of selling price” in addition to VSOE and VOE (now referred to as TPE standing for third-party evidence) for determining the selling price of a deliverable. A vendor is now required to use its best estimate of the selling price when VSOE or TPE of the selling price cannot be determined. In addition, the residual method of allocating arrangement consideration is no longer permitted.</w:t>
      </w:r>
    </w:p>
    <w:p>
      <w:pPr>
        <w:spacing w:after="0" w:line="4" w:lineRule="exact"/>
        <w:rPr>
          <w:rFonts w:ascii="Arial" w:cs="Arial" w:eastAsia="Arial" w:hAnsi="Arial"/>
          <w:sz w:val="18"/>
          <w:szCs w:val="18"/>
          <w:color w:val="auto"/>
        </w:rPr>
      </w:pPr>
    </w:p>
    <w:p>
      <w:pPr>
        <w:ind w:left="440" w:right="120" w:hanging="324"/>
        <w:spacing w:after="0" w:line="236" w:lineRule="auto"/>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ASU No. 2009-14, Software (ASC Topic 985) - Certain Revenue Arrangements That Include Software Elements, a consensus of the FASB Emerging Issues Task Force. This guidance modifies the scope of ASC subtopic 985-605 Software-Revenue Recognition to exclude from its requirements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w:t>
      </w:r>
    </w:p>
    <w:p>
      <w:pPr>
        <w:spacing w:after="0" w:line="31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These updates require expanded qualitative and quantitative disclosures and are effective for fiscal years beginning on or after June 15, 2010. We have elected to adopt these updates effective for our fiscal year beginning January 1, 2010 and we will apply them prospectively from that date for new or materially modified arrangements. We do not believe adoption of these updates will have a material effect on our financial condition or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Benefit Plans Accounting</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2008, the FASB issued Staff Position No. FAS 132(R)-1, “Employers’ Disclosures about Postretirement Benefit Plan Assets” (ASC Topic 715-20-65). This guidance expands disclosure by requiring the following new disclosures: 1) how investment allocation decisions are made by management; 2) major categories of plan assets; 3) a roll-forward of assets valued with non-observable market inputs; and 4) significant concentrations of risk. Additionally, ASC 715-20-65 requires an employer to disclose information about the valuation of plan assets similar to that required in ASC Topic 820 Fair Value Measurements and Disclosures. This guidance was effective for our fiscal year ending December 31, 2009. The only impact from this standard was to require us to expand disclosures regarding our benefit plan assets. Refer to Note 14-Employee Benefit Plans for expanded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Other Accounting Changes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January 2010, the FASB issued the following Codification updates:</w:t>
      </w:r>
    </w:p>
    <w:p>
      <w:pPr>
        <w:spacing w:after="0" w:line="198" w:lineRule="exact"/>
        <w:rPr>
          <w:sz w:val="20"/>
          <w:szCs w:val="20"/>
          <w:color w:val="auto"/>
        </w:rPr>
      </w:pPr>
    </w:p>
    <w:p>
      <w:pPr>
        <w:ind w:left="440" w:right="180" w:hanging="324"/>
        <w:spacing w:after="0" w:line="236" w:lineRule="auto"/>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ASU 2010-01 which amends Equity (ASC Topic 505): Accounting for Distributions to Shareholders with Components of Stock and Cash—a consensus of the FASB Emerging Issues Task Force. This update clarifies that the stock portion of a distribution to shareholders that allows them to elect to receive cash or stock with a potential limitation on the total amount of cash that all shareholders can elect to receive in the aggregate is considered a share issuance that is reflected in EPS prospectively and is not a stock dividend for purposes of applying ASC Topics 505 and 260 (Equity and Earnings Per Share). This update was effective October 1, 2009 (our fourth quarter) and did not have a material effect on our financial condition or results of operations.</w:t>
      </w:r>
    </w:p>
    <w:p>
      <w:pPr>
        <w:spacing w:after="0" w:line="14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35</w:t>
      </w:r>
    </w:p>
    <w:p>
      <w:pPr>
        <w:sectPr>
          <w:pgSz w:w="11900" w:h="16838" w:orient="portrait"/>
          <w:cols w:equalWidth="0" w:num="1">
            <w:col w:w="11420"/>
          </w:cols>
          <w:pgMar w:left="240" w:top="291" w:right="239" w:bottom="1440" w:gutter="0" w:footer="0" w:header="0"/>
        </w:sectPr>
      </w:pPr>
    </w:p>
    <w:bookmarkStart w:id="118" w:name="page119"/>
    <w:bookmarkEnd w:id="118"/>
    <w:p>
      <w:pPr>
        <w:ind w:left="440" w:right="140" w:hanging="324"/>
        <w:spacing w:after="0" w:line="237" w:lineRule="auto"/>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ASU 2010-02 which amends Consolidation (ASC Topic 810): Accounting and Reporting for Decreases in Ownership of a Subsidiary—a Scope Clarification. This update provides amendments to ASC Topic 810 to clarify the scope of the decrease in ownership provisions of the topic and related guidance. This update was effective October 1, 2009 (our fourth quarter) and did not have a material effect on our financial condition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2009, the FASB issued the following codification updates:</w:t>
      </w:r>
    </w:p>
    <w:p>
      <w:pPr>
        <w:spacing w:after="0" w:line="198" w:lineRule="exact"/>
        <w:rPr>
          <w:sz w:val="20"/>
          <w:szCs w:val="20"/>
          <w:color w:val="auto"/>
        </w:rPr>
      </w:pPr>
    </w:p>
    <w:p>
      <w:pPr>
        <w:ind w:left="440" w:right="120" w:hanging="324"/>
        <w:spacing w:after="0" w:line="271" w:lineRule="auto"/>
        <w:tabs>
          <w:tab w:leader="none" w:pos="4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ASU 2009-16 which amends Transfers and Servicing (ASC Topic 860): Accounting for Transfers of Financial Assets. This update removed the concept of a qualifying special-purpose entity and removed the exception from applying consolidation guidance to these entities. This update also clarified the requirements for isolation and limitations on portions of financial assets that are eligible for sale accounting. We adopted this update effective for our fiscal year beginning January 1, 2010. We have certain accounts receivable sale arrangements that will require modification in order to qualify for sale accounting under this updated guidance. Assuming those arrangements are modified, we do not believe adoption of this update will have a material effect on our financial condition or results of operations.</w:t>
      </w:r>
    </w:p>
    <w:p>
      <w:pPr>
        <w:spacing w:after="0" w:line="171" w:lineRule="exact"/>
        <w:rPr>
          <w:rFonts w:ascii="Arial" w:cs="Arial" w:eastAsia="Arial" w:hAnsi="Arial"/>
          <w:sz w:val="16"/>
          <w:szCs w:val="16"/>
          <w:color w:val="auto"/>
        </w:rPr>
      </w:pPr>
    </w:p>
    <w:p>
      <w:pPr>
        <w:ind w:left="440" w:right="20" w:hanging="324"/>
        <w:spacing w:after="0" w:line="236"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ASU 2009-17 which amends Consolidations (ASC Topic 810): Improvements to Financial Reporting by Enterprises Involved with Variable Interest Entities. This update requires an analysis to determine whether a variable interest gives the entity a controlling financial interest in a variable interest entity. It also requires an ongoing reassessment and eliminates the quantitative approach previously required for determining whether an entity is the primary beneficiary. We adopted this update effective for our fiscal year beginning January 1, 2010 and we do not believe adoption of this update will have a material effect on our financial condition or results of operations.</w:t>
      </w:r>
    </w:p>
    <w:p>
      <w:pPr>
        <w:spacing w:after="0" w:line="197" w:lineRule="exact"/>
        <w:rPr>
          <w:rFonts w:ascii="Arial" w:cs="Arial" w:eastAsia="Arial" w:hAnsi="Arial"/>
          <w:sz w:val="18"/>
          <w:szCs w:val="18"/>
          <w:color w:val="auto"/>
        </w:rPr>
      </w:pPr>
    </w:p>
    <w:p>
      <w:pPr>
        <w:jc w:val="both"/>
        <w:ind w:left="440" w:right="60" w:hanging="324"/>
        <w:spacing w:after="0" w:line="238"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2009, the FASB issued SFAS No. 165, “Subsequent Events” (ASC Topic 855). This guidance is intended to establish general standards of accounting for and disclosures of events that occur after the balance sheet date but before financial statements are issued or are available to be issued. This guidance was effective for our second quarter ended June 30, 2009.</w:t>
      </w:r>
    </w:p>
    <w:p>
      <w:pPr>
        <w:spacing w:after="0" w:line="15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During 2009 and early 2010, the FASB has issued several ASUs – ASU No. 2009-02 through ASU No. 2009-17 and ASU No. 2010-01 through ASU No. 2010-08. Except for ASUs No. 2009-05, 2009-13, 2009-14, 2009-16, 2009-17, 2010-01, 2010-02 and 2010-06 discussed above, the remaining ASUs entail technical corrections to existing guidance or affect guidance related to specialized industries or entities and therefore have minimal, if any, impact on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Summary of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Revenue Recognition</w:t>
      </w:r>
    </w:p>
    <w:p>
      <w:pPr>
        <w:spacing w:after="0" w:line="18"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We generate revenue through the sale and rental of equipment, service and supplies and income associated with the financing of our equipment sales. Revenue is recognized when earned. More specifically, revenue related to sales of our products and services is recognized as follows:</w:t>
      </w:r>
    </w:p>
    <w:p>
      <w:pPr>
        <w:spacing w:after="0" w:line="8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color w:val="1269BC"/>
        </w:rPr>
        <w:t xml:space="preserve">Equipment: </w:t>
      </w:r>
      <w:r>
        <w:rPr>
          <w:rFonts w:ascii="Arial" w:cs="Arial" w:eastAsia="Arial" w:hAnsi="Arial"/>
          <w:sz w:val="16"/>
          <w:szCs w:val="16"/>
          <w:color w:val="000000"/>
        </w:rPr>
        <w:t>Revenues from the sale of equipment, including those from sales-type leases, are recognized at the time of sale or at the inception of</w:t>
      </w:r>
      <w:r>
        <w:rPr>
          <w:rFonts w:ascii="Arial" w:cs="Arial" w:eastAsia="Arial" w:hAnsi="Arial"/>
          <w:sz w:val="16"/>
          <w:szCs w:val="16"/>
          <w:b w:val="1"/>
          <w:bCs w:val="1"/>
          <w:color w:val="1269BC"/>
        </w:rPr>
        <w:t xml:space="preserve"> </w:t>
      </w:r>
      <w:r>
        <w:rPr>
          <w:rFonts w:ascii="Arial" w:cs="Arial" w:eastAsia="Arial" w:hAnsi="Arial"/>
          <w:sz w:val="16"/>
          <w:szCs w:val="16"/>
          <w:color w:val="000000"/>
        </w:rPr>
        <w:t>the lease, as appropriate. For equipment sales that require us to install the product at the customer location, revenue is recognized when the equipment has been delivered and installed at the customer location. Sales of customer installable products are recognized upon shipment or receipt by the customer according to the customer’s shipping terms. Revenues from equipment under other leases and similar arrangements are accounted for by the operating lease method and are recognized as earned over the lease term, which is generally on a straight-line basis.</w:t>
      </w:r>
    </w:p>
    <w:p>
      <w:pPr>
        <w:spacing w:after="0" w:line="1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36</w:t>
      </w:r>
    </w:p>
    <w:p>
      <w:pPr>
        <w:sectPr>
          <w:pgSz w:w="11900" w:h="16838" w:orient="portrait"/>
          <w:cols w:equalWidth="0" w:num="1">
            <w:col w:w="11420"/>
          </w:cols>
          <w:pgMar w:left="240" w:top="291" w:right="239" w:bottom="1440" w:gutter="0" w:footer="0" w:header="0"/>
        </w:sectPr>
      </w:pPr>
    </w:p>
    <w:bookmarkStart w:id="119" w:name="page120"/>
    <w:bookmarkEnd w:id="119"/>
    <w:p>
      <w:pPr>
        <w:ind w:right="60"/>
        <w:spacing w:after="0" w:line="242" w:lineRule="auto"/>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Service: </w:t>
      </w:r>
      <w:r>
        <w:rPr>
          <w:rFonts w:ascii="Arial" w:cs="Arial" w:eastAsia="Arial" w:hAnsi="Arial"/>
          <w:sz w:val="18"/>
          <w:szCs w:val="18"/>
          <w:color w:val="000000"/>
        </w:rPr>
        <w:t>Service revenues are derived primarily from maintenance contracts on our equipment sold to customers and are recognized over the</w:t>
      </w:r>
      <w:r>
        <w:rPr>
          <w:rFonts w:ascii="Arial" w:cs="Arial" w:eastAsia="Arial" w:hAnsi="Arial"/>
          <w:sz w:val="18"/>
          <w:szCs w:val="18"/>
          <w:b w:val="1"/>
          <w:bCs w:val="1"/>
          <w:color w:val="1269BC"/>
        </w:rPr>
        <w:t xml:space="preserve"> </w:t>
      </w:r>
      <w:r>
        <w:rPr>
          <w:rFonts w:ascii="Arial" w:cs="Arial" w:eastAsia="Arial" w:hAnsi="Arial"/>
          <w:sz w:val="18"/>
          <w:szCs w:val="18"/>
          <w:color w:val="000000"/>
        </w:rPr>
        <w:t>term of the contracts. A substantial portion of our products are sold with full service maintenance agreements for which the customer typically pays a base service fee plus a variable amount based on usage. As a consequence, other than the product warranty obligations associated with certain of our low end products in the Office segment, we do not have any significant product warranty obligations, including any obligations under customer satisfaction programs.</w:t>
      </w:r>
    </w:p>
    <w:p>
      <w:pPr>
        <w:spacing w:after="0" w:line="15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Revenues associated with outsourcing services, as well as professional and value-added services are generally recognized as such services are performed. In those service arrangements where final acceptance of a system or solution by the customer is required, revenue is deferred until all acceptance criteria have been met. Costs associated with service arrangements are generally recognized as incurred. Initial direct costs of an arrangement are capitalized and amortized over the contractual service period. Long-lived assets used in the fulfillment of the arrangements are capitalized and depreciated over the shorter of their useful life or the term of the contract. Losses on service arrangements are recognized in the period that the contractual loss becomes probable and estimable.</w:t>
      </w:r>
    </w:p>
    <w:p>
      <w:pPr>
        <w:spacing w:after="0" w:line="134"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1269BC"/>
        </w:rPr>
        <w:t xml:space="preserve">Sales to distributors and resellers: </w:t>
      </w:r>
      <w:r>
        <w:rPr>
          <w:rFonts w:ascii="Arial" w:cs="Arial" w:eastAsia="Arial" w:hAnsi="Arial"/>
          <w:sz w:val="18"/>
          <w:szCs w:val="18"/>
          <w:color w:val="000000"/>
        </w:rPr>
        <w:t>We utilize distributors and resellers to sell certain of our products to end-users. We refer to our distributor and</w:t>
      </w:r>
      <w:r>
        <w:rPr>
          <w:rFonts w:ascii="Arial" w:cs="Arial" w:eastAsia="Arial" w:hAnsi="Arial"/>
          <w:sz w:val="18"/>
          <w:szCs w:val="18"/>
          <w:b w:val="1"/>
          <w:bCs w:val="1"/>
          <w:color w:val="1269BC"/>
        </w:rPr>
        <w:t xml:space="preserve"> </w:t>
      </w:r>
      <w:r>
        <w:rPr>
          <w:rFonts w:ascii="Arial" w:cs="Arial" w:eastAsia="Arial" w:hAnsi="Arial"/>
          <w:sz w:val="18"/>
          <w:szCs w:val="18"/>
          <w:color w:val="000000"/>
        </w:rPr>
        <w:t>reseller network as our two-tier distribution model. Sales to distributors and resellers are generally recognized as revenue when products are sold to such distributors and resellers. Distributors and resellers participate in various cooperative marketing and other programs, and we record provisions for these programs as a reduction to revenue when the sales occur. Similarly, we account for our estimates of sales returns and other allowances when the sales occur based on our historical experience.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 xml:space="preserve">Supplies: </w:t>
      </w:r>
      <w:r>
        <w:rPr>
          <w:rFonts w:ascii="Arial" w:cs="Arial" w:eastAsia="Arial" w:hAnsi="Arial"/>
          <w:sz w:val="18"/>
          <w:szCs w:val="18"/>
          <w:color w:val="000000"/>
        </w:rPr>
        <w:t>Supplies revenue generally is recognized upon shipment or utilization by customers in accordance with the sales terms.</w:t>
      </w:r>
    </w:p>
    <w:p>
      <w:pPr>
        <w:spacing w:after="0" w:line="15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color w:val="1269BC"/>
        </w:rPr>
        <w:t xml:space="preserve">Software: </w:t>
      </w:r>
      <w:r>
        <w:rPr>
          <w:rFonts w:ascii="Arial" w:cs="Arial" w:eastAsia="Arial" w:hAnsi="Arial"/>
          <w:sz w:val="18"/>
          <w:szCs w:val="18"/>
          <w:color w:val="000000"/>
        </w:rPr>
        <w:t>Software included within our equipment and services is generally considered incidental and is therefore accounted for as part of the</w:t>
      </w:r>
      <w:r>
        <w:rPr>
          <w:rFonts w:ascii="Arial" w:cs="Arial" w:eastAsia="Arial" w:hAnsi="Arial"/>
          <w:sz w:val="18"/>
          <w:szCs w:val="18"/>
          <w:b w:val="1"/>
          <w:bCs w:val="1"/>
          <w:color w:val="1269BC"/>
        </w:rPr>
        <w:t xml:space="preserve"> </w:t>
      </w:r>
      <w:r>
        <w:rPr>
          <w:rFonts w:ascii="Arial" w:cs="Arial" w:eastAsia="Arial" w:hAnsi="Arial"/>
          <w:sz w:val="18"/>
          <w:szCs w:val="18"/>
          <w:color w:val="000000"/>
        </w:rPr>
        <w:t>equipment sales or services revenues. Software accessories sold in connection with our equipment sales, as well as free-standing software sales are accounted for as separate deliverables or elements. In most cases, these software products are sold as part of multiple element arrangements and include software maintenance agreements for the delivery of technical service, as well as unspecified upgrades or enhancements on a when-and-if-available basis. In those software accessory and free-standing software arrangements that include more than one element, we allocate the revenue among the elements based on vendor-specific objective evidence (“VSOE”) of fair value. VSOE of fair value is based on the price charged when the deliverable is sold separately by us on a regular basis and not as part of the multiple-element arrangement. Revenue allocated to software is normally recognized upon delivery while revenue allocated to the software maintenance element is recognized ratably over the term of the arrangement.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 xml:space="preserve">Leases: </w:t>
      </w:r>
      <w:r>
        <w:rPr>
          <w:rFonts w:ascii="Arial" w:cs="Arial" w:eastAsia="Arial" w:hAnsi="Arial"/>
          <w:sz w:val="18"/>
          <w:szCs w:val="18"/>
          <w:color w:val="000000"/>
        </w:rPr>
        <w:t>Our accounting for leases involves specific determinations regarding complex accounting provisions, as well as significant judgments. The</w:t>
      </w:r>
      <w:r>
        <w:rPr>
          <w:rFonts w:ascii="Arial" w:cs="Arial" w:eastAsia="Arial" w:hAnsi="Arial"/>
          <w:sz w:val="18"/>
          <w:szCs w:val="18"/>
          <w:b w:val="1"/>
          <w:bCs w:val="1"/>
          <w:color w:val="1269BC"/>
        </w:rPr>
        <w:t xml:space="preserve"> </w:t>
      </w:r>
      <w:r>
        <w:rPr>
          <w:rFonts w:ascii="Arial" w:cs="Arial" w:eastAsia="Arial" w:hAnsi="Arial"/>
          <w:sz w:val="18"/>
          <w:szCs w:val="18"/>
          <w:color w:val="000000"/>
        </w:rPr>
        <w:t>two primary accounting provisions which we use to classify transactions as sales-type or operating leases are: 1) a review of the lease term to determine if it is equal to or greater than 75% of the economic life of the equipment and 2) a review of the present value of the minimum lease payments to determine if they are equal to or greater than 90% of the fair market value of the equipment at the inception of the lease. Our leases in our Latin America operations have historically been recorded as operating leases given the cancellable nature of the contract or because the recoverability of the lease investment is deemed not to be predictable at lease inception.</w:t>
      </w:r>
    </w:p>
    <w:p>
      <w:pPr>
        <w:spacing w:after="0" w:line="15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critical elements that we consider with respect to our lease accounting are the determination of the economic life and the fair value of equipment, including the residual value. For purposes of determining the economic life, we consider the most objective measure to be the original contract term, since most equipment is returned by lessees at or near the end of the contracted term. The economic life of most of our products is five years since this represents the most frequent contractual lease term for our principal products and only a small percentage of our leases have original terms longer than five years. We continually evaluate the economic life of both existing and newly introduced products for purposes of this determination. Residual values, if any, are established at lease inception using estimates of fair value at the end of the lease term.</w:t>
      </w:r>
    </w:p>
    <w:p>
      <w:pPr>
        <w:spacing w:after="0" w:line="11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37</w:t>
      </w:r>
    </w:p>
    <w:p>
      <w:pPr>
        <w:sectPr>
          <w:pgSz w:w="11900" w:h="16838" w:orient="portrait"/>
          <w:cols w:equalWidth="0" w:num="1">
            <w:col w:w="11420"/>
          </w:cols>
          <w:pgMar w:left="240" w:top="269" w:right="239" w:bottom="1440" w:gutter="0" w:footer="0" w:header="0"/>
        </w:sectPr>
      </w:pPr>
    </w:p>
    <w:bookmarkStart w:id="120" w:name="page121"/>
    <w:bookmarkEnd w:id="120"/>
    <w:p>
      <w:pPr>
        <w:ind w:right="4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vast majority of our leases that qualify as sales-type are non-cancelable and include cancellation penalties approximately equal to the full value of the lease receivables. A portion of our business involves sales to governmental units. Governmental units are those entities that have statutorily defined funding or annual budgets that are determined by their legislative bodies. Certain of our governmental contracts may have cancellation provisions or renewal clauses that are required by law, such as 1) those dependant on fiscal funding outside of a governmental unit’s control, 2) those that can be cancelled if deemed in the best interest of the governmental unit’s taxpayers or 3) those that must be renewed each fiscal year, given limitations that may exist on entering into multi-year contracts that are imposed by statute. In these circumstances, we carefully evaluate these contracts to assess whether cancellation is remote. The evaluation of a lease agreement with a renewal option includes an assessment as to whether the renewal is reasonably assured based on the apparent intent and our experience of such governmental unit. We further ensure that the contract provisions described above are offered only in instances where required by law. Where such contract terms are not legally required, we consider the arrangement to be cancelable and account for the lease as an operating lease.</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After the initial lease of equipment to our customers, we may enter subsequent transactions with the same customer whereby we extend the term.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Revenue from such lease extensions is typically recognized over the extension period.</w:t>
      </w:r>
    </w:p>
    <w:p>
      <w:pPr>
        <w:spacing w:after="0" w:line="13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b w:val="1"/>
          <w:bCs w:val="1"/>
          <w:color w:val="1269BC"/>
        </w:rPr>
        <w:t xml:space="preserve">Bundled Arrangements: </w:t>
      </w:r>
      <w:r>
        <w:rPr>
          <w:rFonts w:ascii="Arial" w:cs="Arial" w:eastAsia="Arial" w:hAnsi="Arial"/>
          <w:sz w:val="16"/>
          <w:szCs w:val="16"/>
          <w:color w:val="000000"/>
        </w:rPr>
        <w:t>We sell our products and services under bundled lease arrangements, which typically include equipment, service,</w:t>
      </w:r>
      <w:r>
        <w:rPr>
          <w:rFonts w:ascii="Arial" w:cs="Arial" w:eastAsia="Arial" w:hAnsi="Arial"/>
          <w:sz w:val="16"/>
          <w:szCs w:val="16"/>
          <w:b w:val="1"/>
          <w:bCs w:val="1"/>
          <w:color w:val="1269BC"/>
        </w:rPr>
        <w:t xml:space="preserve"> </w:t>
      </w:r>
      <w:r>
        <w:rPr>
          <w:rFonts w:ascii="Arial" w:cs="Arial" w:eastAsia="Arial" w:hAnsi="Arial"/>
          <w:sz w:val="16"/>
          <w:szCs w:val="16"/>
          <w:color w:val="000000"/>
        </w:rPr>
        <w:t>supplies and financing components for which the customer pays a single negotiated fixed minimum monthly payment for all elements over the contractual lease term. These arrangements also typically include an incremental, variable component for page volumes in excess of contractual page volume minimums, which are often expressed in terms of price per page. The fixed minimum monthly payments are multiplied by the number of months in the contract term to arrive at the total fixed minimum payments that the customer is obligated to make (“fixed payments”) over the lease term. The payments associated with page volumes in excess of the minimums are contingent on whether or not such minimums are exceeded (“contingent payments”). The minimum contractual committed page volumes are typically negotiated to equal the customer’s estimated page volume at lease inception. In applying our lease accounting methodology, we only consider the fixed payments for purposes of allocating to the relative fair value elements of the contract. Contingent payments, if any, are inherently uncertain and therefore are recognized as revenue in the period when the customer exceeds the minimum copy volumes specified in the contract. Revenues under bundled arrangements are allocated considering the relative fair values of the lease and non-lease deliverables included in the bundled arrangement based upon the estimated relative fair values of each element. Lease deliverables include maintenance and executory costs, equipment and financing, while non-lease deliverables generally consist of the supplies and non-maintenance services. Our revenue allocation for the lease deliverables begins by allocating revenues to the maintenance and executory costs plus profit thereon. The remaining amounts are allocated to the equipment and financing elements.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Cash and Cash Equivalents</w:t>
      </w:r>
    </w:p>
    <w:p>
      <w:pPr>
        <w:spacing w:after="0" w:line="1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Cash and cash equivalents consist of cash on hand, including money-market funds, and investments with original maturities of three months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Restricted Cash and Investments</w:t>
      </w:r>
    </w:p>
    <w:p>
      <w:pPr>
        <w:spacing w:after="0" w:line="1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As more fully discussed in Note 16 - Contingencies, various litigation matters in Brazil require us to make cash deposits as a condition of continuing the litigation. In addition, several of our secured financing arrangements and other contracts require us to post cash collateral or maintain minimum cash balances in escrow. These cash amounts are classified in our Consolidated Balance Sheets based on when the cash will be contractually or judicially released (refer to Note 10-Supplementary Financial Information for classification of amounts). At December 31, 2009 and 2008, such restricted cash amounts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76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96"/>
              </w:rPr>
              <w:t>2008</w:t>
            </w: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and other litigation deposits in Brazil</w:t>
            </w:r>
          </w:p>
        </w:tc>
        <w:tc>
          <w:tcPr>
            <w:tcW w:w="820" w:type="dxa"/>
            <w:vAlign w:val="bottom"/>
            <w:shd w:val="clear" w:color="auto" w:fill="CCEEFF"/>
          </w:tcPr>
          <w:p>
            <w:pPr>
              <w:jc w:val="right"/>
              <w:ind w:right="439"/>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240</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206"/>
        </w:trPr>
        <w:tc>
          <w:tcPr>
            <w:tcW w:w="7660" w:type="dxa"/>
            <w:vAlign w:val="bottom"/>
          </w:tcPr>
          <w:p>
            <w:pPr>
              <w:spacing w:after="0" w:line="206" w:lineRule="exact"/>
              <w:rPr>
                <w:sz w:val="20"/>
                <w:szCs w:val="20"/>
                <w:color w:val="auto"/>
              </w:rPr>
            </w:pPr>
            <w:r>
              <w:rPr>
                <w:rFonts w:ascii="Arial" w:cs="Arial" w:eastAsia="Arial" w:hAnsi="Arial"/>
                <w:sz w:val="18"/>
                <w:szCs w:val="18"/>
                <w:color w:val="auto"/>
              </w:rPr>
              <w:t>Escrow and cash collections related to receivable sales and secured borrowing</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9"/>
        </w:trPr>
        <w:tc>
          <w:tcPr>
            <w:tcW w:w="7660" w:type="dxa"/>
            <w:vAlign w:val="bottom"/>
          </w:tcPr>
          <w:p>
            <w:pPr>
              <w:ind w:left="220"/>
              <w:spacing w:after="0" w:line="200" w:lineRule="exact"/>
              <w:rPr>
                <w:sz w:val="20"/>
                <w:szCs w:val="20"/>
                <w:color w:val="auto"/>
              </w:rPr>
            </w:pPr>
            <w:r>
              <w:rPr>
                <w:rFonts w:ascii="Arial" w:cs="Arial" w:eastAsia="Arial" w:hAnsi="Arial"/>
                <w:sz w:val="18"/>
                <w:szCs w:val="18"/>
                <w:color w:val="auto"/>
              </w:rPr>
              <w:t>arrangements</w:t>
            </w:r>
          </w:p>
        </w:tc>
        <w:tc>
          <w:tcPr>
            <w:tcW w:w="820" w:type="dxa"/>
            <w:vAlign w:val="bottom"/>
          </w:tcPr>
          <w:p>
            <w:pPr>
              <w:spacing w:after="0"/>
              <w:rPr>
                <w:sz w:val="17"/>
                <w:szCs w:val="17"/>
                <w:color w:val="auto"/>
              </w:rPr>
            </w:pPr>
          </w:p>
        </w:tc>
        <w:tc>
          <w:tcPr>
            <w:tcW w:w="380" w:type="dxa"/>
            <w:vAlign w:val="bottom"/>
          </w:tcPr>
          <w:p>
            <w:pPr>
              <w:jc w:val="right"/>
              <w:spacing w:after="0" w:line="200" w:lineRule="exact"/>
              <w:rPr>
                <w:sz w:val="20"/>
                <w:szCs w:val="20"/>
                <w:color w:val="auto"/>
              </w:rPr>
            </w:pPr>
            <w:r>
              <w:rPr>
                <w:rFonts w:ascii="Arial" w:cs="Arial" w:eastAsia="Arial" w:hAnsi="Arial"/>
                <w:sz w:val="18"/>
                <w:szCs w:val="18"/>
                <w:color w:val="auto"/>
              </w:rPr>
              <w:t>29</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16</w:t>
            </w: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restricted cash</w:t>
            </w:r>
          </w:p>
        </w:tc>
        <w:tc>
          <w:tcPr>
            <w:tcW w:w="8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10"/>
        </w:trPr>
        <w:tc>
          <w:tcPr>
            <w:tcW w:w="7660" w:type="dxa"/>
            <w:vAlign w:val="bottom"/>
          </w:tcPr>
          <w:p>
            <w:pPr>
              <w:spacing w:after="0"/>
              <w:rPr>
                <w:sz w:val="20"/>
                <w:szCs w:val="20"/>
                <w:color w:val="auto"/>
              </w:rPr>
            </w:pPr>
            <w:r>
              <w:rPr>
                <w:rFonts w:ascii="Arial" w:cs="Arial" w:eastAsia="Arial" w:hAnsi="Arial"/>
                <w:sz w:val="18"/>
                <w:szCs w:val="18"/>
                <w:b w:val="1"/>
                <w:bCs w:val="1"/>
                <w:color w:val="auto"/>
              </w:rPr>
              <w:t>Total Restricted Cash and Investments</w:t>
            </w:r>
          </w:p>
        </w:tc>
        <w:tc>
          <w:tcPr>
            <w:tcW w:w="820" w:type="dxa"/>
            <w:vAlign w:val="bottom"/>
            <w:tcBorders>
              <w:bottom w:val="single" w:sz="8" w:color="auto"/>
            </w:tcBorders>
          </w:tcPr>
          <w:p>
            <w:pPr>
              <w:jc w:val="right"/>
              <w:ind w:right="43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0"/>
        </w:trPr>
        <w:tc>
          <w:tcPr>
            <w:tcW w:w="7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38</w:t>
      </w:r>
    </w:p>
    <w:p>
      <w:pPr>
        <w:sectPr>
          <w:pgSz w:w="11900" w:h="16838" w:orient="portrait"/>
          <w:cols w:equalWidth="0" w:num="1">
            <w:col w:w="11420"/>
          </w:cols>
          <w:pgMar w:left="240" w:top="291"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for Losses on Uncollectible Receivables</w:t>
      </w:r>
    </w:p>
    <w:p>
      <w:pPr>
        <w:spacing w:after="0" w:line="18"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The provisions for losses on uncollectible trade and finance receivables are determined principally on the basis of past collection experience applied to ongoing evaluations of our receivables and evaluations of the default risks of repayment.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Allowances for doubtful accounts as of December 31, 2009 and 2008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8"/>
              </w:rPr>
              <w:t>December 31,</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42"/>
        </w:trPr>
        <w:tc>
          <w:tcPr>
            <w:tcW w:w="74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8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2008</w:t>
            </w:r>
          </w:p>
        </w:tc>
      </w:tr>
      <w:tr>
        <w:trPr>
          <w:trHeight w:val="196"/>
        </w:trPr>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receivables</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14"/>
        </w:trPr>
        <w:tc>
          <w:tcPr>
            <w:tcW w:w="7460" w:type="dxa"/>
            <w:vAlign w:val="bottom"/>
          </w:tcPr>
          <w:p>
            <w:pPr>
              <w:spacing w:after="0"/>
              <w:rPr>
                <w:sz w:val="20"/>
                <w:szCs w:val="20"/>
                <w:color w:val="auto"/>
              </w:rPr>
            </w:pPr>
            <w:r>
              <w:rPr>
                <w:rFonts w:ascii="Arial" w:cs="Arial" w:eastAsia="Arial" w:hAnsi="Arial"/>
                <w:sz w:val="18"/>
                <w:szCs w:val="18"/>
                <w:color w:val="auto"/>
              </w:rPr>
              <w:t>Allowance for doubtful finance receivables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Inventories</w:t>
      </w:r>
    </w:p>
    <w:p>
      <w:pPr>
        <w:spacing w:after="0" w:line="1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Inventories are carried at the lower of average cost or market. Inventories also include equipment that is returned at the end of the lease term. Returned equipment is recorded at the lower of remaining net book value or salvage value. Salvage value consists of the estimated market value (generally determined based on replacement cost) of the salvageable component parts, which are expected to be used in the remanufacturing process. We regularly review inventory quantities and record a provision for excess and/or obsolete inventory based primarily on our estimated forecast of product demand, production requirements and servicing commitments. Several factors may influence the realizability of our inventories, including our decision to exit a product line, technological changes and new product development. The provision for excess and/or obsolete raw materials and equipment inventories is based primarily on near term forecasts of product demand and include consideration of new product introductions, as well as changes in remanufacturing strategies. The provision for excess and/or obsolete service parts inventory is based primarily on projected servicing requirements over the life of the related equipment populations.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Land, Buildings and Equipment and Equipment on Operating Leases</w:t>
      </w:r>
    </w:p>
    <w:p>
      <w:pPr>
        <w:spacing w:after="0" w:line="1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Land, buildings and equipment are recorded at cost. Buildings and equipment are depreciated over their estimated useful lives. Leasehold improvements are depreciated over the shorter of the lease term or the estimated useful life. Equipment on operating leases is depreciated to estimated salvage value over the lease term. Depreciation is computed using the straight-line method. Significant improvements are capitalized and maintenance and repairs are expensed. Refer to Note 5 - Inventories and Equipment on Operating Leases, Net and Note 6 - Land, Buildings and Equipment, Net for further discussion.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Internal Use Software</w:t>
      </w:r>
    </w:p>
    <w:p>
      <w:pPr>
        <w:spacing w:after="0" w:line="1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capitalize direct costs associated with developing, purchasing or otherwise acquiring software for internal use and amortize these costs on a straight-line basis over the expected useful life of the software, beginning when the software is implemented. Useful lives of the software generally vary from three to seven years. Amortization expense was $53, $50, and $76 for the years ended December 31, 2009, 2008 and 2007, respectively. Capitalized costs were $354 and $288 as of December 31, 2009 and 2008, respectively.</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39</w:t>
      </w:r>
    </w:p>
    <w:p>
      <w:pPr>
        <w:sectPr>
          <w:pgSz w:w="11900" w:h="16838" w:orient="portrait"/>
          <w:cols w:equalWidth="0" w:num="1">
            <w:col w:w="11420"/>
          </w:cols>
          <w:pgMar w:left="240" w:top="269"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Goodwill and Other Intangible Assets</w:t>
      </w:r>
    </w:p>
    <w:p>
      <w:pPr>
        <w:spacing w:after="0" w:line="1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Goodwill is tested for impairment annually or more frequently if an event or circumstance indicates that an impairment loss may have been incurred. Application of the goodwill impairment test requires judgment, including the identification of reporting units, assignment of assets and liabilities to reporting units, assignment of goodwill to reporting units and determination of the fair value of each reporting unit. We estimate the fair value of each reporting unit using a discounted cash flow methodology. This requires us to use significant judgment including estimation of future cash flows, which is dependent on internal forecasts, estimation of the long-term rate of growth for our business, the useful life over which cash flows will occur, determination of our weighted average cost of capital and relevant market data.</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Other intangible assets primarily consist of assets obtained in connection with business acquisitions, including installed customer base and distribution network relationships, patents on existing technology and trademarks. We apply an impairment evaluation whenever events or changes in business circumstances indicate that the carrying value of our intangible assets may not be recoverable. Other intangible assets are amortized on a straight-line basis over their estimated economic lives. We believe that the straight-line method of amortization reflects an appropriate allocation of the cost of the intangible assets to earnings in proportion to the amount of economic benefits obtained annually by the Company. Refer to Note 8 – Goodwill and Intangible Assets, Net for further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Impairment of Long-Lived Assets</w:t>
      </w:r>
    </w:p>
    <w:p>
      <w:pPr>
        <w:spacing w:after="0" w:line="18"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We review the recoverability of our long-lived assets, including buildings, equipment, internal-use software and other intangible assets, when events or changes in circumstances occur that indicate that the carrying value of the asset may not be recoverable. The assessment of possible impairment is based on our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Our primary measure of fair value is based on discounted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Treasury Stock</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account for repurchased common stock under the cost method and include such treasury stock as a component of our Common shareholders’ equity. Retirement of Treasury stock is recorded as a reduction of Common stock and Additional paid-in-capital at the time such retirement is approved by our 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Research, Development and Engineering (“RD&amp;E”)</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Research, development and engineering costs are expensed as incurred. Sustaining engineering costs are incurred with respect to on-going product improvements or environmental compliance after initial product launch. Our RD&amp;E expense for the three years ended December 31, 2009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2007</w:t>
            </w: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R&amp;D</w:t>
            </w:r>
          </w:p>
        </w:tc>
        <w:tc>
          <w:tcPr>
            <w:tcW w:w="2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713</w:t>
            </w:r>
          </w:p>
        </w:tc>
        <w:tc>
          <w:tcPr>
            <w:tcW w:w="460" w:type="dxa"/>
            <w:vAlign w:val="bottom"/>
            <w:gridSpan w:val="2"/>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764</w:t>
            </w:r>
          </w:p>
        </w:tc>
      </w:tr>
      <w:tr>
        <w:trPr>
          <w:trHeight w:val="210"/>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Sustaining engineering</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w:t>
            </w: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RD&amp;E Expense</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840</w:t>
            </w:r>
          </w:p>
        </w:tc>
        <w:tc>
          <w:tcPr>
            <w:tcW w:w="46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884</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912</w:t>
            </w: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Restructuring Charges</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Costs associated with exit or disposal activities, including lease termination costs and certain employee severance costs associated with restructuring, plant closing or other activity, are recognized when they are incurred. In those geographies where we have either a formal severance plan or a history of consistently providing severance benefits representing a substantive plan, we recognize severance costs when they are both probable and reasonably estimable. Refer to Note 9 – Restructuring and Asset Impairment Charges for further information.</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40</w:t>
      </w:r>
    </w:p>
    <w:p>
      <w:pPr>
        <w:sectPr>
          <w:pgSz w:w="11900" w:h="16838" w:orient="portrait"/>
          <w:cols w:equalWidth="0" w:num="1">
            <w:col w:w="11420"/>
          </w:cols>
          <w:pgMar w:left="240" w:top="269"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Pension and Post-Retirement Benefit Obligations</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sponsor pension plans in various forms in several countries covering substantially all employees who meet eligibility requirements. Post-retirement benefit plans cover U.S. and Canadian employees for retirement medical costs. We employ a delayed recognition feature in measuring the costs of pension and post-retirement benefit plans. This requires changes in the benefit obligations and changes in the value of assets set aside to meet those obligations to be recognized not as they occur, but systematically and gradually over subsequent periods. All changes are ultimately recognized as components of net periodic benefit cost, except to the extent they may be offset by subsequent changes. At any point, changes that have been identified and quantified but not recognized as components of net periodic benefit cost, are recognized in Accumulated other comprehensive loss, net of tax.</w:t>
      </w:r>
    </w:p>
    <w:p>
      <w:pPr>
        <w:spacing w:after="0" w:line="15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Several statistical and other factors that attempt to anticipate future events are used in calculating the expense, liability and asset values related to our pension and post-retirement benefit plans. These factors include assumptions we make about the discount rate, expected return on plan assets, rate of increase in healthcare costs, the rate of future compensation increases, and mortality among others. Actual returns on plan assets are not immediately recognized in our income statement, due to the delayed recognition requirement. In calculating the expected return on the plan asset component of our net periodic pension cost, we apply our estimate of the long-term rate of return to the plan assets that support our pension obligations, after deducting assets that are specifically allocated to Transitional Retirement Accounts (which are accounted for based on specific plan terms).</w:t>
      </w:r>
    </w:p>
    <w:p>
      <w:pPr>
        <w:spacing w:after="0" w:line="15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For purposes of determining the expected return on plan assets, we utilize a calculated value approach in determining the value of the pension plan assets, as opposed to a fair market value approach. The primary difference between the two methods relates to systematic recognition of changes in fair value over time (generally two years) versus immediate recognition of changes in fair value. Our expected rate of return on plan assets is then applied to the calculated asset value to determine the amount of the expected return on plan assets to be used in the determination of the net periodic pension cost. The calculated value approach reduces the volatility in net periodic pension cost that results from using the fair market value approach.</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discount rate is used to present value our future anticipated benefit obligations. In estimating our discount rate, we consider rates of return on high quality fixed-income investments included in various published bond indexes, adjusted to eliminate the effects of call provisions and differences in the timing and amounts of cash outflows related to the bonds, as well as the expected timing of pension and other benefit payments. In the U.S. and the U.K., which comprise approximately 80% of our projected benefit obligation, we consider the Moody’s Aa Corporate Bond Index and the International Index Company’s iBoxx Sterling Corporate AA Cash Bond Index, respectively, in the determination of the appropriate discount rate assumptions. Refer to Note 14 - Employee Benefit Plans for further information.</w:t>
      </w:r>
    </w:p>
    <w:p>
      <w:pPr>
        <w:spacing w:after="0" w:line="15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Each year, the difference between the actual return on plan assets and the expected return on plan assets, as well as increases or decreases in the benefit obligation as a result of changes in the discount rate are added to or subtracted from any cumulative actuarial gain or loss that arose in prior years. This resultant amount is the net actuarial gain or loss recognized in Accumulated other comprehensive loss and is subject to subsequent amortization to net periodic pension cost in future periods over the remaining service lives of the employees participating in the pension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Foreign Currency Translation and Re-measurement</w:t>
      </w:r>
    </w:p>
    <w:p>
      <w:pPr>
        <w:spacing w:after="0" w:line="18"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The functional currency for most foreign operations is the local currency. Net assets are translated at current rates of exchange and income, expense and cash flow items are translated at average exchange rates for the applicable period. The translation adjustments are recorded in Accumulated other comprehensive loss.</w:t>
      </w:r>
    </w:p>
    <w:p>
      <w:pPr>
        <w:spacing w:after="0" w:line="154"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The U.S. Dollar is used as the functional currency for certain subsidiaries that conduct their business in U.S. Dollars. A combination of current and historical exchange rates is used in re-measuring the local currency transactions of these subsidiaries and the resulting exchange adjustments are included in income.</w:t>
      </w:r>
    </w:p>
    <w:p>
      <w:pPr>
        <w:spacing w:after="0" w:line="15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Foreign currency losses were $26, $34 and $8 in 2009, 2008 and 2007, respectively, and are included in Other expenses, net in the accompanying Consolidated Statements of Income.</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41</w:t>
      </w:r>
    </w:p>
    <w:p>
      <w:pPr>
        <w:sectPr>
          <w:pgSz w:w="11900" w:h="16838" w:orient="portrait"/>
          <w:cols w:equalWidth="0" w:num="1">
            <w:col w:w="11420"/>
          </w:cols>
          <w:pgMar w:left="240" w:top="269" w:right="239" w:bottom="1440" w:gutter="0" w:footer="0" w:header="0"/>
        </w:sectPr>
      </w:pPr>
    </w:p>
    <w:bookmarkStart w:id="124" w:name="page125"/>
    <w:bookmarkEnd w:id="124"/>
    <w:p>
      <w:pPr>
        <w:ind w:right="10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have operations in Venezuela where the U.S. Dollar is the functional currency. At December 31, 2009 our Venezuelan operations had approximately 90 million in net Bolivar-denominated monetary assets that were re-measured to U.S. Dollars at the official exchange rate of 2.15 Bolivars to the Dollar. In January 2010, Venezuela announced a devaluation of the Bolivar to an official rate of 4.30 Bolivars to the Dollar for our products. As a result of this devaluation, we expect to record a loss of approximately $21 in the first quarter of 2010 for the re-measurement of our net Bolivar-denominated monetary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Accumulated Other Comprehensive Loss (“AOCL”)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AOCL is composed of the following for the three years ending December 31, 2009: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Cumulative translation adjustments</w:t>
            </w:r>
          </w:p>
        </w:tc>
        <w:tc>
          <w:tcPr>
            <w:tcW w:w="1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(800)</w:t>
            </w:r>
          </w:p>
        </w:tc>
        <w:tc>
          <w:tcPr>
            <w:tcW w:w="420" w:type="dxa"/>
            <w:vAlign w:val="bottom"/>
            <w:gridSpan w:val="2"/>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(1,395)</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6400" w:type="dxa"/>
            <w:vAlign w:val="bottom"/>
            <w:gridSpan w:val="4"/>
          </w:tcPr>
          <w:p>
            <w:pPr>
              <w:spacing w:after="0" w:line="203" w:lineRule="exact"/>
              <w:rPr>
                <w:sz w:val="20"/>
                <w:szCs w:val="20"/>
                <w:color w:val="auto"/>
              </w:rPr>
            </w:pPr>
            <w:r>
              <w:rPr>
                <w:rFonts w:ascii="Arial" w:cs="Arial" w:eastAsia="Arial" w:hAnsi="Arial"/>
                <w:sz w:val="18"/>
                <w:szCs w:val="18"/>
                <w:color w:val="auto"/>
              </w:rPr>
              <w:t>Benefit plans net actuarial losses and prior service credits</w:t>
            </w:r>
            <w:r>
              <w:rPr>
                <w:rFonts w:ascii="Arial" w:cs="Arial" w:eastAsia="Arial" w:hAnsi="Arial"/>
                <w:sz w:val="22"/>
                <w:szCs w:val="22"/>
                <w:color w:val="auto"/>
                <w:vertAlign w:val="superscript"/>
              </w:rPr>
              <w:t>(1)</w:t>
            </w: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(1,190)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(1,021)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unrealized (losses) gains, net</w:t>
            </w:r>
          </w:p>
        </w:tc>
        <w:tc>
          <w:tcPr>
            <w:tcW w:w="18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400" w:type="dxa"/>
            <w:vAlign w:val="bottom"/>
            <w:gridSpan w:val="4"/>
          </w:tcPr>
          <w:p>
            <w:pPr>
              <w:spacing w:after="0"/>
              <w:rPr>
                <w:sz w:val="20"/>
                <w:szCs w:val="20"/>
                <w:color w:val="auto"/>
              </w:rPr>
            </w:pPr>
            <w:r>
              <w:rPr>
                <w:rFonts w:ascii="Arial" w:cs="Arial" w:eastAsia="Arial" w:hAnsi="Arial"/>
                <w:sz w:val="18"/>
                <w:szCs w:val="18"/>
                <w:b w:val="1"/>
                <w:bCs w:val="1"/>
                <w:color w:val="auto"/>
              </w:rPr>
              <w:t>Total Accumulated Other Comprehensive Loss</w:t>
            </w:r>
          </w:p>
        </w:tc>
        <w:tc>
          <w:tcPr>
            <w:tcW w:w="18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(1,988)</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(2,416)</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(765)</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220" w:type="dxa"/>
            <w:vAlign w:val="bottom"/>
          </w:tcPr>
          <w:p>
            <w:pPr>
              <w:spacing w:after="0"/>
              <w:rPr>
                <w:sz w:val="20"/>
                <w:szCs w:val="20"/>
                <w:color w:val="auto"/>
              </w:rPr>
            </w:pPr>
            <w:r>
              <w:rPr>
                <w:rFonts w:ascii="Arial" w:cs="Arial" w:eastAsia="Arial" w:hAnsi="Arial"/>
                <w:sz w:val="11"/>
                <w:szCs w:val="11"/>
                <w:color w:val="auto"/>
              </w:rPr>
              <w:t>(1)</w:t>
            </w:r>
          </w:p>
        </w:tc>
        <w:tc>
          <w:tcPr>
            <w:tcW w:w="6160" w:type="dxa"/>
            <w:vAlign w:val="bottom"/>
            <w:gridSpan w:val="2"/>
            <w:vMerge w:val="restart"/>
          </w:tcPr>
          <w:p>
            <w:pPr>
              <w:ind w:left="100"/>
              <w:spacing w:after="0"/>
              <w:rPr>
                <w:sz w:val="20"/>
                <w:szCs w:val="20"/>
                <w:color w:val="auto"/>
              </w:rPr>
            </w:pPr>
            <w:r>
              <w:rPr>
                <w:rFonts w:ascii="Arial" w:cs="Arial" w:eastAsia="Arial" w:hAnsi="Arial"/>
                <w:sz w:val="14"/>
                <w:szCs w:val="14"/>
                <w:color w:val="auto"/>
              </w:rPr>
              <w:t>Includes our share of Fuji Xerox.</w:t>
            </w: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160" w:type="dxa"/>
            <w:vAlign w:val="bottom"/>
            <w:gridSpan w:val="2"/>
            <w:vMerge w:val="continue"/>
          </w:tcPr>
          <w:p>
            <w:pPr>
              <w:spacing w:after="0"/>
              <w:rPr>
                <w:sz w:val="4"/>
                <w:szCs w:val="4"/>
                <w:color w:val="auto"/>
              </w:rPr>
            </w:pPr>
          </w:p>
        </w:tc>
        <w:tc>
          <w:tcPr>
            <w:tcW w:w="1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Note 2 – Segment Reporting</w:t>
      </w:r>
    </w:p>
    <w:p>
      <w:pPr>
        <w:spacing w:after="0" w:line="126"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Our reportable segments are consistent with how we manage the business and view the markets we serve. Our reportable segments are Production, Office and Other. The Production and Office segments are centered on strategic product groups which share common technology, manufacturing and product platforms, as well as classes of customers.</w:t>
      </w:r>
    </w:p>
    <w:p>
      <w:pPr>
        <w:spacing w:after="0" w:line="15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Production segment includes black-and-white products which operate at speeds over 90 pages per minute (“ppm”) excluding 95 ppm with an embedded controller and color products which operate at speeds over 40 ppm excluding 50, 60 and 70 ppm products with an embedded controller. Products include the Xerox iGen3 and iGen4 digital color production press, Xerox Nuvera</w:t>
      </w:r>
      <w:r>
        <w:rPr>
          <w:rFonts w:ascii="Arial" w:cs="Arial" w:eastAsia="Arial" w:hAnsi="Arial"/>
          <w:sz w:val="22"/>
          <w:szCs w:val="22"/>
          <w:color w:val="auto"/>
          <w:vertAlign w:val="superscript"/>
        </w:rPr>
        <w:t>®</w:t>
      </w:r>
      <w:r>
        <w:rPr>
          <w:rFonts w:ascii="Arial" w:cs="Arial" w:eastAsia="Arial" w:hAnsi="Arial"/>
          <w:sz w:val="18"/>
          <w:szCs w:val="18"/>
          <w:color w:val="auto"/>
        </w:rPr>
        <w:t>, DocuTech</w:t>
      </w:r>
      <w:r>
        <w:rPr>
          <w:rFonts w:ascii="Arial" w:cs="Arial" w:eastAsia="Arial" w:hAnsi="Arial"/>
          <w:sz w:val="22"/>
          <w:szCs w:val="22"/>
          <w:color w:val="auto"/>
          <w:vertAlign w:val="superscript"/>
        </w:rPr>
        <w:t>®</w:t>
      </w:r>
      <w:r>
        <w:rPr>
          <w:rFonts w:ascii="Arial" w:cs="Arial" w:eastAsia="Arial" w:hAnsi="Arial"/>
          <w:sz w:val="18"/>
          <w:szCs w:val="18"/>
          <w:color w:val="auto"/>
        </w:rPr>
        <w:t>, DocuPrint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DocuColor families, as well as older technology light-lens products. These products are sold predominantly through direct sales channels to Fortune 1000, graphic arts, government, education and other public sector customers.</w:t>
      </w:r>
    </w:p>
    <w:p>
      <w:pPr>
        <w:spacing w:after="0" w:line="157"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The Office segment includes black-and-white products which operate at speeds up to 95 ppm and color devices up to 85 ppm. Products include our family of ColorQube™, WorkCentre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multifunction printers, Phaser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desktop printers and digital multifunction printers., DocuColor color multifunction products, color laser, solid ink color printers and multifunction devices, monochrome laser desktop printers, digital and light-lens copiers and facsimile products and non-Xerox branded products with similar specifications. These products are sold through direct and indirect sales channels to global, national and mid-size commercial customers, as well as government, education and other public sector customers.</w:t>
      </w:r>
    </w:p>
    <w:p>
      <w:pPr>
        <w:spacing w:after="0" w:line="156"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The segment classified as Other includes several units, none of which met the thresholds for separate segment reporting. This group primarily includes Xerox Supplies Business Group (predominantly paper sales), Value-Added Services, Wide Format Systems, Xerox Technology Enterprises, royalty and licensing revenues, GIS network integration solutions and electronic presentation systems, equity net income and non-allocated Corporate items. Other segment profit (loss) includes the operating results from these entities, other less significant businesses, our equity income from Fuji Xerox, and certain costs which have not been allocated to the Production and Office segments, including non-financing interest, as well as other items included in Other expenses, net.</w:t>
      </w:r>
    </w:p>
    <w:p>
      <w:pPr>
        <w:spacing w:after="0" w:line="14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42</w:t>
      </w:r>
    </w:p>
    <w:p>
      <w:pPr>
        <w:sectPr>
          <w:pgSz w:w="11900" w:h="16838" w:orient="portrait"/>
          <w:cols w:equalWidth="0" w:num="1">
            <w:col w:w="11420"/>
          </w:cols>
          <w:pgMar w:left="240" w:top="291" w:right="239" w:bottom="1440" w:gutter="0" w:footer="0" w:header="0"/>
        </w:sectPr>
      </w:pPr>
    </w:p>
    <w:bookmarkStart w:id="125" w:name="page126"/>
    <w:bookmarkEnd w:id="125"/>
    <w:p>
      <w:pPr>
        <w:ind w:right="2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financial information for our Operating segments for each of the years ended December 31, 2009, 2008 and 2007, respectively,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Production</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Office</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2009</w:t>
            </w:r>
            <w:r>
              <w:rPr>
                <w:rFonts w:ascii="Arial" w:cs="Arial" w:eastAsia="Arial" w:hAnsi="Arial"/>
                <w:sz w:val="22"/>
                <w:szCs w:val="22"/>
                <w:b w:val="1"/>
                <w:bCs w:val="1"/>
                <w:color w:val="auto"/>
                <w:vertAlign w:val="superscript"/>
              </w:rPr>
              <w:t>(1)</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4,287</w:t>
            </w:r>
          </w:p>
        </w:tc>
        <w:tc>
          <w:tcPr>
            <w:tcW w:w="400" w:type="dxa"/>
            <w:vAlign w:val="bottom"/>
            <w:gridSpan w:val="2"/>
          </w:tcPr>
          <w:p>
            <w:pPr>
              <w:jc w:val="right"/>
              <w:ind w:right="23"/>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8,135</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2,044</w:t>
            </w:r>
          </w:p>
        </w:tc>
        <w:tc>
          <w:tcPr>
            <w:tcW w:w="4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14,466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441</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0"/>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 Segment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4,545</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8,576</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2,058</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101</w:t>
            </w:r>
          </w:p>
        </w:tc>
        <w:tc>
          <w:tcPr>
            <w:tcW w:w="400" w:type="dxa"/>
            <w:vAlign w:val="bottom"/>
            <w:gridSpan w:val="2"/>
            <w:shd w:val="clear" w:color="auto" w:fill="CCEEFF"/>
          </w:tcPr>
          <w:p>
            <w:pPr>
              <w:jc w:val="right"/>
              <w:ind w:right="23"/>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165</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261</w:t>
            </w:r>
          </w:p>
        </w:tc>
        <w:tc>
          <w:tcPr>
            <w:tcW w:w="4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3"/>
        </w:trPr>
        <w:tc>
          <w:tcPr>
            <w:tcW w:w="680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Segment profit (loss) </w:t>
            </w:r>
            <w:r>
              <w:rPr>
                <w:rFonts w:ascii="Arial" w:cs="Arial" w:eastAsia="Arial" w:hAnsi="Arial"/>
                <w:sz w:val="22"/>
                <w:szCs w:val="22"/>
                <w:color w:val="auto"/>
                <w:vertAlign w:val="superscript"/>
              </w:rPr>
              <w:t>(2)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217</w:t>
            </w:r>
          </w:p>
        </w:tc>
        <w:tc>
          <w:tcPr>
            <w:tcW w:w="400" w:type="dxa"/>
            <w:vAlign w:val="bottom"/>
            <w:gridSpan w:val="2"/>
          </w:tcPr>
          <w:p>
            <w:pPr>
              <w:jc w:val="right"/>
              <w:ind w:right="23"/>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835</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4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net income of unconsolidated affiliates</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3"/>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41</w:t>
            </w:r>
          </w:p>
        </w:tc>
        <w:tc>
          <w:tcPr>
            <w:tcW w:w="4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9"/>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2008</w:t>
            </w:r>
            <w:r>
              <w:rPr>
                <w:rFonts w:ascii="Arial" w:cs="Arial" w:eastAsia="Arial" w:hAnsi="Arial"/>
                <w:sz w:val="22"/>
                <w:szCs w:val="22"/>
                <w:b w:val="1"/>
                <w:bCs w:val="1"/>
                <w:color w:val="auto"/>
                <w:vertAlign w:val="superscript"/>
              </w:rPr>
              <w:t>(1)</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4,937</w:t>
            </w:r>
          </w:p>
        </w:tc>
        <w:tc>
          <w:tcPr>
            <w:tcW w:w="400" w:type="dxa"/>
            <w:vAlign w:val="bottom"/>
            <w:gridSpan w:val="2"/>
            <w:shd w:val="clear" w:color="auto" w:fill="CCEEFF"/>
          </w:tcPr>
          <w:p>
            <w:pPr>
              <w:jc w:val="right"/>
              <w:ind w:right="23"/>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9,347</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2,526</w:t>
            </w:r>
          </w:p>
        </w:tc>
        <w:tc>
          <w:tcPr>
            <w:tcW w:w="4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16,810</w:t>
            </w:r>
          </w:p>
        </w:tc>
        <w:tc>
          <w:tcPr>
            <w:tcW w:w="0" w:type="dxa"/>
            <w:vAlign w:val="bottom"/>
          </w:tcPr>
          <w:p>
            <w:pPr>
              <w:spacing w:after="0"/>
              <w:rPr>
                <w:sz w:val="1"/>
                <w:szCs w:val="1"/>
                <w:color w:val="auto"/>
              </w:rPr>
            </w:pPr>
          </w:p>
        </w:tc>
      </w:tr>
      <w:tr>
        <w:trPr>
          <w:trHeight w:val="210"/>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Finance income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Segment Revenues</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5,237</w:t>
            </w:r>
          </w:p>
        </w:tc>
        <w:tc>
          <w:tcPr>
            <w:tcW w:w="400" w:type="dxa"/>
            <w:vAlign w:val="bottom"/>
            <w:gridSpan w:val="2"/>
            <w:shd w:val="clear" w:color="auto" w:fill="CCEEFF"/>
          </w:tcPr>
          <w:p>
            <w:pPr>
              <w:jc w:val="right"/>
              <w:ind w:right="23"/>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9,828</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b w:val="1"/>
                <w:bCs w:val="1"/>
                <w:color w:val="auto"/>
              </w:rPr>
              <w:t>2,543</w:t>
            </w:r>
          </w:p>
        </w:tc>
        <w:tc>
          <w:tcPr>
            <w:tcW w:w="4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17,608</w:t>
            </w:r>
          </w:p>
        </w:tc>
        <w:tc>
          <w:tcPr>
            <w:tcW w:w="0" w:type="dxa"/>
            <w:vAlign w:val="bottom"/>
          </w:tcPr>
          <w:p>
            <w:pPr>
              <w:spacing w:after="0"/>
              <w:rPr>
                <w:sz w:val="1"/>
                <w:szCs w:val="1"/>
                <w:color w:val="auto"/>
              </w:rPr>
            </w:pPr>
          </w:p>
        </w:tc>
      </w:tr>
      <w:tr>
        <w:trPr>
          <w:trHeight w:val="20"/>
        </w:trPr>
        <w:tc>
          <w:tcPr>
            <w:tcW w:w="68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8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4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181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269</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Segment profit (loss) </w:t>
            </w:r>
            <w:r>
              <w:rPr>
                <w:rFonts w:ascii="Arial" w:cs="Arial" w:eastAsia="Arial" w:hAnsi="Arial"/>
                <w:sz w:val="22"/>
                <w:szCs w:val="22"/>
                <w:color w:val="auto"/>
                <w:vertAlign w:val="superscript"/>
              </w:rPr>
              <w:t>(2)</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394</w:t>
            </w:r>
          </w:p>
        </w:tc>
        <w:tc>
          <w:tcPr>
            <w:tcW w:w="400" w:type="dxa"/>
            <w:vAlign w:val="bottom"/>
            <w:gridSpan w:val="2"/>
            <w:shd w:val="clear" w:color="auto" w:fill="CCEEFF"/>
          </w:tcPr>
          <w:p>
            <w:pPr>
              <w:jc w:val="right"/>
              <w:ind w:right="23"/>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1,062</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4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4"/>
        </w:trPr>
        <w:tc>
          <w:tcPr>
            <w:tcW w:w="6800" w:type="dxa"/>
            <w:vAlign w:val="bottom"/>
            <w:gridSpan w:val="2"/>
          </w:tcPr>
          <w:p>
            <w:pPr>
              <w:spacing w:after="0"/>
              <w:rPr>
                <w:sz w:val="20"/>
                <w:szCs w:val="20"/>
                <w:color w:val="auto"/>
              </w:rPr>
            </w:pPr>
            <w:r>
              <w:rPr>
                <w:rFonts w:ascii="Arial" w:cs="Arial" w:eastAsia="Arial" w:hAnsi="Arial"/>
                <w:sz w:val="18"/>
                <w:szCs w:val="18"/>
                <w:color w:val="auto"/>
              </w:rPr>
              <w:t>Equity in net income of unconsolidated affiliates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113</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2007</w:t>
            </w:r>
            <w:r>
              <w:rPr>
                <w:rFonts w:ascii="Arial" w:cs="Arial" w:eastAsia="Arial" w:hAnsi="Arial"/>
                <w:sz w:val="22"/>
                <w:szCs w:val="22"/>
                <w:b w:val="1"/>
                <w:bCs w:val="1"/>
                <w:color w:val="auto"/>
                <w:vertAlign w:val="superscript"/>
              </w:rPr>
              <w:t>(1)</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5,001</w:t>
            </w:r>
          </w:p>
        </w:tc>
        <w:tc>
          <w:tcPr>
            <w:tcW w:w="400" w:type="dxa"/>
            <w:vAlign w:val="bottom"/>
            <w:gridSpan w:val="2"/>
          </w:tcPr>
          <w:p>
            <w:pPr>
              <w:jc w:val="right"/>
              <w:ind w:right="23"/>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8,980</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2,425</w:t>
            </w:r>
          </w:p>
        </w:tc>
        <w:tc>
          <w:tcPr>
            <w:tcW w:w="4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493</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0"/>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 Segment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5,315</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9,473</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2,440</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123</w:t>
            </w:r>
          </w:p>
        </w:tc>
        <w:tc>
          <w:tcPr>
            <w:tcW w:w="400" w:type="dxa"/>
            <w:vAlign w:val="bottom"/>
            <w:gridSpan w:val="2"/>
            <w:shd w:val="clear" w:color="auto" w:fill="CCEEFF"/>
          </w:tcPr>
          <w:p>
            <w:pPr>
              <w:jc w:val="right"/>
              <w:ind w:right="23"/>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186</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270</w:t>
            </w:r>
          </w:p>
        </w:tc>
        <w:tc>
          <w:tcPr>
            <w:tcW w:w="4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3"/>
        </w:trPr>
        <w:tc>
          <w:tcPr>
            <w:tcW w:w="680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Segment profit (loss) </w:t>
            </w:r>
            <w:r>
              <w:rPr>
                <w:rFonts w:ascii="Arial" w:cs="Arial" w:eastAsia="Arial" w:hAnsi="Arial"/>
                <w:sz w:val="22"/>
                <w:szCs w:val="22"/>
                <w:color w:val="auto"/>
                <w:vertAlign w:val="superscript"/>
              </w:rPr>
              <w:t>(2)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562</w:t>
            </w:r>
          </w:p>
        </w:tc>
        <w:tc>
          <w:tcPr>
            <w:tcW w:w="400" w:type="dxa"/>
            <w:vAlign w:val="bottom"/>
            <w:gridSpan w:val="2"/>
          </w:tcPr>
          <w:p>
            <w:pPr>
              <w:jc w:val="right"/>
              <w:ind w:right="23"/>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1,115</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4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net income of unconsolidated affiliates</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3"/>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97</w:t>
            </w:r>
          </w:p>
        </w:tc>
        <w:tc>
          <w:tcPr>
            <w:tcW w:w="4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22"/>
          <w:szCs w:val="22"/>
          <w:color w:val="auto"/>
          <w:vertAlign w:val="superscript"/>
        </w:rPr>
      </w:pPr>
      <w:r>
        <w:rPr>
          <w:rFonts w:ascii="Arial" w:cs="Arial" w:eastAsia="Arial" w:hAnsi="Arial"/>
          <w:sz w:val="14"/>
          <w:szCs w:val="14"/>
          <w:color w:val="auto"/>
        </w:rPr>
        <w:t>Asset information on a segment basis is not disclosed as this information is not separately identified and internally reported to our chief executive officer.</w:t>
      </w:r>
    </w:p>
    <w:p>
      <w:pPr>
        <w:jc w:val="both"/>
        <w:ind w:left="460" w:right="280" w:hanging="452"/>
        <w:spacing w:after="0" w:line="191" w:lineRule="auto"/>
        <w:tabs>
          <w:tab w:leader="none" w:pos="460" w:val="left"/>
        </w:tabs>
        <w:numPr>
          <w:ilvl w:val="0"/>
          <w:numId w:val="101"/>
        </w:numPr>
        <w:rPr>
          <w:rFonts w:ascii="Arial" w:cs="Arial" w:eastAsia="Arial" w:hAnsi="Arial"/>
          <w:sz w:val="22"/>
          <w:szCs w:val="22"/>
          <w:color w:val="auto"/>
          <w:vertAlign w:val="superscript"/>
        </w:rPr>
      </w:pPr>
      <w:r>
        <w:rPr>
          <w:rFonts w:ascii="Arial" w:cs="Arial" w:eastAsia="Arial" w:hAnsi="Arial"/>
          <w:sz w:val="14"/>
          <w:szCs w:val="14"/>
          <w:color w:val="auto"/>
        </w:rPr>
        <w:t>Depreciation and amortization expense, which is recorded in cost of sales, RD&amp;E and SAG are included in segment profit above. This information is neither identified nor internally reported to our chief executive officer. The separate identification of this information for purposes of segment disclosure is impracticable, as it is not readily available and the cost to develop it would be excessive.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8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segment profit to pre-tax income (loss):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r>
      <w:tr>
        <w:trPr>
          <w:trHeight w:val="142"/>
        </w:trPr>
        <w:tc>
          <w:tcPr>
            <w:tcW w:w="79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Segment profit</w:t>
            </w:r>
          </w:p>
        </w:tc>
        <w:tc>
          <w:tcPr>
            <w:tcW w:w="3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778</w:t>
            </w:r>
          </w:p>
        </w:tc>
        <w:tc>
          <w:tcPr>
            <w:tcW w:w="620" w:type="dxa"/>
            <w:vAlign w:val="bottom"/>
            <w:gridSpan w:val="3"/>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94"/>
              <w:spacing w:after="0" w:line="196" w:lineRule="exact"/>
              <w:rPr>
                <w:sz w:val="20"/>
                <w:szCs w:val="20"/>
                <w:color w:val="auto"/>
              </w:rPr>
            </w:pPr>
            <w:r>
              <w:rPr>
                <w:rFonts w:ascii="Arial" w:cs="Arial" w:eastAsia="Arial" w:hAnsi="Arial"/>
                <w:sz w:val="18"/>
                <w:szCs w:val="18"/>
                <w:b w:val="1"/>
                <w:bCs w:val="1"/>
                <w:color w:val="auto"/>
              </w:rPr>
              <w:t>1,291</w:t>
            </w:r>
          </w:p>
        </w:tc>
        <w:tc>
          <w:tcPr>
            <w:tcW w:w="42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54"/>
              <w:spacing w:after="0" w:line="196" w:lineRule="exact"/>
              <w:rPr>
                <w:sz w:val="20"/>
                <w:szCs w:val="20"/>
                <w:color w:val="auto"/>
              </w:rPr>
            </w:pPr>
            <w:r>
              <w:rPr>
                <w:rFonts w:ascii="Arial" w:cs="Arial" w:eastAsia="Arial" w:hAnsi="Arial"/>
                <w:sz w:val="18"/>
                <w:szCs w:val="18"/>
                <w:b w:val="1"/>
                <w:bCs w:val="1"/>
                <w:color w:val="auto"/>
              </w:rPr>
              <w:t>1,588</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Reconciling items: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asset impairment charges</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6</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Restructuring charges of Fuji Xerox</w:t>
            </w:r>
          </w:p>
        </w:tc>
        <w:tc>
          <w:tcPr>
            <w:tcW w:w="3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ind w:left="300"/>
              <w:spacing w:after="0" w:line="202" w:lineRule="exact"/>
              <w:rPr>
                <w:sz w:val="20"/>
                <w:szCs w:val="20"/>
                <w:color w:val="auto"/>
              </w:rPr>
            </w:pPr>
            <w:r>
              <w:rPr>
                <w:rFonts w:ascii="Arial" w:cs="Arial" w:eastAsia="Arial" w:hAnsi="Arial"/>
                <w:sz w:val="18"/>
                <w:szCs w:val="18"/>
                <w:color w:val="auto"/>
              </w:rPr>
              <w:t>(30)</w:t>
            </w:r>
          </w:p>
        </w:tc>
      </w:tr>
      <w:tr>
        <w:trPr>
          <w:trHeight w:val="203"/>
        </w:trPr>
        <w:tc>
          <w:tcPr>
            <w:tcW w:w="7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Litigation matters </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(774)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Equipment write-off</w:t>
            </w:r>
          </w:p>
        </w:tc>
        <w:tc>
          <w:tcPr>
            <w:tcW w:w="300" w:type="dxa"/>
            <w:vAlign w:val="bottom"/>
          </w:tcPr>
          <w:p>
            <w:pPr>
              <w:spacing w:after="0"/>
              <w:rPr>
                <w:sz w:val="17"/>
                <w:szCs w:val="17"/>
                <w:color w:val="auto"/>
              </w:rPr>
            </w:pPr>
          </w:p>
        </w:tc>
        <w:tc>
          <w:tcPr>
            <w:tcW w:w="54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(39)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ACS acquisition-related costs</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Equity in net income of unconsolidated affiliates</w:t>
            </w:r>
          </w:p>
        </w:tc>
        <w:tc>
          <w:tcPr>
            <w:tcW w:w="3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(113)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ind w:left="300"/>
              <w:spacing w:after="0" w:line="202" w:lineRule="exact"/>
              <w:rPr>
                <w:sz w:val="20"/>
                <w:szCs w:val="20"/>
                <w:color w:val="auto"/>
              </w:rPr>
            </w:pPr>
            <w:r>
              <w:rPr>
                <w:rFonts w:ascii="Arial" w:cs="Arial" w:eastAsia="Arial" w:hAnsi="Arial"/>
                <w:sz w:val="18"/>
                <w:szCs w:val="18"/>
                <w:color w:val="auto"/>
              </w:rPr>
              <w:t>(97)</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1</w:t>
            </w: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color w:val="auto"/>
              </w:rPr>
              <w:t>Pre-tax Income (Loss)</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627</w:t>
            </w: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(79)</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1,468</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188" w:lineRule="auto"/>
        <w:tabs>
          <w:tab w:leader="none" w:pos="460" w:val="left"/>
        </w:tabs>
        <w:numPr>
          <w:ilvl w:val="0"/>
          <w:numId w:val="102"/>
        </w:numPr>
        <w:rPr>
          <w:rFonts w:ascii="Arial" w:cs="Arial" w:eastAsia="Arial" w:hAnsi="Arial"/>
          <w:sz w:val="22"/>
          <w:szCs w:val="22"/>
          <w:color w:val="auto"/>
          <w:vertAlign w:val="superscript"/>
        </w:rPr>
      </w:pPr>
      <w:r>
        <w:rPr>
          <w:rFonts w:ascii="Arial" w:cs="Arial" w:eastAsia="Arial" w:hAnsi="Arial"/>
          <w:sz w:val="14"/>
          <w:szCs w:val="14"/>
          <w:color w:val="auto"/>
        </w:rPr>
        <w:t xml:space="preserve">The 2008 provision for litigation represents $670 for the </w:t>
      </w:r>
      <w:r>
        <w:rPr>
          <w:rFonts w:ascii="Arial" w:cs="Arial" w:eastAsia="Arial" w:hAnsi="Arial"/>
          <w:sz w:val="14"/>
          <w:szCs w:val="14"/>
          <w:i w:val="1"/>
          <w:iCs w:val="1"/>
          <w:color w:val="auto"/>
        </w:rPr>
        <w:t>Carlson v. Xerox Corporation</w:t>
      </w:r>
      <w:r>
        <w:rPr>
          <w:rFonts w:ascii="Arial" w:cs="Arial" w:eastAsia="Arial" w:hAnsi="Arial"/>
          <w:sz w:val="14"/>
          <w:szCs w:val="14"/>
          <w:color w:val="auto"/>
        </w:rPr>
        <w:t xml:space="preserve"> court approved settlement, as well as provisions for other litigation matters including $36 for the probable loss related to the Brazil labor related contingencies. Refer to Note 16 – Contingencies for further discussion.</w:t>
      </w:r>
    </w:p>
    <w:p>
      <w:pPr>
        <w:spacing w:after="0" w:line="139"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43</w:t>
      </w:r>
    </w:p>
    <w:p>
      <w:pPr>
        <w:sectPr>
          <w:pgSz w:w="11900" w:h="16838" w:orient="portrait"/>
          <w:cols w:equalWidth="0" w:num="1">
            <w:col w:w="11420"/>
          </w:cols>
          <w:pgMar w:left="240" w:top="291"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Geographic area data is based upon the location of the subsidiary reporting the revenue or long-lived assets and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 xml:space="preserve">Long-Lived Assets </w:t>
            </w:r>
            <w:r>
              <w:rPr>
                <w:rFonts w:ascii="Arial" w:cs="Arial" w:eastAsia="Arial" w:hAnsi="Arial"/>
                <w:sz w:val="22"/>
                <w:szCs w:val="22"/>
                <w:b w:val="1"/>
                <w:bCs w:val="1"/>
                <w:color w:val="auto"/>
                <w:w w:val="93"/>
                <w:vertAlign w:val="superscript"/>
              </w:rPr>
              <w:t>(1)</w:t>
            </w: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r>
      <w:tr>
        <w:trPr>
          <w:trHeight w:val="142"/>
        </w:trPr>
        <w:tc>
          <w:tcPr>
            <w:tcW w:w="5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2007</w:t>
            </w: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8,156</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9,122</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9,078</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1,245</w:t>
            </w:r>
          </w:p>
        </w:tc>
        <w:tc>
          <w:tcPr>
            <w:tcW w:w="5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1,375</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7"/>
                <w:szCs w:val="17"/>
                <w:color w:val="auto"/>
              </w:rPr>
            </w:pPr>
          </w:p>
        </w:tc>
        <w:tc>
          <w:tcPr>
            <w:tcW w:w="7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4,971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6,011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5,888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680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746</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Areas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2,052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2,475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2,262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341</w:t>
            </w:r>
          </w:p>
        </w:tc>
      </w:tr>
      <w:tr>
        <w:trPr>
          <w:trHeight w:val="210"/>
        </w:trPr>
        <w:tc>
          <w:tcPr>
            <w:tcW w:w="5160" w:type="dxa"/>
            <w:vAlign w:val="bottom"/>
          </w:tcPr>
          <w:p>
            <w:pPr>
              <w:spacing w:after="0"/>
              <w:rPr>
                <w:sz w:val="20"/>
                <w:szCs w:val="20"/>
                <w:color w:val="auto"/>
              </w:rPr>
            </w:pPr>
            <w:r>
              <w:rPr>
                <w:rFonts w:ascii="Arial" w:cs="Arial" w:eastAsia="Arial" w:hAnsi="Arial"/>
                <w:sz w:val="18"/>
                <w:szCs w:val="18"/>
                <w:b w:val="1"/>
                <w:bCs w:val="1"/>
                <w:color w:val="auto"/>
              </w:rPr>
              <w:t>Total Revenues and Long-Lived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15,179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17,608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17,228</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2,222</w:t>
            </w:r>
          </w:p>
        </w:tc>
        <w:tc>
          <w:tcPr>
            <w:tcW w:w="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2,314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2,462</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21"/>
          <w:szCs w:val="21"/>
          <w:color w:val="auto"/>
          <w:vertAlign w:val="superscript"/>
        </w:rPr>
      </w:pPr>
      <w:r>
        <w:rPr>
          <w:rFonts w:ascii="Arial" w:cs="Arial" w:eastAsia="Arial" w:hAnsi="Arial"/>
          <w:sz w:val="13"/>
          <w:szCs w:val="13"/>
          <w:color w:val="auto"/>
        </w:rPr>
        <w:t>Long-lived assets are comprised of (i) land, buildings and equipment, net, (ii) equipment on operating leases, net, (iii) internal use software, net and (iv) capitalized software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Note 3 – 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Affiliated Computer Services, Inc.</w:t>
      </w:r>
    </w:p>
    <w:p>
      <w:pPr>
        <w:spacing w:after="0" w:line="18"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In September 2009, we entered into a definitive agreement to acquire Affiliated Computer Services, Inc. (“ACS”) in a cash and stock transaction. The acquisition closed on February 5, 2010, at which time 100% of the outstanding shares of ACS common stock were converted into a combination of 4.935 shares of Xerox common stock and $18.60 in cash for a combined value of $60.40 per share, or approximately $6.0 billion based on the closing price of Xerox common stock of $8.47 on date of closing. Approximately 489,800 thousand shares of common stock were issued to holders of ACS Class A and Class B common stock.</w:t>
      </w:r>
    </w:p>
    <w:p>
      <w:pPr>
        <w:spacing w:after="0" w:line="15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Xerox assumed all outstanding ACS stock options at closing. Each assumed ACS option became exercisable for 7.085289 Xerox common shares for a total of approximately 96,700 thousand shares at a weighted average exercise price of $6.79 per option. The estimated fair value associated with the Xerox options issued in exchange for the ACS options was approximately $222 based on a Black-Scholes valuation model. Approximately $168 of the estimated fair value is expected to be recorded as part of the acquisition fair value and $54 will be expensed over the remaining vesting period which is estimated to be approximately 3.9 years.</w:t>
      </w:r>
    </w:p>
    <w:p>
      <w:pPr>
        <w:spacing w:after="0" w:line="15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part of the closing, we repaid $1.7 billion of ACS’s debt and assumed an additional $0.6 billion. We also issued convertible preferred stock with a liquidation value of $300 to ACS’s Class B shareholder (see Note 17 – Shareholders’ Equity for further information). The cash portion of the acquisition, as well as the repayment of ACS’s debt, was funded through a combination of cash-on-hand, borrowing under our existing Credit Facility and the issuance of senior notes in the capital markets. (Refer to Note 11 – Debt for further information).</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ACS provides business process outsourcing (“BPO”) and information technology (“IT”) services and solutions to commercial and government clients worldwide. ACS delivers a full range of BPO and IT services, as well as end-to-end solutions to the public and private sectors and supports a variety of industries including education, energy, financial, government, healthcare, retail and transportation. ACS’s revenues for the calendar year ended December 31, 2009 were $6.6 billion and they employed 78,000 people and operated in over 100 countries.</w:t>
      </w:r>
    </w:p>
    <w:p>
      <w:pPr>
        <w:spacing w:after="0" w:line="15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All information regarding the fair values of the assets acquired and liabilities assumed, including assets and liabilities arising from contingencies, is not yet available. However, the purchase price is expected to be primarily allocated to intangible assets and goodwill based on third-party valuations and management’s estimates which have not yet been finalized.</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44</w:t>
      </w:r>
    </w:p>
    <w:p>
      <w:pPr>
        <w:sectPr>
          <w:pgSz w:w="11900" w:h="16838" w:orient="portrait"/>
          <w:cols w:equalWidth="0" w:num="1">
            <w:col w:w="11420"/>
          </w:cols>
          <w:pgMar w:left="240" w:top="291" w:right="239" w:bottom="1440" w:gutter="0" w:footer="0" w:header="0"/>
        </w:sectPr>
      </w:pPr>
    </w:p>
    <w:bookmarkStart w:id="127" w:name="page128"/>
    <w:bookmarkEnd w:id="127"/>
    <w:p>
      <w:pPr>
        <w:ind w:right="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unaudited pro forma results presented below include the effects of the ACS acquisition as if it had been consummated as of January 1, 2008. The pro-forma results include the amortization associated with a preliminary estimate for the acquired intangible assets and interest expense associated with debt used to fund the acquisition. However, pro forma results do not include any anticipated synergies or other expected benefits of the acquisition. Accordingly, the unaudited pro forma financial information below is not necessarily indicative of either future results of operations or results that might have been achieved had the acquisition been consummated as of January 1,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Year Ended December 31,</w:t>
            </w:r>
          </w:p>
        </w:tc>
      </w:tr>
      <w:tr>
        <w:trPr>
          <w:trHeight w:val="165"/>
        </w:trPr>
        <w:tc>
          <w:tcPr>
            <w:tcW w:w="4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2008</w:t>
            </w: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94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  21,802</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23,941</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Net income attributable to Xerox</w:t>
            </w:r>
          </w:p>
        </w:tc>
        <w:tc>
          <w:tcPr>
            <w:tcW w:w="2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700</w:t>
            </w:r>
          </w:p>
        </w:tc>
        <w:tc>
          <w:tcPr>
            <w:tcW w:w="2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359</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per share</w:t>
            </w:r>
          </w:p>
        </w:tc>
        <w:tc>
          <w:tcPr>
            <w:tcW w:w="29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0.50</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0.24</w:t>
            </w:r>
          </w:p>
        </w:tc>
      </w:tr>
      <w:tr>
        <w:trPr>
          <w:trHeight w:val="214"/>
        </w:trPr>
        <w:tc>
          <w:tcPr>
            <w:tcW w:w="44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940" w:type="dxa"/>
            <w:vAlign w:val="bottom"/>
            <w:gridSpan w:val="3"/>
          </w:tcPr>
          <w:p>
            <w:pPr>
              <w:jc w:val="right"/>
              <w:ind w:right="220"/>
              <w:spacing w:after="0"/>
              <w:rPr>
                <w:sz w:val="20"/>
                <w:szCs w:val="20"/>
                <w:color w:val="auto"/>
              </w:rPr>
            </w:pPr>
            <w:r>
              <w:rPr>
                <w:rFonts w:ascii="Arial" w:cs="Arial" w:eastAsia="Arial" w:hAnsi="Arial"/>
                <w:sz w:val="18"/>
                <w:szCs w:val="18"/>
                <w:color w:val="auto"/>
              </w:rPr>
              <w:t>0.49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0.24</w:t>
            </w:r>
          </w:p>
        </w:tc>
      </w:tr>
    </w:tbl>
    <w:p>
      <w:pPr>
        <w:spacing w:after="0" w:line="15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are still evaluating and assessing the impact of the ACS acquisition on our internal organizational and reporting structure as well as its related impact on our reportable segment disclosures. Accordingly, in the first quarter 2010, we currently expect to report ACS as a separate reportable segment, pending completion of that evaluation and assessment.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Veenman B.V.</w:t>
      </w:r>
    </w:p>
    <w:p>
      <w:pPr>
        <w:spacing w:after="0" w:line="1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2008, we acquired Veenman B.V. (“Veenman”), expanding our reach into the small and mid-sized business market in Europe, for approximately $69 (€ 44 million) in cash, including transaction costs. Veenman is the Netherlands’ leading independent distributor of office printers, copiers and multifunction devices serving small and mid-size businesses. The operating results of Veenman are not material to our financial statements, and are included within our Office segment from the date of acquisition. The purchase price was primarily allocated to intangible assets and goodwill based on third-party valuations and management’s estimates.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Global Imaging Systems, Inc.</w:t>
      </w:r>
    </w:p>
    <w:p>
      <w:pPr>
        <w:spacing w:after="0" w:line="1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2007, we acquired GIS, a provider of office technology for small and mid-size businesses in the United States. The acquisition of GIS expanded our access to the U.S. small and mid-size business market. The aggregate purchase price was approximately $1.5 billion. In addition, in connection with the closing, we also repaid $200 of GIS’s then outstanding bank debt. The results of operations for GIS are included in our Consolidated Statements of Income as of May 9, 2007.</w:t>
      </w:r>
    </w:p>
    <w:p>
      <w:pPr>
        <w:spacing w:after="0" w:line="15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total cost of the acquisition was allocated to the assets acquired and the liabilities assumed based on their respective estimated fair values. Goodwill of $1,335 and intangible assets of $363 were recorded in connection with the acquisition based on third-party valuations and management’s estimates for those acquired intangible assets. The majority of the goodwill is not deductible for tax purposes and the primary elements that generated goodwill are the value of the acquired assembled workforce, specialized processes and procedures and operating synergies, none of which qualify as a separate intangible asset. Intangible assets included customer relationships of $189 with a 12-year weighted average useful life and trade names of $174 with a 20-year weighted average useful life.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unaudited pro forma results presented below include the effects of the GIS acquisition as if it had been consummated as of January 1, 2007.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54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Year Ended</w:t>
            </w:r>
          </w:p>
        </w:tc>
      </w:tr>
      <w:tr>
        <w:trPr>
          <w:trHeight w:val="165"/>
        </w:trPr>
        <w:tc>
          <w:tcPr>
            <w:tcW w:w="5320" w:type="dxa"/>
            <w:vAlign w:val="bottom"/>
          </w:tcPr>
          <w:p>
            <w:pPr>
              <w:spacing w:after="0"/>
              <w:rPr>
                <w:sz w:val="14"/>
                <w:szCs w:val="14"/>
                <w:color w:val="auto"/>
              </w:rPr>
            </w:pPr>
          </w:p>
        </w:tc>
        <w:tc>
          <w:tcPr>
            <w:tcW w:w="15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December 31, 2007</w:t>
            </w: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ind w:right="206"/>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17,619</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Net income attributable to Xerox</w:t>
            </w:r>
          </w:p>
        </w:tc>
        <w:tc>
          <w:tcPr>
            <w:tcW w:w="7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1,139</w:t>
            </w: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per share</w:t>
            </w: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r>
      <w:tr>
        <w:trPr>
          <w:trHeight w:val="214"/>
        </w:trPr>
        <w:tc>
          <w:tcPr>
            <w:tcW w:w="5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1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45</w:t>
      </w:r>
    </w:p>
    <w:p>
      <w:pPr>
        <w:sectPr>
          <w:pgSz w:w="11900" w:h="16838" w:orient="portrait"/>
          <w:cols w:equalWidth="0" w:num="1">
            <w:col w:w="11420"/>
          </w:cols>
          <w:pgMar w:left="240" w:top="291"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GIS Acquisitions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February 2009, GIS acquired ComDoc, Inc. (“ComDoc”) for approximately $145 in cash. ComDoc is one of the larger independent office technology dealers in the U.S. and expands GIS’s coverage in Ohio, Pennsylvania, New York and West Virginia. GIS also acquired another business in 2009 for $18 in cash. In 2008, GIS acquired Saxon Business Systems, an office equipment supplier in Florida, for approximately $69 in cash, including transaction costs. GIS acquired three other similar businesses in 2008 for a total of $17 in cash. In 2007, GIS acquired four businesses that provide office-imaging solutions and related services for $39 in cash.</w:t>
      </w:r>
    </w:p>
    <w:p>
      <w:pPr>
        <w:spacing w:after="0" w:line="15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These acquisitions continue the development of GIS’s national network of office technology suppliers to serve its expanding base of small and mid-size businesses. The operating results of these acquired entities are not material to our financial statements and are included within our Office segment from the dates of acquisition. The purchase prices were primarily allocated to intangible assets and goodwill based on third-party valuations and management’s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Advectis, Inc.</w:t>
      </w:r>
    </w:p>
    <w:p>
      <w:pPr>
        <w:spacing w:after="0" w:line="18"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In 2007, we acquired Advectis, Inc. (“Advectis”), a privately-owned provider of a web-based solution to electronically manage the process needed to underwrite, audit, collaborate, deliver and archive mortgage loan documents, for $30 in cash. The operating results of Advectis are not material to our financial statements, and are included within our Other segment from the date of acquisition. The purchase price was primarily allocated to intangible assets and goodwill based on management’s estimates.</w:t>
      </w:r>
    </w:p>
    <w:p>
      <w:pPr>
        <w:spacing w:after="0" w:line="118"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Note 4 – Receivables, Net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Finance Receivables</w:t>
      </w:r>
    </w:p>
    <w:p>
      <w:pPr>
        <w:spacing w:after="0" w:line="18"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Finance receivables result from installment arrangements and sales-type leases arising from the marketing of our equipment. These receivables are typically collateralized by a security interest in the underlying assets. Finance receivables, net at December 31, 2009 and 2008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2008</w:t>
            </w: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receivables</w:t>
            </w:r>
          </w:p>
        </w:tc>
        <w:tc>
          <w:tcPr>
            <w:tcW w:w="280" w:type="dxa"/>
            <w:vAlign w:val="bottom"/>
            <w:gridSpan w:val="2"/>
            <w:shd w:val="clear" w:color="auto" w:fill="CCEEFF"/>
          </w:tcPr>
          <w:p>
            <w:pPr>
              <w:jc w:val="right"/>
              <w:ind w:right="103"/>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rPr>
              <w:t>8,427</w:t>
            </w:r>
          </w:p>
        </w:tc>
        <w:tc>
          <w:tcPr>
            <w:tcW w:w="1000" w:type="dxa"/>
            <w:vAlign w:val="bottom"/>
            <w:gridSpan w:val="2"/>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rPr>
              <w:t>8,718</w:t>
            </w:r>
          </w:p>
        </w:tc>
      </w:tr>
      <w:tr>
        <w:trPr>
          <w:trHeight w:val="203"/>
        </w:trPr>
        <w:tc>
          <w:tcPr>
            <w:tcW w:w="8300" w:type="dxa"/>
            <w:vAlign w:val="bottom"/>
            <w:gridSpan w:val="2"/>
          </w:tcPr>
          <w:p>
            <w:pPr>
              <w:spacing w:after="0" w:line="202" w:lineRule="exact"/>
              <w:rPr>
                <w:sz w:val="20"/>
                <w:szCs w:val="20"/>
                <w:color w:val="auto"/>
              </w:rPr>
            </w:pPr>
            <w:r>
              <w:rPr>
                <w:rFonts w:ascii="Arial" w:cs="Arial" w:eastAsia="Arial" w:hAnsi="Arial"/>
                <w:sz w:val="18"/>
                <w:szCs w:val="18"/>
                <w:color w:val="auto"/>
              </w:rPr>
              <w:t>Unearned income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(1,197)</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(1,273)</w:t>
            </w: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Residual values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19</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31</w:t>
            </w:r>
          </w:p>
        </w:tc>
      </w:tr>
      <w:tr>
        <w:trPr>
          <w:trHeight w:val="210"/>
        </w:trPr>
        <w:tc>
          <w:tcPr>
            <w:tcW w:w="8300" w:type="dxa"/>
            <w:vAlign w:val="bottom"/>
            <w:gridSpan w:val="2"/>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color w:val="auto"/>
              </w:rPr>
              <w:t>(222)</w:t>
            </w:r>
          </w:p>
        </w:tc>
        <w:tc>
          <w:tcPr>
            <w:tcW w:w="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color w:val="auto"/>
              </w:rPr>
              <w:t>(198)</w:t>
            </w: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receivables, net</w:t>
            </w:r>
          </w:p>
        </w:tc>
        <w:tc>
          <w:tcPr>
            <w:tcW w:w="280" w:type="dxa"/>
            <w:vAlign w:val="bottom"/>
            <w:gridSpan w:val="2"/>
            <w:shd w:val="clear" w:color="auto" w:fill="CCEEFF"/>
          </w:tcPr>
          <w:p>
            <w:pPr>
              <w:jc w:val="right"/>
              <w:ind w:right="103"/>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b w:val="1"/>
                <w:bCs w:val="1"/>
                <w:color w:val="auto"/>
              </w:rPr>
              <w:t>7,027</w:t>
            </w:r>
          </w:p>
        </w:tc>
        <w:tc>
          <w:tcPr>
            <w:tcW w:w="100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b w:val="1"/>
                <w:bCs w:val="1"/>
                <w:color w:val="auto"/>
              </w:rPr>
              <w:t>7,278</w:t>
            </w:r>
          </w:p>
        </w:tc>
      </w:tr>
      <w:tr>
        <w:trPr>
          <w:trHeight w:val="203"/>
        </w:trPr>
        <w:tc>
          <w:tcPr>
            <w:tcW w:w="8300" w:type="dxa"/>
            <w:vAlign w:val="bottom"/>
            <w:gridSpan w:val="2"/>
          </w:tcPr>
          <w:p>
            <w:pPr>
              <w:spacing w:after="0" w:line="202" w:lineRule="exact"/>
              <w:rPr>
                <w:sz w:val="20"/>
                <w:szCs w:val="20"/>
                <w:color w:val="auto"/>
              </w:rPr>
            </w:pPr>
            <w:r>
              <w:rPr>
                <w:rFonts w:ascii="Arial" w:cs="Arial" w:eastAsia="Arial" w:hAnsi="Arial"/>
                <w:sz w:val="18"/>
                <w:szCs w:val="18"/>
                <w:color w:val="auto"/>
              </w:rPr>
              <w:t>Less: Billed portion of finance receivables, net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(226)</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(254)</w:t>
            </w: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 of finance receivables not billed, net</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(2,396)</w:t>
            </w:r>
          </w:p>
        </w:tc>
        <w:tc>
          <w:tcPr>
            <w:tcW w:w="7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(2,461)</w:t>
            </w:r>
          </w:p>
        </w:tc>
      </w:tr>
      <w:tr>
        <w:trPr>
          <w:trHeight w:val="210"/>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Finance Receivables Due After One Year, net</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4,405</w:t>
            </w:r>
          </w:p>
        </w:tc>
        <w:tc>
          <w:tcPr>
            <w:tcW w:w="72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4,563</w:t>
            </w: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our gross finance receivables as of December 31, 2009 were as follows (including those already billed of $226):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780" w:type="dxa"/>
            <w:vAlign w:val="bottom"/>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2011</w:t>
            </w:r>
          </w:p>
        </w:tc>
        <w:tc>
          <w:tcPr>
            <w:tcW w:w="780" w:type="dxa"/>
            <w:vAlign w:val="bottom"/>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800" w:type="dxa"/>
            <w:vAlign w:val="bottom"/>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800" w:type="dxa"/>
            <w:vAlign w:val="bottom"/>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800" w:type="dxa"/>
            <w:vAlign w:val="bottom"/>
          </w:tcPr>
          <w:p>
            <w:pPr>
              <w:spacing w:after="0"/>
              <w:rPr>
                <w:sz w:val="14"/>
                <w:szCs w:val="14"/>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Thereafter</w:t>
            </w:r>
          </w:p>
        </w:tc>
        <w:tc>
          <w:tcPr>
            <w:tcW w:w="800" w:type="dxa"/>
            <w:vAlign w:val="bottom"/>
          </w:tcPr>
          <w:p>
            <w:pPr>
              <w:spacing w:after="0"/>
              <w:rPr>
                <w:sz w:val="14"/>
                <w:szCs w:val="14"/>
                <w:color w:val="auto"/>
              </w:rPr>
            </w:pPr>
          </w:p>
        </w:tc>
        <w:tc>
          <w:tcPr>
            <w:tcW w:w="9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880" w:type="dxa"/>
            <w:vAlign w:val="bottom"/>
            <w:shd w:val="clear" w:color="auto" w:fill="CCEEFF"/>
          </w:tcPr>
          <w:p>
            <w:pPr>
              <w:jc w:val="right"/>
              <w:ind w:right="62"/>
              <w:spacing w:after="0" w:line="196" w:lineRule="exact"/>
              <w:rPr>
                <w:sz w:val="20"/>
                <w:szCs w:val="20"/>
                <w:color w:val="auto"/>
              </w:rPr>
            </w:pPr>
            <w:r>
              <w:rPr>
                <w:rFonts w:ascii="Arial" w:cs="Arial" w:eastAsia="Arial" w:hAnsi="Arial"/>
                <w:sz w:val="18"/>
                <w:szCs w:val="18"/>
                <w:color w:val="auto"/>
              </w:rPr>
              <w:t>$  3,191</w:t>
            </w:r>
          </w:p>
        </w:tc>
        <w:tc>
          <w:tcPr>
            <w:tcW w:w="1680" w:type="dxa"/>
            <w:vAlign w:val="bottom"/>
            <w:gridSpan w:val="2"/>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  2,334</w:t>
            </w:r>
          </w:p>
        </w:tc>
        <w:tc>
          <w:tcPr>
            <w:tcW w:w="1680" w:type="dxa"/>
            <w:vAlign w:val="bottom"/>
            <w:gridSpan w:val="2"/>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  1,622</w:t>
            </w:r>
          </w:p>
        </w:tc>
        <w:tc>
          <w:tcPr>
            <w:tcW w:w="1700" w:type="dxa"/>
            <w:vAlign w:val="bottom"/>
            <w:gridSpan w:val="2"/>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  910</w:t>
            </w:r>
          </w:p>
        </w:tc>
        <w:tc>
          <w:tcPr>
            <w:tcW w:w="1700" w:type="dxa"/>
            <w:vAlign w:val="bottom"/>
            <w:gridSpan w:val="2"/>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  327</w:t>
            </w:r>
          </w:p>
        </w:tc>
        <w:tc>
          <w:tcPr>
            <w:tcW w:w="2060" w:type="dxa"/>
            <w:vAlign w:val="bottom"/>
            <w:gridSpan w:val="2"/>
            <w:shd w:val="clear" w:color="auto" w:fill="CCEEFF"/>
          </w:tcPr>
          <w:p>
            <w:pPr>
              <w:jc w:val="right"/>
              <w:ind w:right="712"/>
              <w:spacing w:after="0" w:line="196" w:lineRule="exact"/>
              <w:rPr>
                <w:sz w:val="20"/>
                <w:szCs w:val="20"/>
                <w:color w:val="auto"/>
              </w:rPr>
            </w:pPr>
            <w:r>
              <w:rPr>
                <w:rFonts w:ascii="Arial" w:cs="Arial" w:eastAsia="Arial" w:hAnsi="Arial"/>
                <w:sz w:val="18"/>
                <w:szCs w:val="18"/>
                <w:color w:val="auto"/>
              </w:rPr>
              <w:t>$  43</w:t>
            </w:r>
          </w:p>
        </w:tc>
        <w:tc>
          <w:tcPr>
            <w:tcW w:w="1720" w:type="dxa"/>
            <w:vAlign w:val="bottom"/>
            <w:gridSpan w:val="2"/>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  8,427</w:t>
            </w:r>
          </w:p>
        </w:tc>
      </w:tr>
    </w:tbl>
    <w:p>
      <w:pPr>
        <w:spacing w:after="0" w:line="15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46</w:t>
      </w:r>
    </w:p>
    <w:p>
      <w:pPr>
        <w:sectPr>
          <w:pgSz w:w="11900" w:h="16838" w:orient="portrait"/>
          <w:cols w:equalWidth="0" w:num="1">
            <w:col w:w="11420"/>
          </w:cols>
          <w:pgMar w:left="240" w:top="269"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Accounts Receivable Sales Arrangements</w:t>
      </w:r>
    </w:p>
    <w:p>
      <w:pPr>
        <w:spacing w:after="0" w:line="18"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We have facilities in the U.S., Canada and several countries in Europe that enable us to sell, on an on-going basis, certain accounts receivable without recourse to third-parties. The accounts receivables sold are generally short-term trade receivables with a payment due date of less than 60 days. In some of the agreements we continue to service the sold receivables and hold beneficial interests. When applicable, a servicing liability is recorded for the estimated fair value of</w:t>
      </w:r>
    </w:p>
    <w:p>
      <w:pPr>
        <w:spacing w:after="0" w:line="3"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the servicing. Beneficial interests are included in the caption “Other current assets” in the accompanying Consolidated Balance Sheets and are recorded at estimated fair value. The amounts associated with the servicing liability and beneficial interests were not material at December 31, 2009 and 2008, respectively. Accounts receivables sales for the three years ended December 31, 2009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2007</w:t>
            </w: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receivables sales</w:t>
            </w:r>
          </w:p>
        </w:tc>
        <w:tc>
          <w:tcPr>
            <w:tcW w:w="560" w:type="dxa"/>
            <w:vAlign w:val="bottom"/>
            <w:gridSpan w:val="3"/>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7"/>
              <w:spacing w:after="0" w:line="196" w:lineRule="exact"/>
              <w:rPr>
                <w:sz w:val="20"/>
                <w:szCs w:val="20"/>
                <w:color w:val="auto"/>
              </w:rPr>
            </w:pPr>
            <w:r>
              <w:rPr>
                <w:rFonts w:ascii="Arial" w:cs="Arial" w:eastAsia="Arial" w:hAnsi="Arial"/>
                <w:sz w:val="18"/>
                <w:szCs w:val="18"/>
                <w:color w:val="auto"/>
              </w:rPr>
              <w:t>1,566</w:t>
            </w:r>
          </w:p>
        </w:tc>
        <w:tc>
          <w:tcPr>
            <w:tcW w:w="60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rPr>
              <w:t>717</w:t>
            </w: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7"/>
              <w:spacing w:after="0" w:line="196" w:lineRule="exact"/>
              <w:rPr>
                <w:sz w:val="20"/>
                <w:szCs w:val="20"/>
                <w:color w:val="auto"/>
              </w:rPr>
            </w:pPr>
            <w:r>
              <w:rPr>
                <w:rFonts w:ascii="Arial" w:cs="Arial" w:eastAsia="Arial" w:hAnsi="Arial"/>
                <w:sz w:val="18"/>
                <w:szCs w:val="18"/>
                <w:color w:val="auto"/>
              </w:rPr>
              <w:t>326</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Fees associated with sales</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13</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77"/>
              <w:spacing w:after="0" w:line="202"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Estimated impact of sales on operating cash flows</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309</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147</w:t>
            </w:r>
          </w:p>
        </w:tc>
      </w:tr>
      <w:tr>
        <w:trPr>
          <w:trHeight w:val="450"/>
        </w:trPr>
        <w:tc>
          <w:tcPr>
            <w:tcW w:w="7480" w:type="dxa"/>
            <w:vAlign w:val="bottom"/>
          </w:tcPr>
          <w:p>
            <w:pPr>
              <w:spacing w:after="0"/>
              <w:rPr>
                <w:sz w:val="20"/>
                <w:szCs w:val="20"/>
                <w:color w:val="auto"/>
              </w:rPr>
            </w:pPr>
            <w:r>
              <w:rPr>
                <w:rFonts w:ascii="Arial" w:cs="Arial" w:eastAsia="Arial" w:hAnsi="Arial"/>
                <w:sz w:val="24"/>
                <w:szCs w:val="24"/>
                <w:b w:val="1"/>
                <w:bCs w:val="1"/>
                <w:color w:val="1269BC"/>
              </w:rPr>
              <w:t>Note 5 – Inventories and Equipment on Operating Leases, Net</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2"/>
        </w:trPr>
        <w:tc>
          <w:tcPr>
            <w:tcW w:w="7480" w:type="dxa"/>
            <w:vAlign w:val="bottom"/>
          </w:tcPr>
          <w:p>
            <w:pPr>
              <w:spacing w:after="0"/>
              <w:rPr>
                <w:sz w:val="20"/>
                <w:szCs w:val="20"/>
                <w:color w:val="auto"/>
              </w:rPr>
            </w:pPr>
            <w:r>
              <w:rPr>
                <w:rFonts w:ascii="Arial" w:cs="Arial" w:eastAsia="Arial" w:hAnsi="Arial"/>
                <w:sz w:val="18"/>
                <w:szCs w:val="18"/>
                <w:color w:val="auto"/>
              </w:rPr>
              <w:t>Inventories at December 31, 2009 and 2008 were as follows: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0"/>
        </w:trPr>
        <w:tc>
          <w:tcPr>
            <w:tcW w:w="7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Finished goods</w:t>
            </w:r>
          </w:p>
        </w:tc>
        <w:tc>
          <w:tcPr>
            <w:tcW w:w="5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772</w:t>
            </w:r>
          </w:p>
        </w:tc>
        <w:tc>
          <w:tcPr>
            <w:tcW w:w="60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1,044</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43</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80</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108</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38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900</w:t>
            </w:r>
          </w:p>
        </w:tc>
        <w:tc>
          <w:tcPr>
            <w:tcW w:w="38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1,232</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Cost of sales in 2008 included a charge of $39 associated with an Office segment product line equipment and residual value write-off. The write-off was the result of a 2008 change in strategy reflecting our decision to discontinue the remanufacture of end-of-lease returned inventory from a certain Office segment product line following an assessment of the current and expected market for these products.</w:t>
      </w:r>
    </w:p>
    <w:p>
      <w:pPr>
        <w:spacing w:after="0" w:line="15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The transfer of equipment from our inventories to equipment subject to an operating lease is presented in our Consolidated Statements of Cash Flows in the operating activities section as a non-cash adjustment. Equipment on operating leases and similar arrangements consists of our equipment rented to customers and depreciated to estimated salvage value at the end of the lease term. We recorded $52, $115 and $66 in inventory write-down charges for the years ended December 31, 2009, 2008 and 2007,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Equipment on operating leases and the related accumulated depreciation at December 31, 2009 and 2008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2008</w:t>
            </w: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Equipment on operating leases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1,583</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1,507</w:t>
            </w:r>
          </w:p>
        </w:tc>
      </w:tr>
      <w:tr>
        <w:trPr>
          <w:trHeight w:val="210"/>
        </w:trPr>
        <w:tc>
          <w:tcPr>
            <w:tcW w:w="8200" w:type="dxa"/>
            <w:vAlign w:val="bottom"/>
            <w:gridSpan w:val="2"/>
          </w:tcPr>
          <w:p>
            <w:pPr>
              <w:spacing w:after="0" w:line="202" w:lineRule="exact"/>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(1,032)</w:t>
            </w: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(913)</w:t>
            </w: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Equipment on Operating Leases, net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b w:val="1"/>
                <w:bCs w:val="1"/>
                <w:color w:val="auto"/>
              </w:rPr>
              <w:t>551</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b w:val="1"/>
                <w:bCs w:val="1"/>
                <w:color w:val="auto"/>
              </w:rPr>
              <w:t>594</w:t>
            </w: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Depreciable lives generally vary from three to four years consistent with our planned and historical usage of the equipment subject to operating leases. Depreciation and obsolescence expense for equipment on operating leases was $329, $298 and $269 for the years ended December 31, 2009, 2008 and 2007, respectively. Our equipment operating lease terms vary, generally from 12 to 36 months. Scheduled minimum future rental revenues on operating leases with original terms of one year or longer are: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2010</w:t>
            </w: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2011</w:t>
            </w:r>
          </w:p>
        </w:tc>
        <w:tc>
          <w:tcPr>
            <w:tcW w:w="1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2012</w:t>
            </w:r>
          </w:p>
        </w:tc>
        <w:tc>
          <w:tcPr>
            <w:tcW w:w="1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1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2014</w:t>
            </w:r>
          </w:p>
        </w:tc>
        <w:tc>
          <w:tcPr>
            <w:tcW w:w="1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Thereafter</w:t>
            </w:r>
          </w:p>
        </w:tc>
      </w:tr>
      <w:tr>
        <w:trPr>
          <w:trHeight w:val="196"/>
        </w:trPr>
        <w:tc>
          <w:tcPr>
            <w:tcW w:w="2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62"/>
              <w:spacing w:after="0" w:line="196" w:lineRule="exact"/>
              <w:rPr>
                <w:sz w:val="20"/>
                <w:szCs w:val="20"/>
                <w:color w:val="auto"/>
              </w:rPr>
            </w:pPr>
            <w:r>
              <w:rPr>
                <w:rFonts w:ascii="Arial" w:cs="Arial" w:eastAsia="Arial" w:hAnsi="Arial"/>
                <w:sz w:val="18"/>
                <w:szCs w:val="18"/>
                <w:color w:val="auto"/>
              </w:rPr>
              <w:t>385</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82"/>
              <w:spacing w:after="0" w:line="196" w:lineRule="exact"/>
              <w:rPr>
                <w:sz w:val="20"/>
                <w:szCs w:val="20"/>
                <w:color w:val="auto"/>
              </w:rPr>
            </w:pPr>
            <w:r>
              <w:rPr>
                <w:rFonts w:ascii="Arial" w:cs="Arial" w:eastAsia="Arial" w:hAnsi="Arial"/>
                <w:sz w:val="18"/>
                <w:szCs w:val="18"/>
                <w:color w:val="auto"/>
              </w:rPr>
              <w:t>281</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82"/>
              <w:spacing w:after="0" w:line="196" w:lineRule="exact"/>
              <w:rPr>
                <w:sz w:val="20"/>
                <w:szCs w:val="20"/>
                <w:color w:val="auto"/>
              </w:rPr>
            </w:pPr>
            <w:r>
              <w:rPr>
                <w:rFonts w:ascii="Arial" w:cs="Arial" w:eastAsia="Arial" w:hAnsi="Arial"/>
                <w:sz w:val="18"/>
                <w:szCs w:val="18"/>
                <w:color w:val="auto"/>
              </w:rPr>
              <w:t>181</w:t>
            </w:r>
          </w:p>
        </w:tc>
        <w:tc>
          <w:tcPr>
            <w:tcW w:w="12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82"/>
              <w:spacing w:after="0" w:line="196" w:lineRule="exact"/>
              <w:rPr>
                <w:sz w:val="20"/>
                <w:szCs w:val="20"/>
                <w:color w:val="auto"/>
              </w:rPr>
            </w:pPr>
            <w:r>
              <w:rPr>
                <w:rFonts w:ascii="Arial" w:cs="Arial" w:eastAsia="Arial" w:hAnsi="Arial"/>
                <w:sz w:val="18"/>
                <w:szCs w:val="18"/>
                <w:color w:val="auto"/>
              </w:rPr>
              <w:t>94</w:t>
            </w:r>
          </w:p>
        </w:tc>
        <w:tc>
          <w:tcPr>
            <w:tcW w:w="12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82"/>
              <w:spacing w:after="0" w:line="196" w:lineRule="exact"/>
              <w:rPr>
                <w:sz w:val="20"/>
                <w:szCs w:val="20"/>
                <w:color w:val="auto"/>
              </w:rPr>
            </w:pPr>
            <w:r>
              <w:rPr>
                <w:rFonts w:ascii="Arial" w:cs="Arial" w:eastAsia="Arial" w:hAnsi="Arial"/>
                <w:sz w:val="18"/>
                <w:szCs w:val="18"/>
                <w:color w:val="auto"/>
              </w:rPr>
              <w:t>46</w:t>
            </w:r>
          </w:p>
        </w:tc>
        <w:tc>
          <w:tcPr>
            <w:tcW w:w="12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2"/>
              <w:spacing w:after="0" w:line="196" w:lineRule="exact"/>
              <w:rPr>
                <w:sz w:val="20"/>
                <w:szCs w:val="20"/>
                <w:color w:val="auto"/>
              </w:rPr>
            </w:pPr>
            <w:r>
              <w:rPr>
                <w:rFonts w:ascii="Arial" w:cs="Arial" w:eastAsia="Arial" w:hAnsi="Arial"/>
                <w:sz w:val="18"/>
                <w:szCs w:val="18"/>
                <w:color w:val="auto"/>
              </w:rPr>
              <w:t>45</w:t>
            </w:r>
          </w:p>
        </w:tc>
      </w:tr>
    </w:tbl>
    <w:p>
      <w:pPr>
        <w:spacing w:after="0" w:line="165"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Total contingent rentals on operating leases, consisting principally of usage charges in excess of minimum contracted amounts, for the years ended December 31, 2009, 2008 and 2007 amounted to $125, $117 and $117, respectively.</w:t>
      </w:r>
    </w:p>
    <w:p>
      <w:pPr>
        <w:spacing w:after="0" w:line="141"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47</w:t>
      </w:r>
    </w:p>
    <w:p>
      <w:pPr>
        <w:sectPr>
          <w:pgSz w:w="11900" w:h="16838" w:orient="portrait"/>
          <w:cols w:equalWidth="0" w:num="1">
            <w:col w:w="11420"/>
          </w:cols>
          <w:pgMar w:left="240" w:top="269" w:right="239" w:bottom="1440" w:gutter="0" w:footer="0" w:header="0"/>
        </w:sectPr>
      </w:pPr>
    </w:p>
    <w:bookmarkStart w:id="130" w:name="page131"/>
    <w:bookmarkEnd w:id="130"/>
    <w:p>
      <w:pPr>
        <w:spacing w:after="0"/>
        <w:rPr>
          <w:sz w:val="20"/>
          <w:szCs w:val="20"/>
          <w:color w:val="auto"/>
        </w:rPr>
      </w:pPr>
      <w:r>
        <w:rPr>
          <w:rFonts w:ascii="Arial" w:cs="Arial" w:eastAsia="Arial" w:hAnsi="Arial"/>
          <w:sz w:val="24"/>
          <w:szCs w:val="24"/>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6 – Land, Buildings and Equipment, Net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Land, buildings and equipment, net at December 31, 2009 and 2008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Estimated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7480" w:type="dxa"/>
            <w:vAlign w:val="bottom"/>
          </w:tcPr>
          <w:p>
            <w:pPr>
              <w:spacing w:after="0"/>
              <w:rPr>
                <w:sz w:val="12"/>
                <w:szCs w:val="12"/>
                <w:color w:val="auto"/>
              </w:rPr>
            </w:pPr>
          </w:p>
        </w:tc>
        <w:tc>
          <w:tcPr>
            <w:tcW w:w="16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Useful Lives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5"/>
        </w:trPr>
        <w:tc>
          <w:tcPr>
            <w:tcW w:w="74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640" w:type="dxa"/>
            <w:vAlign w:val="bottom"/>
            <w:gridSpan w:val="2"/>
            <w:shd w:val="clear" w:color="auto" w:fill="CCEEFF"/>
          </w:tcPr>
          <w:p>
            <w:pPr>
              <w:ind w:left="86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45</w:t>
            </w:r>
          </w:p>
        </w:tc>
        <w:tc>
          <w:tcPr>
            <w:tcW w:w="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45</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Buildings and building equipment</w:t>
            </w:r>
          </w:p>
        </w:tc>
        <w:tc>
          <w:tcPr>
            <w:tcW w:w="16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25 to 50</w:t>
            </w:r>
          </w:p>
        </w:tc>
        <w:tc>
          <w:tcPr>
            <w:tcW w:w="16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1,192</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1,156</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6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Varies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328</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372</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Plant machinery</w:t>
            </w:r>
          </w:p>
        </w:tc>
        <w:tc>
          <w:tcPr>
            <w:tcW w:w="16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 to 12</w:t>
            </w:r>
          </w:p>
        </w:tc>
        <w:tc>
          <w:tcPr>
            <w:tcW w:w="16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1,686</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1,597</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furniture and equipment</w:t>
            </w:r>
          </w:p>
        </w:tc>
        <w:tc>
          <w:tcPr>
            <w:tcW w:w="16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 to 15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994</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973</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 to 20</w:t>
            </w:r>
          </w:p>
        </w:tc>
        <w:tc>
          <w:tcPr>
            <w:tcW w:w="16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100</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164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95</w:t>
            </w: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Subtotal</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4,378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4,338</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depreciation</w:t>
            </w: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(3,069)</w:t>
            </w: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(2,919)</w:t>
            </w:r>
          </w:p>
        </w:tc>
      </w:tr>
      <w:tr>
        <w:trPr>
          <w:trHeight w:val="210"/>
        </w:trPr>
        <w:tc>
          <w:tcPr>
            <w:tcW w:w="7480" w:type="dxa"/>
            <w:vAlign w:val="bottom"/>
          </w:tcPr>
          <w:p>
            <w:pPr>
              <w:spacing w:after="0"/>
              <w:rPr>
                <w:sz w:val="20"/>
                <w:szCs w:val="20"/>
                <w:color w:val="auto"/>
              </w:rPr>
            </w:pPr>
            <w:r>
              <w:rPr>
                <w:rFonts w:ascii="Arial" w:cs="Arial" w:eastAsia="Arial" w:hAnsi="Arial"/>
                <w:sz w:val="18"/>
                <w:szCs w:val="18"/>
                <w:b w:val="1"/>
                <w:bCs w:val="1"/>
                <w:color w:val="auto"/>
              </w:rPr>
              <w:t>Land, Buildings and Equipment, net</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1,309</w:t>
            </w:r>
          </w:p>
        </w:tc>
        <w:tc>
          <w:tcPr>
            <w:tcW w:w="5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1,419</w:t>
            </w:r>
          </w:p>
        </w:tc>
      </w:tr>
      <w:tr>
        <w:trPr>
          <w:trHeight w:val="20"/>
        </w:trPr>
        <w:tc>
          <w:tcPr>
            <w:tcW w:w="7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and operating lease rent expense for the years ended December 31, 2009, 2008 and 2007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2007</w:t>
            </w: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expense</w:t>
            </w:r>
          </w:p>
        </w:tc>
        <w:tc>
          <w:tcPr>
            <w:tcW w:w="2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247</w:t>
            </w: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257</w:t>
            </w: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262</w:t>
            </w:r>
          </w:p>
        </w:tc>
      </w:tr>
      <w:tr>
        <w:trPr>
          <w:trHeight w:val="293"/>
        </w:trPr>
        <w:tc>
          <w:tcPr>
            <w:tcW w:w="4940" w:type="dxa"/>
            <w:vAlign w:val="bottom"/>
          </w:tcPr>
          <w:p>
            <w:pPr>
              <w:spacing w:after="0"/>
              <w:rPr>
                <w:sz w:val="20"/>
                <w:szCs w:val="20"/>
                <w:color w:val="auto"/>
              </w:rPr>
            </w:pPr>
            <w:r>
              <w:rPr>
                <w:rFonts w:ascii="Arial" w:cs="Arial" w:eastAsia="Arial" w:hAnsi="Arial"/>
                <w:sz w:val="18"/>
                <w:szCs w:val="18"/>
                <w:color w:val="auto"/>
              </w:rPr>
              <w:t xml:space="preserve">Operating lease rent expense </w:t>
            </w:r>
            <w:r>
              <w:rPr>
                <w:rFonts w:ascii="Arial" w:cs="Arial" w:eastAsia="Arial" w:hAnsi="Arial"/>
                <w:sz w:val="22"/>
                <w:szCs w:val="22"/>
                <w:color w:val="auto"/>
                <w:vertAlign w:val="superscript"/>
              </w:rPr>
              <w:t>(1)</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267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252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286</w:t>
            </w:r>
          </w:p>
        </w:tc>
      </w:tr>
    </w:tbl>
    <w:p>
      <w:pPr>
        <w:ind w:left="580" w:hanging="572"/>
        <w:spacing w:after="0" w:line="208" w:lineRule="auto"/>
        <w:tabs>
          <w:tab w:leader="none" w:pos="580" w:val="left"/>
        </w:tabs>
        <w:numPr>
          <w:ilvl w:val="0"/>
          <w:numId w:val="104"/>
        </w:numPr>
        <w:rPr>
          <w:rFonts w:ascii="Arial" w:cs="Arial" w:eastAsia="Arial" w:hAnsi="Arial"/>
          <w:sz w:val="22"/>
          <w:szCs w:val="22"/>
          <w:color w:val="auto"/>
          <w:vertAlign w:val="superscript"/>
        </w:rPr>
      </w:pPr>
      <w:r>
        <w:rPr>
          <w:rFonts w:ascii="Arial" w:cs="Arial" w:eastAsia="Arial" w:hAnsi="Arial"/>
          <w:sz w:val="14"/>
          <w:szCs w:val="14"/>
          <w:color w:val="auto"/>
        </w:rPr>
        <w:t>We lease certain land, buildings and equipment, substantially all of which are accounted for as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89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Future minimum operating lease commitments that have initial or remaining non-cancelable lease terms in excess of one year at December 31, 2009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2011</w:t>
            </w: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2013</w:t>
            </w: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6"/>
              </w:rPr>
              <w:t>Thereafter</w:t>
            </w:r>
          </w:p>
        </w:tc>
      </w:tr>
      <w:tr>
        <w:trPr>
          <w:trHeight w:val="196"/>
        </w:trPr>
        <w:tc>
          <w:tcPr>
            <w:tcW w:w="2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224</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181</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128</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99</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70</w:t>
            </w:r>
          </w:p>
        </w:tc>
        <w:tc>
          <w:tcPr>
            <w:tcW w:w="9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80</w:t>
            </w:r>
          </w:p>
        </w:tc>
      </w:tr>
    </w:tbl>
    <w:p>
      <w:pPr>
        <w:spacing w:after="0" w:line="16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have an information management contract with Electronic Data Systems Corp. (“EDS”) through March 2014. Services to be provided under this contract include support for European and Brazilian mainframe system processing and application maintenance through mid-2010, as well as workplace and service desk and voice and data network management through March 2014. There are no minimum payments required under this contract. We can terminate the contract for convenience with six months notice, as defined in the contract, with no termination fee and with payment to EDS for costs incurred as of the termination date. Should we terminate the contract for convenience, we have an option to purchase the assets placed in service under the EDS contract. Payments to EDS, which are primarily recorded in selling, administrative and general expenses, were $198, $279 and $294 for the years ended December 31, 2009, 2008 and 2007, respectively.</w:t>
      </w:r>
    </w:p>
    <w:p>
      <w:pPr>
        <w:spacing w:after="0" w:line="155"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During 2009 we terminated several agreements with EDS for information management services and entered into new agreements for similar services with several providers. Services to be provided under these contracts include support for data network transport; mainframe application processing, development and support; and mid-range applications processing and support. These contracts have various terms through 2015. Some of the contracts require minimum payments and include termination penalties. Payments for information management services, which are primarily recorded in selling, administrative and general expenses were $26 for the year ended December 31, 2009.</w:t>
      </w:r>
    </w:p>
    <w:p>
      <w:pPr>
        <w:spacing w:after="0" w:line="144"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48</w:t>
      </w:r>
    </w:p>
    <w:p>
      <w:pPr>
        <w:sectPr>
          <w:pgSz w:w="11900" w:h="16838" w:orient="portrait"/>
          <w:cols w:equalWidth="0" w:num="1">
            <w:col w:w="11420"/>
          </w:cols>
          <w:pgMar w:left="240" w:top="254" w:right="239" w:bottom="1440" w:gutter="0" w:footer="0" w:header="0"/>
        </w:sectPr>
      </w:pPr>
    </w:p>
    <w:bookmarkStart w:id="131" w:name="page132"/>
    <w:bookmarkEnd w:id="131"/>
    <w:p>
      <w:pPr>
        <w:spacing w:after="0"/>
        <w:rPr>
          <w:sz w:val="20"/>
          <w:szCs w:val="20"/>
          <w:color w:val="auto"/>
        </w:rPr>
      </w:pPr>
      <w:r>
        <w:rPr>
          <w:rFonts w:ascii="Arial" w:cs="Arial" w:eastAsia="Arial" w:hAnsi="Arial"/>
          <w:sz w:val="24"/>
          <w:szCs w:val="24"/>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7 – Investments in Affiliates, at Equity</w:t>
      </w:r>
    </w:p>
    <w:p>
      <w:pPr>
        <w:spacing w:after="0" w:line="20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Investments in corporate joint ventures and other companies in which we generally have a 20% to 50% ownership interest at December 31, 2009 and 2008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Fuji Xerox</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998</w:t>
            </w:r>
          </w:p>
        </w:tc>
        <w:tc>
          <w:tcPr>
            <w:tcW w:w="9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1,028</w:t>
            </w:r>
          </w:p>
        </w:tc>
        <w:tc>
          <w:tcPr>
            <w:tcW w:w="660" w:type="dxa"/>
            <w:vAlign w:val="bottom"/>
            <w:shd w:val="clear" w:color="auto" w:fill="CCEEFF"/>
          </w:tcPr>
          <w:p>
            <w:pPr>
              <w:spacing w:after="0"/>
              <w:rPr>
                <w:sz w:val="17"/>
                <w:szCs w:val="17"/>
                <w:color w:val="auto"/>
              </w:rPr>
            </w:pPr>
          </w:p>
        </w:tc>
      </w:tr>
      <w:tr>
        <w:trPr>
          <w:trHeight w:val="210"/>
        </w:trPr>
        <w:tc>
          <w:tcPr>
            <w:tcW w:w="7400" w:type="dxa"/>
            <w:vAlign w:val="bottom"/>
            <w:gridSpan w:val="2"/>
          </w:tcPr>
          <w:p>
            <w:pPr>
              <w:spacing w:after="0" w:line="202" w:lineRule="exact"/>
              <w:rPr>
                <w:sz w:val="20"/>
                <w:szCs w:val="20"/>
                <w:color w:val="auto"/>
              </w:rPr>
            </w:pPr>
            <w:r>
              <w:rPr>
                <w:rFonts w:ascii="Arial" w:cs="Arial" w:eastAsia="Arial" w:hAnsi="Arial"/>
                <w:sz w:val="18"/>
                <w:szCs w:val="18"/>
                <w:color w:val="auto"/>
              </w:rPr>
              <w:t>All other equity investments</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w:t>
            </w:r>
          </w:p>
        </w:tc>
        <w:tc>
          <w:tcPr>
            <w:tcW w:w="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w:t>
            </w:r>
          </w:p>
        </w:tc>
        <w:tc>
          <w:tcPr>
            <w:tcW w:w="6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Investments in Affiliates, at Equity</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1,056</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1,080</w:t>
            </w:r>
          </w:p>
        </w:tc>
        <w:tc>
          <w:tcPr>
            <w:tcW w:w="6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Our equity in net income of our unconsolidated affiliates for the three years ended December 31, 2009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2007</w:t>
            </w: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Fuji Xerox</w:t>
            </w:r>
          </w:p>
        </w:tc>
        <w:tc>
          <w:tcPr>
            <w:tcW w:w="640" w:type="dxa"/>
            <w:vAlign w:val="bottom"/>
            <w:shd w:val="clear" w:color="auto" w:fill="CCEEFF"/>
          </w:tcPr>
          <w:p>
            <w:pPr>
              <w:jc w:val="right"/>
              <w:ind w:right="459"/>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30</w:t>
            </w: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10"/>
        </w:trPr>
        <w:tc>
          <w:tcPr>
            <w:tcW w:w="7400" w:type="dxa"/>
            <w:vAlign w:val="bottom"/>
            <w:gridSpan w:val="2"/>
          </w:tcPr>
          <w:p>
            <w:pPr>
              <w:spacing w:after="0" w:line="202" w:lineRule="exact"/>
              <w:rPr>
                <w:sz w:val="20"/>
                <w:szCs w:val="20"/>
                <w:color w:val="auto"/>
              </w:rPr>
            </w:pPr>
            <w:r>
              <w:rPr>
                <w:rFonts w:ascii="Arial" w:cs="Arial" w:eastAsia="Arial" w:hAnsi="Arial"/>
                <w:sz w:val="18"/>
                <w:szCs w:val="18"/>
                <w:color w:val="auto"/>
              </w:rPr>
              <w:t>Other investments</w:t>
            </w: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11</w:t>
            </w: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 in Unconsolidated Affiliates</w:t>
            </w:r>
          </w:p>
        </w:tc>
        <w:tc>
          <w:tcPr>
            <w:tcW w:w="640" w:type="dxa"/>
            <w:vAlign w:val="bottom"/>
            <w:shd w:val="clear" w:color="auto" w:fill="CCEEFF"/>
          </w:tcPr>
          <w:p>
            <w:pPr>
              <w:jc w:val="right"/>
              <w:ind w:right="459"/>
              <w:spacing w:after="0" w:line="202" w:lineRule="exact"/>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41</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97</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Fuji Xerox</w:t>
      </w:r>
    </w:p>
    <w:p>
      <w:pPr>
        <w:spacing w:after="0" w:line="18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Fuji Xerox is headquartered in Tokyo and operates in Japan, China, Australia, New Zealand and other areas of the Pacific Rim. Our investment in Fuji Xerox of $998 at December 31, 2009, differs from our implied 25% interest in the underlying net assets, or $1,108, due primarily to our deferral of gains resulting from sales of assets by us to Fuji Xerox, partially offset by goodwill related to the Fuji Xerox investment established at the time we acquired our remaining 20% of Xerox Limited from The Rank Group plc.</w:t>
      </w:r>
    </w:p>
    <w:p>
      <w:pPr>
        <w:spacing w:after="0" w:line="155"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Equity in net income of Fuji Xerox is affected by certain adjustments to reflect the deferral of profit associated with intercompany sales. These adjustments may result in recorded equity income that is different than that implied by our 25% ownership interest. Equity income for 2009 and 2008 includes after-tax restructuring charges of $46 and $16, respectively, primarily reflecting employee related costs as part of Fuji Xerox’s continued cost-reduction actions to improve its competitive position.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Yen/U.S. Dollar exchange rates used to translate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60" w:type="dxa"/>
            <w:vAlign w:val="bottom"/>
          </w:tcPr>
          <w:p>
            <w:pPr>
              <w:spacing w:after="0"/>
              <w:rPr>
                <w:sz w:val="15"/>
                <w:szCs w:val="15"/>
                <w:color w:val="auto"/>
              </w:rPr>
            </w:pPr>
          </w:p>
        </w:tc>
        <w:tc>
          <w:tcPr>
            <w:tcW w:w="2380" w:type="dxa"/>
            <w:vAlign w:val="bottom"/>
          </w:tcPr>
          <w:p>
            <w:pPr>
              <w:ind w:left="660"/>
              <w:spacing w:after="0"/>
              <w:rPr>
                <w:sz w:val="20"/>
                <w:szCs w:val="20"/>
                <w:color w:val="auto"/>
              </w:rPr>
            </w:pPr>
            <w:r>
              <w:rPr>
                <w:rFonts w:ascii="Arial" w:cs="Arial" w:eastAsia="Arial" w:hAnsi="Arial"/>
                <w:sz w:val="14"/>
                <w:szCs w:val="14"/>
                <w:b w:val="1"/>
                <w:bCs w:val="1"/>
                <w:color w:val="auto"/>
              </w:rPr>
              <w:t>Exchange Basis</w:t>
            </w: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2009</w:t>
            </w: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2008</w:t>
            </w:r>
          </w:p>
        </w:tc>
        <w:tc>
          <w:tcPr>
            <w:tcW w:w="1300" w:type="dxa"/>
            <w:vAlign w:val="bottom"/>
            <w:gridSpan w:val="2"/>
          </w:tcPr>
          <w:p>
            <w:pPr>
              <w:ind w:left="700"/>
              <w:spacing w:after="0"/>
              <w:rPr>
                <w:sz w:val="20"/>
                <w:szCs w:val="20"/>
                <w:color w:val="auto"/>
              </w:rPr>
            </w:pPr>
            <w:r>
              <w:rPr>
                <w:rFonts w:ascii="Arial" w:cs="Arial" w:eastAsia="Arial" w:hAnsi="Arial"/>
                <w:sz w:val="14"/>
                <w:szCs w:val="14"/>
                <w:b w:val="1"/>
                <w:bCs w:val="1"/>
                <w:color w:val="auto"/>
              </w:rPr>
              <w:t>2007</w:t>
            </w:r>
          </w:p>
        </w:tc>
      </w:tr>
      <w:tr>
        <w:trPr>
          <w:trHeight w:val="102"/>
        </w:trPr>
        <w:tc>
          <w:tcPr>
            <w:tcW w:w="5160" w:type="dxa"/>
            <w:vAlign w:val="bottom"/>
          </w:tcPr>
          <w:p>
            <w:pPr>
              <w:spacing w:after="0"/>
              <w:rPr>
                <w:sz w:val="8"/>
                <w:szCs w:val="8"/>
                <w:color w:val="auto"/>
              </w:rPr>
            </w:pPr>
          </w:p>
        </w:tc>
        <w:tc>
          <w:tcPr>
            <w:tcW w:w="23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Summary of Operations</w:t>
            </w:r>
          </w:p>
        </w:tc>
        <w:tc>
          <w:tcPr>
            <w:tcW w:w="2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Rate</w:t>
            </w: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93.51</w:t>
            </w:r>
          </w:p>
        </w:tc>
        <w:tc>
          <w:tcPr>
            <w:tcW w:w="1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103.31</w:t>
            </w:r>
          </w:p>
        </w:tc>
        <w:tc>
          <w:tcPr>
            <w:tcW w:w="13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117.53</w:t>
            </w:r>
          </w:p>
        </w:tc>
      </w:tr>
      <w:tr>
        <w:trPr>
          <w:trHeight w:val="214"/>
        </w:trPr>
        <w:tc>
          <w:tcPr>
            <w:tcW w:w="5160" w:type="dxa"/>
            <w:vAlign w:val="bottom"/>
          </w:tcPr>
          <w:p>
            <w:pPr>
              <w:spacing w:after="0"/>
              <w:rPr>
                <w:sz w:val="20"/>
                <w:szCs w:val="20"/>
                <w:color w:val="auto"/>
              </w:rPr>
            </w:pPr>
            <w:r>
              <w:rPr>
                <w:rFonts w:ascii="Arial" w:cs="Arial" w:eastAsia="Arial" w:hAnsi="Arial"/>
                <w:sz w:val="18"/>
                <w:szCs w:val="18"/>
                <w:color w:val="auto"/>
              </w:rPr>
              <w:t>Balance Sheet</w:t>
            </w:r>
          </w:p>
        </w:tc>
        <w:tc>
          <w:tcPr>
            <w:tcW w:w="2380" w:type="dxa"/>
            <w:vAlign w:val="bottom"/>
          </w:tcPr>
          <w:p>
            <w:pPr>
              <w:spacing w:after="0"/>
              <w:rPr>
                <w:sz w:val="20"/>
                <w:szCs w:val="20"/>
                <w:color w:val="auto"/>
              </w:rPr>
            </w:pPr>
            <w:r>
              <w:rPr>
                <w:rFonts w:ascii="Arial" w:cs="Arial" w:eastAsia="Arial" w:hAnsi="Arial"/>
                <w:sz w:val="18"/>
                <w:szCs w:val="18"/>
                <w:color w:val="auto"/>
              </w:rPr>
              <w:t>Year-End Rate</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92.46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90.28</w:t>
            </w:r>
          </w:p>
        </w:tc>
        <w:tc>
          <w:tcPr>
            <w:tcW w:w="1300" w:type="dxa"/>
            <w:vAlign w:val="bottom"/>
            <w:gridSpan w:val="2"/>
          </w:tcPr>
          <w:p>
            <w:pPr>
              <w:ind w:left="720"/>
              <w:spacing w:after="0"/>
              <w:rPr>
                <w:sz w:val="20"/>
                <w:szCs w:val="20"/>
                <w:color w:val="auto"/>
              </w:rPr>
            </w:pPr>
            <w:r>
              <w:rPr>
                <w:rFonts w:ascii="Arial" w:cs="Arial" w:eastAsia="Arial" w:hAnsi="Arial"/>
                <w:sz w:val="18"/>
                <w:szCs w:val="18"/>
                <w:color w:val="auto"/>
              </w:rPr>
              <w:t>112.55</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Condensed financial data of Fuji Xerox for the three calendar years ended December 31, 2009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2007</w:t>
            </w:r>
          </w:p>
        </w:tc>
      </w:tr>
      <w:tr>
        <w:trPr>
          <w:trHeight w:val="176"/>
        </w:trPr>
        <w:tc>
          <w:tcPr>
            <w:tcW w:w="20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7"/>
              </w:rPr>
              <w:t>Summary of Operations</w:t>
            </w:r>
          </w:p>
        </w:tc>
        <w:tc>
          <w:tcPr>
            <w:tcW w:w="56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203"/>
        </w:trPr>
        <w:tc>
          <w:tcPr>
            <w:tcW w:w="768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gridSpan w:val="2"/>
          </w:tcPr>
          <w:p>
            <w:pPr>
              <w:jc w:val="right"/>
              <w:ind w:right="23"/>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9,998</w:t>
            </w:r>
          </w:p>
        </w:tc>
        <w:tc>
          <w:tcPr>
            <w:tcW w:w="7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11,190</w:t>
            </w:r>
          </w:p>
        </w:tc>
        <w:tc>
          <w:tcPr>
            <w:tcW w:w="7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10,218</w:t>
            </w:r>
          </w:p>
        </w:tc>
      </w:tr>
      <w:tr>
        <w:trPr>
          <w:trHeight w:val="203"/>
        </w:trPr>
        <w:tc>
          <w:tcPr>
            <w:tcW w:w="7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Costs and expenses</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9,781</w:t>
            </w:r>
          </w:p>
        </w:tc>
        <w:tc>
          <w:tcPr>
            <w:tcW w:w="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10,451</w:t>
            </w:r>
          </w:p>
        </w:tc>
        <w:tc>
          <w:tcPr>
            <w:tcW w:w="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9,565</w:t>
            </w:r>
          </w:p>
        </w:tc>
      </w:tr>
      <w:tr>
        <w:trPr>
          <w:trHeight w:val="210"/>
        </w:trPr>
        <w:tc>
          <w:tcPr>
            <w:tcW w:w="76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03"/>
        </w:trPr>
        <w:tc>
          <w:tcPr>
            <w:tcW w:w="7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287</w:t>
            </w:r>
          </w:p>
        </w:tc>
        <w:tc>
          <w:tcPr>
            <w:tcW w:w="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r>
      <w:tr>
        <w:trPr>
          <w:trHeight w:val="210"/>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5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452</w:t>
            </w:r>
          </w:p>
        </w:tc>
        <w:tc>
          <w:tcPr>
            <w:tcW w:w="5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401</w:t>
            </w:r>
          </w:p>
        </w:tc>
      </w:tr>
      <w:tr>
        <w:trPr>
          <w:trHeight w:val="203"/>
        </w:trPr>
        <w:tc>
          <w:tcPr>
            <w:tcW w:w="7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210"/>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Fuji Xerox</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5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5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r>
      <w:tr>
        <w:trPr>
          <w:trHeight w:val="20"/>
        </w:trPr>
        <w:tc>
          <w:tcPr>
            <w:tcW w:w="20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49</w:t>
      </w:r>
    </w:p>
    <w:p>
      <w:pPr>
        <w:sectPr>
          <w:pgSz w:w="11900" w:h="16838" w:orient="portrait"/>
          <w:cols w:equalWidth="0" w:num="1">
            <w:col w:w="11420"/>
          </w:cols>
          <w:pgMar w:left="240" w:top="254"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gridSpan w:val="3"/>
          </w:tcPr>
          <w:p>
            <w:pPr>
              <w:spacing w:after="0" w:line="202" w:lineRule="exact"/>
              <w:rPr>
                <w:sz w:val="20"/>
                <w:szCs w:val="20"/>
                <w:color w:val="auto"/>
              </w:rPr>
            </w:pPr>
            <w:r>
              <w:rPr>
                <w:rFonts w:ascii="Arial" w:cs="Arial" w:eastAsia="Arial" w:hAnsi="Arial"/>
                <w:sz w:val="18"/>
                <w:szCs w:val="18"/>
                <w:color w:val="auto"/>
              </w:rPr>
              <w:t>Assets:</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4,111</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4,734</w:t>
            </w:r>
          </w:p>
        </w:tc>
        <w:tc>
          <w:tcPr>
            <w:tcW w:w="3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4,242</w:t>
            </w:r>
          </w:p>
        </w:tc>
        <w:tc>
          <w:tcPr>
            <w:tcW w:w="0" w:type="dxa"/>
            <w:vAlign w:val="bottom"/>
          </w:tcPr>
          <w:p>
            <w:pPr>
              <w:spacing w:after="0"/>
              <w:rPr>
                <w:sz w:val="1"/>
                <w:szCs w:val="1"/>
                <w:color w:val="auto"/>
              </w:rPr>
            </w:pPr>
          </w:p>
        </w:tc>
      </w:tr>
      <w:tr>
        <w:trPr>
          <w:trHeight w:val="203"/>
        </w:trPr>
        <w:tc>
          <w:tcPr>
            <w:tcW w:w="8080" w:type="dxa"/>
            <w:vAlign w:val="bottom"/>
            <w:gridSpan w:val="3"/>
          </w:tcPr>
          <w:p>
            <w:pPr>
              <w:spacing w:after="0" w:line="202" w:lineRule="exact"/>
              <w:rPr>
                <w:sz w:val="20"/>
                <w:szCs w:val="20"/>
                <w:color w:val="auto"/>
              </w:rPr>
            </w:pPr>
            <w:r>
              <w:rPr>
                <w:rFonts w:ascii="Arial" w:cs="Arial" w:eastAsia="Arial" w:hAnsi="Arial"/>
                <w:sz w:val="18"/>
                <w:szCs w:val="18"/>
                <w:color w:val="auto"/>
              </w:rPr>
              <w:t>Long-term assets</w:t>
            </w:r>
          </w:p>
        </w:tc>
        <w:tc>
          <w:tcPr>
            <w:tcW w:w="2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5,457</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5,470</w:t>
            </w:r>
          </w:p>
        </w:tc>
        <w:tc>
          <w:tcPr>
            <w:tcW w:w="3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9,568</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10,204</w:t>
            </w:r>
          </w:p>
        </w:tc>
        <w:tc>
          <w:tcPr>
            <w:tcW w:w="3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8,881</w:t>
            </w: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Liabilities and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2,643</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3,534</w:t>
            </w:r>
          </w:p>
        </w:tc>
        <w:tc>
          <w:tcPr>
            <w:tcW w:w="3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03"/>
        </w:trPr>
        <w:tc>
          <w:tcPr>
            <w:tcW w:w="8080" w:type="dxa"/>
            <w:vAlign w:val="bottom"/>
            <w:gridSpan w:val="3"/>
          </w:tcPr>
          <w:p>
            <w:pPr>
              <w:spacing w:after="0" w:line="202" w:lineRule="exact"/>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1,368</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996</w:t>
            </w:r>
          </w:p>
        </w:tc>
        <w:tc>
          <w:tcPr>
            <w:tcW w:w="3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1,104</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1,095</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3"/>
        </w:trPr>
        <w:tc>
          <w:tcPr>
            <w:tcW w:w="8080" w:type="dxa"/>
            <w:vAlign w:val="bottom"/>
            <w:gridSpan w:val="3"/>
          </w:tcPr>
          <w:p>
            <w:pPr>
              <w:spacing w:after="0" w:line="202" w:lineRule="exact"/>
              <w:rPr>
                <w:sz w:val="20"/>
                <w:szCs w:val="20"/>
                <w:color w:val="auto"/>
              </w:rPr>
            </w:pPr>
            <w:r>
              <w:rPr>
                <w:rFonts w:ascii="Arial" w:cs="Arial" w:eastAsia="Arial" w:hAnsi="Arial"/>
                <w:sz w:val="18"/>
                <w:szCs w:val="18"/>
                <w:color w:val="auto"/>
              </w:rPr>
              <w:t>Fuji Xerox Shareholders’ equity</w:t>
            </w:r>
          </w:p>
        </w:tc>
        <w:tc>
          <w:tcPr>
            <w:tcW w:w="28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4,434</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4,556</w:t>
            </w:r>
          </w:p>
        </w:tc>
        <w:tc>
          <w:tcPr>
            <w:tcW w:w="3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80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9,568</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10,204</w:t>
            </w:r>
          </w:p>
        </w:tc>
        <w:tc>
          <w:tcPr>
            <w:tcW w:w="4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1269BC"/>
        </w:rPr>
        <w:t>Other Transactions with Fuji Xerox</w:t>
      </w:r>
    </w:p>
    <w:p>
      <w:pPr>
        <w:spacing w:after="0" w:line="18"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 xml:space="preserve">We receive </w:t>
      </w:r>
      <w:r>
        <w:rPr>
          <w:rFonts w:ascii="Arial" w:cs="Arial" w:eastAsia="Arial" w:hAnsi="Arial"/>
          <w:sz w:val="18"/>
          <w:szCs w:val="18"/>
          <w:b w:val="1"/>
          <w:bCs w:val="1"/>
          <w:color w:val="auto"/>
        </w:rPr>
        <w:t>dividends</w:t>
      </w:r>
      <w:r>
        <w:rPr>
          <w:rFonts w:ascii="Arial" w:cs="Arial" w:eastAsia="Arial" w:hAnsi="Arial"/>
          <w:sz w:val="18"/>
          <w:szCs w:val="18"/>
          <w:color w:val="auto"/>
        </w:rPr>
        <w:t xml:space="preserve"> from Fuji Xerox which are reflected as a reduction in our investment. Additionally, we have a Technology Agreement with Fuji Xerox whereby we receive </w:t>
      </w:r>
      <w:r>
        <w:rPr>
          <w:rFonts w:ascii="Arial" w:cs="Arial" w:eastAsia="Arial" w:hAnsi="Arial"/>
          <w:sz w:val="18"/>
          <w:szCs w:val="18"/>
          <w:b w:val="1"/>
          <w:bCs w:val="1"/>
          <w:color w:val="auto"/>
        </w:rPr>
        <w:t>royalty</w:t>
      </w:r>
      <w:r>
        <w:rPr>
          <w:rFonts w:ascii="Arial" w:cs="Arial" w:eastAsia="Arial" w:hAnsi="Arial"/>
          <w:sz w:val="18"/>
          <w:szCs w:val="18"/>
          <w:color w:val="auto"/>
        </w:rPr>
        <w:t xml:space="preserve"> payments for their use of our Xerox brand trademark, as well as rights to access their patent portfolio in exchange for access to our patent portfolio. These payments are included in Service, outsourcing and rental revenues in the Consolidated Statements of Income. We also have arrangements with Fuji Xerox whereby we </w:t>
      </w:r>
      <w:r>
        <w:rPr>
          <w:rFonts w:ascii="Arial" w:cs="Arial" w:eastAsia="Arial" w:hAnsi="Arial"/>
          <w:sz w:val="18"/>
          <w:szCs w:val="18"/>
          <w:b w:val="1"/>
          <w:bCs w:val="1"/>
          <w:color w:val="auto"/>
        </w:rPr>
        <w:t>purchase inventory</w:t>
      </w:r>
      <w:r>
        <w:rPr>
          <w:rFonts w:ascii="Arial" w:cs="Arial" w:eastAsia="Arial" w:hAnsi="Arial"/>
          <w:sz w:val="18"/>
          <w:szCs w:val="18"/>
          <w:color w:val="auto"/>
        </w:rPr>
        <w:t xml:space="preserve"> from and </w:t>
      </w:r>
      <w:r>
        <w:rPr>
          <w:rFonts w:ascii="Arial" w:cs="Arial" w:eastAsia="Arial" w:hAnsi="Arial"/>
          <w:sz w:val="18"/>
          <w:szCs w:val="18"/>
          <w:b w:val="1"/>
          <w:bCs w:val="1"/>
          <w:color w:val="auto"/>
        </w:rPr>
        <w:t>sell inventory</w:t>
      </w:r>
      <w:r>
        <w:rPr>
          <w:rFonts w:ascii="Arial" w:cs="Arial" w:eastAsia="Arial" w:hAnsi="Arial"/>
          <w:sz w:val="18"/>
          <w:szCs w:val="18"/>
          <w:color w:val="auto"/>
        </w:rPr>
        <w:t xml:space="preserve"> to Fuji Xerox. Pricing of the transactions under these arrangements is based upon terms the Company believes to be conducted at arm’s length. Our purchase commitments with Fuji Xerox are in the normal course of business and typically have a lead time of three months. In addition, we pay Fuji Xerox and they pay us for unique </w:t>
      </w:r>
      <w:r>
        <w:rPr>
          <w:rFonts w:ascii="Arial" w:cs="Arial" w:eastAsia="Arial" w:hAnsi="Arial"/>
          <w:sz w:val="18"/>
          <w:szCs w:val="18"/>
          <w:b w:val="1"/>
          <w:bCs w:val="1"/>
          <w:color w:val="auto"/>
        </w:rPr>
        <w:t>research and development</w:t>
      </w:r>
      <w:r>
        <w:rPr>
          <w:rFonts w:ascii="Arial" w:cs="Arial" w:eastAsia="Arial" w:hAnsi="Arial"/>
          <w:sz w:val="18"/>
          <w:szCs w:val="18"/>
          <w:color w:val="auto"/>
        </w:rPr>
        <w:t xml:space="preserve">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Other transactions with Fuji Xerox for the three years ended December 31, 2009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2007</w:t>
            </w: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Dividends received from Fuji Xerox</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1360" w:type="dxa"/>
            <w:vAlign w:val="bottom"/>
            <w:gridSpan w:val="2"/>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Royalty revenue earned</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3"/>
              </w:rPr>
              <w:t>108</w:t>
            </w: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 purchases from Fuji Xerox</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1,590</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2,150</w:t>
            </w:r>
          </w:p>
        </w:tc>
        <w:tc>
          <w:tcPr>
            <w:tcW w:w="1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1,946</w:t>
            </w: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Inventory sales to Fuji Xerox</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3"/>
              </w:rPr>
              <w:t>186</w:t>
            </w: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R&amp;D payments received from Fuji Xerox</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r>
      <w:tr>
        <w:trPr>
          <w:trHeight w:val="214"/>
        </w:trPr>
        <w:tc>
          <w:tcPr>
            <w:tcW w:w="7120" w:type="dxa"/>
            <w:vAlign w:val="bottom"/>
          </w:tcPr>
          <w:p>
            <w:pPr>
              <w:spacing w:after="0"/>
              <w:rPr>
                <w:sz w:val="20"/>
                <w:szCs w:val="20"/>
                <w:color w:val="auto"/>
              </w:rPr>
            </w:pPr>
            <w:r>
              <w:rPr>
                <w:rFonts w:ascii="Arial" w:cs="Arial" w:eastAsia="Arial" w:hAnsi="Arial"/>
                <w:sz w:val="18"/>
                <w:szCs w:val="18"/>
                <w:color w:val="auto"/>
              </w:rPr>
              <w:t>R&amp;D payments paid to Fuji Xerox</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65"/>
        </w:trPr>
        <w:tc>
          <w:tcPr>
            <w:tcW w:w="8020" w:type="dxa"/>
            <w:vAlign w:val="bottom"/>
            <w:gridSpan w:val="3"/>
          </w:tcPr>
          <w:p>
            <w:pPr>
              <w:spacing w:after="0"/>
              <w:rPr>
                <w:sz w:val="20"/>
                <w:szCs w:val="20"/>
                <w:color w:val="auto"/>
              </w:rPr>
            </w:pPr>
            <w:r>
              <w:rPr>
                <w:rFonts w:ascii="Arial" w:cs="Arial" w:eastAsia="Arial" w:hAnsi="Arial"/>
                <w:sz w:val="18"/>
                <w:szCs w:val="18"/>
                <w:color w:val="auto"/>
              </w:rPr>
              <w:t>As of December 31, 2009 and 2008, amounts due to Fuji Xerox were $114 and $194, respectively.</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7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color w:val="1269BC"/>
                <w:w w:val="97"/>
              </w:rPr>
              <w:t>Xerox 2009 Annual Report</w:t>
            </w:r>
          </w:p>
        </w:tc>
        <w:tc>
          <w:tcPr>
            <w:tcW w:w="340" w:type="dxa"/>
            <w:vAlign w:val="bottom"/>
          </w:tcPr>
          <w:p>
            <w:pPr>
              <w:jc w:val="right"/>
              <w:spacing w:after="0"/>
              <w:rPr>
                <w:sz w:val="20"/>
                <w:szCs w:val="20"/>
                <w:color w:val="auto"/>
              </w:rPr>
            </w:pPr>
            <w:r>
              <w:rPr>
                <w:rFonts w:ascii="Arial" w:cs="Arial" w:eastAsia="Arial" w:hAnsi="Arial"/>
                <w:sz w:val="18"/>
                <w:szCs w:val="18"/>
                <w:color w:val="1269BC"/>
              </w:rPr>
              <w:t>50</w:t>
            </w:r>
          </w:p>
        </w:tc>
      </w:tr>
    </w:tbl>
    <w:p>
      <w:pPr>
        <w:sectPr>
          <w:pgSz w:w="11900" w:h="16838" w:orient="portrait"/>
          <w:cols w:equalWidth="0" w:num="1">
            <w:col w:w="11420"/>
          </w:cols>
          <w:pgMar w:left="240" w:top="257" w:right="239" w:bottom="1440" w:gutter="0" w:footer="0" w:header="0"/>
        </w:sectPr>
      </w:pPr>
    </w:p>
    <w:bookmarkStart w:id="133" w:name="page134"/>
    <w:bookmarkEnd w:id="133"/>
    <w:p>
      <w:pPr>
        <w:spacing w:after="0"/>
        <w:rPr>
          <w:sz w:val="20"/>
          <w:szCs w:val="20"/>
          <w:color w:val="auto"/>
        </w:rPr>
      </w:pPr>
      <w:r>
        <w:rPr>
          <w:rFonts w:ascii="Arial" w:cs="Arial" w:eastAsia="Arial" w:hAnsi="Arial"/>
          <w:sz w:val="24"/>
          <w:szCs w:val="24"/>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8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Goodwill</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the carrying amount of goodwill, by reportable segment, for the three years ended December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Production</w:t>
            </w:r>
          </w:p>
        </w:tc>
        <w:tc>
          <w:tcPr>
            <w:tcW w:w="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Office</w:t>
            </w:r>
          </w:p>
        </w:tc>
        <w:tc>
          <w:tcPr>
            <w:tcW w:w="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 xml:space="preserve">Balance at December 31, 2006 </w:t>
            </w:r>
            <w:r>
              <w:rPr>
                <w:rFonts w:ascii="Arial" w:cs="Arial" w:eastAsia="Arial" w:hAnsi="Arial"/>
                <w:sz w:val="22"/>
                <w:szCs w:val="22"/>
                <w:color w:val="auto"/>
                <w:vertAlign w:val="superscript"/>
              </w:rPr>
              <w:t>(1)</w:t>
            </w:r>
          </w:p>
        </w:tc>
        <w:tc>
          <w:tcPr>
            <w:tcW w:w="38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rPr>
              <w:t>892</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986</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3"/>
              <w:spacing w:after="0" w:line="196" w:lineRule="exact"/>
              <w:rPr>
                <w:sz w:val="20"/>
                <w:szCs w:val="20"/>
                <w:color w:val="auto"/>
              </w:rPr>
            </w:pPr>
            <w:r>
              <w:rPr>
                <w:rFonts w:ascii="Arial" w:cs="Arial" w:eastAsia="Arial" w:hAnsi="Arial"/>
                <w:sz w:val="18"/>
                <w:szCs w:val="18"/>
                <w:b w:val="1"/>
                <w:bCs w:val="1"/>
                <w:color w:val="auto"/>
              </w:rPr>
              <w:t>146</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3"/>
              <w:spacing w:after="0" w:line="196" w:lineRule="exact"/>
              <w:rPr>
                <w:sz w:val="20"/>
                <w:szCs w:val="20"/>
                <w:color w:val="auto"/>
              </w:rPr>
            </w:pPr>
            <w:r>
              <w:rPr>
                <w:rFonts w:ascii="Arial" w:cs="Arial" w:eastAsia="Arial" w:hAnsi="Arial"/>
                <w:sz w:val="18"/>
                <w:szCs w:val="18"/>
                <w:b w:val="1"/>
                <w:bCs w:val="1"/>
                <w:color w:val="auto"/>
              </w:rPr>
              <w:t>2,024</w:t>
            </w: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38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GIS</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1,218</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105</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1,323</w:t>
            </w: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Acquisition of Advectis, Inc.</w:t>
            </w:r>
          </w:p>
        </w:tc>
        <w:tc>
          <w:tcPr>
            <w:tcW w:w="380" w:type="dxa"/>
            <w:vAlign w:val="bottom"/>
          </w:tcPr>
          <w:p>
            <w:pPr>
              <w:spacing w:after="0"/>
              <w:rPr>
                <w:sz w:val="17"/>
                <w:szCs w:val="17"/>
                <w:color w:val="auto"/>
              </w:rPr>
            </w:pPr>
          </w:p>
        </w:tc>
        <w:tc>
          <w:tcPr>
            <w:tcW w:w="6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GIS Acquisitions</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33</w:t>
            </w:r>
          </w:p>
        </w:tc>
      </w:tr>
      <w:tr>
        <w:trPr>
          <w:trHeight w:val="210"/>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4</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2007</w:t>
            </w:r>
          </w:p>
        </w:tc>
        <w:tc>
          <w:tcPr>
            <w:tcW w:w="3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913</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2,251</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284</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3,448</w:t>
            </w: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3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Veenman B.V.</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44</w:t>
            </w: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GIS acquisitions</w:t>
            </w:r>
          </w:p>
        </w:tc>
        <w:tc>
          <w:tcPr>
            <w:tcW w:w="380" w:type="dxa"/>
            <w:vAlign w:val="bottom"/>
          </w:tcPr>
          <w:p>
            <w:pPr>
              <w:spacing w:after="0"/>
              <w:rPr>
                <w:sz w:val="17"/>
                <w:szCs w:val="17"/>
                <w:color w:val="auto"/>
              </w:rPr>
            </w:pPr>
          </w:p>
        </w:tc>
        <w:tc>
          <w:tcPr>
            <w:tcW w:w="6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73</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Purchase Price allocation adjustment – GIS </w:t>
            </w:r>
            <w:r>
              <w:rPr>
                <w:rFonts w:ascii="Arial" w:cs="Arial" w:eastAsia="Arial" w:hAnsi="Arial"/>
                <w:sz w:val="22"/>
                <w:szCs w:val="22"/>
                <w:color w:val="auto"/>
                <w:vertAlign w:val="superscript"/>
              </w:rPr>
              <w:t>(2)</w:t>
            </w:r>
          </w:p>
        </w:tc>
        <w:tc>
          <w:tcPr>
            <w:tcW w:w="3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5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5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12</w:t>
            </w: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2008</w:t>
            </w:r>
          </w:p>
        </w:tc>
        <w:tc>
          <w:tcPr>
            <w:tcW w:w="380" w:type="dxa"/>
            <w:vAlign w:val="bottom"/>
          </w:tcPr>
          <w:p>
            <w:pPr>
              <w:jc w:val="right"/>
              <w:ind w:right="96"/>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680</w:t>
            </w: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2,327</w:t>
            </w: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b w:val="1"/>
                <w:bCs w:val="1"/>
                <w:color w:val="auto"/>
              </w:rPr>
              <w:t>175</w:t>
            </w: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b w:val="1"/>
                <w:bCs w:val="1"/>
                <w:color w:val="auto"/>
              </w:rPr>
              <w:t>3,182</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71</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122</w:t>
            </w:r>
          </w:p>
        </w:tc>
      </w:tr>
      <w:tr>
        <w:trPr>
          <w:trHeight w:val="210"/>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GIS acquisitions</w:t>
            </w: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w:t>
            </w:r>
          </w:p>
        </w:tc>
        <w:tc>
          <w:tcPr>
            <w:tcW w:w="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118</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2009</w:t>
            </w:r>
          </w:p>
        </w:tc>
        <w:tc>
          <w:tcPr>
            <w:tcW w:w="3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751</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2,495</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176</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3,422</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580" w:hanging="572"/>
        <w:spacing w:after="0"/>
        <w:tabs>
          <w:tab w:leader="none" w:pos="580" w:val="left"/>
        </w:tabs>
        <w:numPr>
          <w:ilvl w:val="0"/>
          <w:numId w:val="105"/>
        </w:numPr>
        <w:rPr>
          <w:rFonts w:ascii="Arial" w:cs="Arial" w:eastAsia="Arial" w:hAnsi="Arial"/>
          <w:sz w:val="22"/>
          <w:szCs w:val="22"/>
          <w:color w:val="auto"/>
          <w:vertAlign w:val="superscript"/>
        </w:rPr>
      </w:pPr>
      <w:r>
        <w:rPr>
          <w:rFonts w:ascii="Arial" w:cs="Arial" w:eastAsia="Arial" w:hAnsi="Arial"/>
          <w:sz w:val="14"/>
          <w:szCs w:val="14"/>
          <w:color w:val="auto"/>
        </w:rPr>
        <w:t>Includes adjustment of $110 from the Other segment to the Office segment related to the goodwill associated with our 1998 acquisition of XL Connect Solutions, Inc.</w:t>
      </w:r>
    </w:p>
    <w:p>
      <w:pPr>
        <w:ind w:left="580" w:right="620" w:hanging="572"/>
        <w:spacing w:after="0" w:line="180" w:lineRule="auto"/>
        <w:tabs>
          <w:tab w:leader="none" w:pos="580" w:val="left"/>
        </w:tabs>
        <w:numPr>
          <w:ilvl w:val="0"/>
          <w:numId w:val="105"/>
        </w:numPr>
        <w:rPr>
          <w:rFonts w:ascii="Arial" w:cs="Arial" w:eastAsia="Arial" w:hAnsi="Arial"/>
          <w:sz w:val="22"/>
          <w:szCs w:val="22"/>
          <w:color w:val="auto"/>
          <w:vertAlign w:val="superscript"/>
        </w:rPr>
      </w:pPr>
      <w:r>
        <w:rPr>
          <w:rFonts w:ascii="Arial" w:cs="Arial" w:eastAsia="Arial" w:hAnsi="Arial"/>
          <w:sz w:val="14"/>
          <w:szCs w:val="14"/>
          <w:color w:val="auto"/>
        </w:rPr>
        <w:t>In 2008, we finalized the GIS purchase price allocation. As a result, the $108 of goodwill reflected in our Other segment in 2007 was reallocated to our Office segment. This adjustment aligned goodwill to the reporting unit benefiting from the synergies of the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28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Intangible Assets, Net</w:t>
      </w:r>
    </w:p>
    <w:p>
      <w:pPr>
        <w:spacing w:after="0" w:line="18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Intangible assets primarily relate to the Office operating segment. Intangible assets were comprised of the following as of December 31, 2009 and 2008: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December 31, 2009</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December 31, 2008</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Weighted</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1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Average</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center"/>
              <w:ind w:right="116"/>
              <w:spacing w:after="0" w:line="152" w:lineRule="exact"/>
              <w:rPr>
                <w:sz w:val="20"/>
                <w:szCs w:val="20"/>
                <w:color w:val="auto"/>
              </w:rPr>
            </w:pPr>
            <w:r>
              <w:rPr>
                <w:rFonts w:ascii="Arial" w:cs="Arial" w:eastAsia="Arial" w:hAnsi="Arial"/>
                <w:sz w:val="14"/>
                <w:szCs w:val="14"/>
                <w:b w:val="1"/>
                <w:bCs w:val="1"/>
                <w:color w:val="auto"/>
                <w:w w:val="98"/>
              </w:rPr>
              <w:t>Gross</w:t>
            </w: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center"/>
              <w:ind w:right="116"/>
              <w:spacing w:after="0" w:line="152" w:lineRule="exact"/>
              <w:rPr>
                <w:sz w:val="20"/>
                <w:szCs w:val="20"/>
                <w:color w:val="auto"/>
              </w:rPr>
            </w:pPr>
            <w:r>
              <w:rPr>
                <w:rFonts w:ascii="Arial" w:cs="Arial" w:eastAsia="Arial" w:hAnsi="Arial"/>
                <w:sz w:val="14"/>
                <w:szCs w:val="14"/>
                <w:b w:val="1"/>
                <w:bCs w:val="1"/>
                <w:color w:val="auto"/>
                <w:w w:val="93"/>
              </w:rPr>
              <w:t>Gross</w:t>
            </w: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12"/>
                <w:szCs w:val="12"/>
                <w:color w:val="auto"/>
              </w:rPr>
            </w:pPr>
          </w:p>
        </w:tc>
        <w:tc>
          <w:tcPr>
            <w:tcW w:w="15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240" w:type="dxa"/>
            <w:vAlign w:val="bottom"/>
          </w:tcPr>
          <w:p>
            <w:pPr>
              <w:spacing w:after="0"/>
              <w:rPr>
                <w:sz w:val="12"/>
                <w:szCs w:val="12"/>
                <w:color w:val="auto"/>
              </w:rPr>
            </w:pPr>
          </w:p>
        </w:tc>
        <w:tc>
          <w:tcPr>
            <w:tcW w:w="560" w:type="dxa"/>
            <w:vAlign w:val="bottom"/>
          </w:tcPr>
          <w:p>
            <w:pPr>
              <w:jc w:val="right"/>
              <w:ind w:right="216"/>
              <w:spacing w:after="0" w:line="149" w:lineRule="exact"/>
              <w:rPr>
                <w:sz w:val="20"/>
                <w:szCs w:val="20"/>
                <w:color w:val="auto"/>
              </w:rPr>
            </w:pPr>
            <w:r>
              <w:rPr>
                <w:rFonts w:ascii="Arial" w:cs="Arial" w:eastAsia="Arial" w:hAnsi="Arial"/>
                <w:sz w:val="14"/>
                <w:szCs w:val="14"/>
                <w:b w:val="1"/>
                <w:bCs w:val="1"/>
                <w:color w:val="auto"/>
              </w:rPr>
              <w:t>Net</w:t>
            </w:r>
          </w:p>
        </w:tc>
        <w:tc>
          <w:tcPr>
            <w:tcW w:w="3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12"/>
                <w:szCs w:val="12"/>
                <w:color w:val="auto"/>
              </w:rPr>
            </w:pPr>
          </w:p>
        </w:tc>
        <w:tc>
          <w:tcPr>
            <w:tcW w:w="14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260" w:type="dxa"/>
            <w:vAlign w:val="bottom"/>
          </w:tcPr>
          <w:p>
            <w:pPr>
              <w:spacing w:after="0"/>
              <w:rPr>
                <w:sz w:val="12"/>
                <w:szCs w:val="12"/>
                <w:color w:val="auto"/>
              </w:rPr>
            </w:pPr>
          </w:p>
        </w:tc>
        <w:tc>
          <w:tcPr>
            <w:tcW w:w="560" w:type="dxa"/>
            <w:vAlign w:val="bottom"/>
          </w:tcPr>
          <w:p>
            <w:pPr>
              <w:jc w:val="right"/>
              <w:ind w:right="216"/>
              <w:spacing w:after="0" w:line="149" w:lineRule="exact"/>
              <w:rPr>
                <w:sz w:val="20"/>
                <w:szCs w:val="20"/>
                <w:color w:val="auto"/>
              </w:rPr>
            </w:pPr>
            <w:r>
              <w:rPr>
                <w:rFonts w:ascii="Arial" w:cs="Arial" w:eastAsia="Arial" w:hAnsi="Arial"/>
                <w:sz w:val="14"/>
                <w:szCs w:val="14"/>
                <w:b w:val="1"/>
                <w:bCs w:val="1"/>
                <w:color w:val="auto"/>
              </w:rPr>
              <w:t>Net</w:t>
            </w:r>
          </w:p>
        </w:tc>
      </w:tr>
      <w:tr>
        <w:trPr>
          <w:trHeight w:val="176"/>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36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38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Amount</w:t>
            </w:r>
          </w:p>
        </w:tc>
      </w:tr>
      <w:tr>
        <w:trPr>
          <w:trHeight w:val="196"/>
        </w:trPr>
        <w:tc>
          <w:tcPr>
            <w:tcW w:w="20" w:type="dxa"/>
            <w:vAlign w:val="bottom"/>
          </w:tcPr>
          <w:p>
            <w:pPr>
              <w:spacing w:after="0"/>
              <w:rPr>
                <w:sz w:val="17"/>
                <w:szCs w:val="17"/>
                <w:color w:val="auto"/>
              </w:rPr>
            </w:pPr>
          </w:p>
        </w:tc>
        <w:tc>
          <w:tcPr>
            <w:tcW w:w="2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Customer base</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 years</w:t>
            </w:r>
          </w:p>
        </w:tc>
        <w:tc>
          <w:tcPr>
            <w:tcW w:w="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525</w:t>
            </w:r>
          </w:p>
        </w:tc>
        <w:tc>
          <w:tcPr>
            <w:tcW w:w="860" w:type="dxa"/>
            <w:vAlign w:val="bottom"/>
            <w:gridSpan w:val="2"/>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327</w:t>
            </w: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492</w:t>
            </w:r>
          </w:p>
        </w:tc>
        <w:tc>
          <w:tcPr>
            <w:tcW w:w="860" w:type="dxa"/>
            <w:vAlign w:val="bottom"/>
            <w:gridSpan w:val="2"/>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337</w:t>
            </w:r>
          </w:p>
        </w:tc>
      </w:tr>
      <w:tr>
        <w:trPr>
          <w:trHeight w:val="203"/>
        </w:trPr>
        <w:tc>
          <w:tcPr>
            <w:tcW w:w="2560" w:type="dxa"/>
            <w:vAlign w:val="bottom"/>
            <w:gridSpan w:val="2"/>
          </w:tcPr>
          <w:p>
            <w:pPr>
              <w:spacing w:after="0" w:line="202" w:lineRule="exact"/>
              <w:rPr>
                <w:sz w:val="20"/>
                <w:szCs w:val="20"/>
                <w:color w:val="auto"/>
              </w:rPr>
            </w:pPr>
            <w:r>
              <w:rPr>
                <w:rFonts w:ascii="Arial" w:cs="Arial" w:eastAsia="Arial" w:hAnsi="Arial"/>
                <w:sz w:val="18"/>
                <w:szCs w:val="18"/>
                <w:color w:val="auto"/>
              </w:rPr>
              <w:t>Distribution network</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 years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r>
      <w:tr>
        <w:trPr>
          <w:trHeight w:val="203"/>
        </w:trPr>
        <w:tc>
          <w:tcPr>
            <w:tcW w:w="20" w:type="dxa"/>
            <w:vAlign w:val="bottom"/>
          </w:tcPr>
          <w:p>
            <w:pPr>
              <w:spacing w:after="0"/>
              <w:rPr>
                <w:sz w:val="17"/>
                <w:szCs w:val="17"/>
                <w:color w:val="auto"/>
              </w:rPr>
            </w:pPr>
          </w:p>
        </w:tc>
        <w:tc>
          <w:tcPr>
            <w:tcW w:w="2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Trademarks</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 years</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r>
      <w:tr>
        <w:trPr>
          <w:trHeight w:val="206"/>
        </w:trPr>
        <w:tc>
          <w:tcPr>
            <w:tcW w:w="2560" w:type="dxa"/>
            <w:vAlign w:val="bottom"/>
            <w:gridSpan w:val="2"/>
          </w:tcPr>
          <w:p>
            <w:pPr>
              <w:spacing w:after="0" w:line="206" w:lineRule="exact"/>
              <w:rPr>
                <w:sz w:val="20"/>
                <w:szCs w:val="20"/>
                <w:color w:val="auto"/>
              </w:rPr>
            </w:pPr>
            <w:r>
              <w:rPr>
                <w:rFonts w:ascii="Arial" w:cs="Arial" w:eastAsia="Arial" w:hAnsi="Arial"/>
                <w:sz w:val="18"/>
                <w:szCs w:val="18"/>
                <w:color w:val="auto"/>
              </w:rPr>
              <w:t>Technology, patents and</w:t>
            </w: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2540" w:type="dxa"/>
            <w:vAlign w:val="bottom"/>
          </w:tcPr>
          <w:p>
            <w:pPr>
              <w:ind w:left="200"/>
              <w:spacing w:after="0" w:line="200" w:lineRule="exact"/>
              <w:rPr>
                <w:sz w:val="20"/>
                <w:szCs w:val="20"/>
                <w:color w:val="auto"/>
              </w:rPr>
            </w:pPr>
            <w:r>
              <w:rPr>
                <w:rFonts w:ascii="Arial" w:cs="Arial" w:eastAsia="Arial" w:hAnsi="Arial"/>
                <w:sz w:val="18"/>
                <w:szCs w:val="18"/>
                <w:color w:val="auto"/>
              </w:rPr>
              <w:t>non-compete</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6 years</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40</w:t>
            </w:r>
          </w:p>
        </w:tc>
        <w:tc>
          <w:tcPr>
            <w:tcW w:w="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28</w:t>
            </w:r>
          </w:p>
        </w:tc>
        <w:tc>
          <w:tcPr>
            <w:tcW w:w="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w:t>
            </w: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40</w:t>
            </w:r>
          </w:p>
        </w:tc>
        <w:tc>
          <w:tcPr>
            <w:tcW w:w="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w:t>
            </w:r>
          </w:p>
        </w:tc>
      </w:tr>
      <w:tr>
        <w:trPr>
          <w:trHeight w:val="203"/>
        </w:trPr>
        <w:tc>
          <w:tcPr>
            <w:tcW w:w="20" w:type="dxa"/>
            <w:vAlign w:val="bottom"/>
          </w:tcPr>
          <w:p>
            <w:pPr>
              <w:spacing w:after="0"/>
              <w:rPr>
                <w:sz w:val="17"/>
                <w:szCs w:val="17"/>
                <w:color w:val="auto"/>
              </w:rPr>
            </w:pPr>
          </w:p>
        </w:tc>
        <w:tc>
          <w:tcPr>
            <w:tcW w:w="2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Intangible Assets</w:t>
            </w:r>
          </w:p>
        </w:tc>
        <w:tc>
          <w:tcPr>
            <w:tcW w:w="1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898</w:t>
            </w:r>
          </w:p>
        </w:tc>
        <w:tc>
          <w:tcPr>
            <w:tcW w:w="860" w:type="dxa"/>
            <w:vAlign w:val="bottom"/>
            <w:gridSpan w:val="2"/>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300</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598</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846</w:t>
            </w:r>
          </w:p>
        </w:tc>
        <w:tc>
          <w:tcPr>
            <w:tcW w:w="860" w:type="dxa"/>
            <w:vAlign w:val="bottom"/>
            <w:gridSpan w:val="2"/>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236</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610</w:t>
            </w: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Amortization expense related to intangible assets was $64, $58, and $46 for the years ended December 31, 2009, 2008 and 2007, respectively, and excluding the impact of additional acquisitions, is expected to approximate $64 annually from 2010 through 2012 and $55 annually through 2014. Amortization expense is primarily recorded in Other expenses, net with the exception of amortization expense associated with licensed technology, which is recorded in Cost of sales.</w:t>
      </w:r>
    </w:p>
    <w:p>
      <w:pPr>
        <w:spacing w:after="0" w:line="141"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51</w:t>
      </w:r>
    </w:p>
    <w:p>
      <w:pPr>
        <w:sectPr>
          <w:pgSz w:w="11900" w:h="16838" w:orient="portrait"/>
          <w:cols w:equalWidth="0" w:num="1">
            <w:col w:w="11420"/>
          </w:cols>
          <w:pgMar w:left="240" w:top="254" w:right="239" w:bottom="1440" w:gutter="0" w:footer="0" w:header="0"/>
        </w:sectPr>
      </w:pPr>
    </w:p>
    <w:bookmarkStart w:id="134" w:name="page135"/>
    <w:bookmarkEnd w:id="134"/>
    <w:p>
      <w:pPr>
        <w:spacing w:after="0"/>
        <w:rPr>
          <w:sz w:val="20"/>
          <w:szCs w:val="20"/>
          <w:color w:val="auto"/>
        </w:rPr>
      </w:pPr>
      <w:r>
        <w:rPr>
          <w:rFonts w:ascii="Arial" w:cs="Arial" w:eastAsia="Arial" w:hAnsi="Arial"/>
          <w:sz w:val="24"/>
          <w:szCs w:val="24"/>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9 – Restructuring and Asset Impairment Charges</w:t>
      </w:r>
    </w:p>
    <w:p>
      <w:pPr>
        <w:spacing w:after="0" w:line="207"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The net restructuring and asset impairment (credits) charges in the Consolidated Statements of Income totaled $(8), $429 and $(6) in 2009, 2008 and 2007, respectively. Detailed information related to restructuring program activity during the three years ended December 31, 2009 is outlined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5"/>
              </w:rPr>
              <w:t>Lease</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3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00" w:type="dxa"/>
            <w:vAlign w:val="bottom"/>
            <w:gridSpan w:val="3"/>
          </w:tcPr>
          <w:p>
            <w:pPr>
              <w:ind w:left="120"/>
              <w:spacing w:after="0" w:line="139" w:lineRule="exact"/>
              <w:rPr>
                <w:sz w:val="20"/>
                <w:szCs w:val="20"/>
                <w:color w:val="auto"/>
              </w:rPr>
            </w:pPr>
            <w:r>
              <w:rPr>
                <w:rFonts w:ascii="Arial" w:cs="Arial" w:eastAsia="Arial" w:hAnsi="Arial"/>
                <w:sz w:val="14"/>
                <w:szCs w:val="14"/>
                <w:b w:val="1"/>
                <w:bCs w:val="1"/>
                <w:color w:val="auto"/>
              </w:rPr>
              <w:t>Severance and</w:t>
            </w:r>
          </w:p>
        </w:tc>
        <w:tc>
          <w:tcPr>
            <w:tcW w:w="1800" w:type="dxa"/>
            <w:vAlign w:val="bottom"/>
            <w:gridSpan w:val="3"/>
          </w:tcPr>
          <w:p>
            <w:pPr>
              <w:jc w:val="center"/>
              <w:ind w:right="720"/>
              <w:spacing w:after="0" w:line="139" w:lineRule="exact"/>
              <w:rPr>
                <w:sz w:val="20"/>
                <w:szCs w:val="20"/>
                <w:color w:val="auto"/>
              </w:rPr>
            </w:pPr>
            <w:r>
              <w:rPr>
                <w:rFonts w:ascii="Arial" w:cs="Arial" w:eastAsia="Arial" w:hAnsi="Arial"/>
                <w:sz w:val="14"/>
                <w:szCs w:val="14"/>
                <w:b w:val="1"/>
                <w:bCs w:val="1"/>
                <w:color w:val="auto"/>
                <w:w w:val="96"/>
              </w:rPr>
              <w:t>Cancellation and</w:t>
            </w:r>
          </w:p>
        </w:tc>
        <w:tc>
          <w:tcPr>
            <w:tcW w:w="320" w:type="dxa"/>
            <w:vAlign w:val="bottom"/>
          </w:tcPr>
          <w:p>
            <w:pPr>
              <w:spacing w:after="0"/>
              <w:rPr>
                <w:sz w:val="12"/>
                <w:szCs w:val="12"/>
                <w:color w:val="auto"/>
              </w:rPr>
            </w:pPr>
          </w:p>
        </w:tc>
        <w:tc>
          <w:tcPr>
            <w:tcW w:w="1620" w:type="dxa"/>
            <w:vAlign w:val="bottom"/>
            <w:gridSpan w:val="2"/>
          </w:tcPr>
          <w:p>
            <w:pPr>
              <w:ind w:left="120"/>
              <w:spacing w:after="0" w:line="139" w:lineRule="exact"/>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414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Restructuring Activity</w:t>
            </w:r>
          </w:p>
        </w:tc>
        <w:tc>
          <w:tcPr>
            <w:tcW w:w="70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Related Costs</w:t>
            </w:r>
          </w:p>
        </w:tc>
        <w:tc>
          <w:tcPr>
            <w:tcW w:w="70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Other Costs</w:t>
            </w:r>
          </w:p>
        </w:tc>
        <w:tc>
          <w:tcPr>
            <w:tcW w:w="70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73"/>
              <w:spacing w:after="0" w:line="176" w:lineRule="exact"/>
              <w:rPr>
                <w:sz w:val="20"/>
                <w:szCs w:val="20"/>
                <w:color w:val="auto"/>
              </w:rPr>
            </w:pPr>
            <w:r>
              <w:rPr>
                <w:rFonts w:ascii="Arial" w:cs="Arial" w:eastAsia="Arial" w:hAnsi="Arial"/>
                <w:sz w:val="13"/>
                <w:szCs w:val="13"/>
                <w:b w:val="1"/>
                <w:bCs w:val="1"/>
                <w:color w:val="auto"/>
              </w:rPr>
              <w:t>Impairments</w:t>
            </w:r>
            <w:r>
              <w:rPr>
                <w:rFonts w:ascii="Arial" w:cs="Arial" w:eastAsia="Arial" w:hAnsi="Arial"/>
                <w:sz w:val="20"/>
                <w:szCs w:val="20"/>
                <w:b w:val="1"/>
                <w:bCs w:val="1"/>
                <w:color w:val="auto"/>
                <w:vertAlign w:val="superscript"/>
              </w:rPr>
              <w:t>(1)</w:t>
            </w:r>
          </w:p>
        </w:tc>
        <w:tc>
          <w:tcPr>
            <w:tcW w:w="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December 31, 2006</w:t>
            </w:r>
          </w:p>
        </w:tc>
        <w:tc>
          <w:tcPr>
            <w:tcW w:w="1200" w:type="dxa"/>
            <w:vAlign w:val="bottom"/>
            <w:gridSpan w:val="2"/>
            <w:shd w:val="clear" w:color="auto" w:fill="CCEEFF"/>
          </w:tcPr>
          <w:p>
            <w:pPr>
              <w:jc w:val="right"/>
              <w:ind w:right="222"/>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293</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7"/>
              <w:spacing w:after="0" w:line="196" w:lineRule="exact"/>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EEFF"/>
          </w:tcPr>
          <w:p>
            <w:pPr>
              <w:jc w:val="right"/>
              <w:ind w:right="84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337</w:t>
            </w: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provision</w:t>
            </w: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Reversals of prior accruals</w:t>
            </w:r>
          </w:p>
        </w:tc>
        <w:tc>
          <w:tcPr>
            <w:tcW w:w="7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10"/>
        </w:trPr>
        <w:tc>
          <w:tcPr>
            <w:tcW w:w="20" w:type="dxa"/>
            <w:vAlign w:val="bottom"/>
          </w:tcPr>
          <w:p>
            <w:pPr>
              <w:spacing w:after="0"/>
              <w:rPr>
                <w:sz w:val="18"/>
                <w:szCs w:val="18"/>
                <w:color w:val="auto"/>
              </w:rPr>
            </w:pPr>
          </w:p>
        </w:tc>
        <w:tc>
          <w:tcPr>
            <w:tcW w:w="4140" w:type="dxa"/>
            <w:vAlign w:val="bottom"/>
          </w:tcPr>
          <w:p>
            <w:pPr>
              <w:ind w:left="420"/>
              <w:spacing w:after="0" w:line="209" w:lineRule="exact"/>
              <w:rPr>
                <w:sz w:val="20"/>
                <w:szCs w:val="20"/>
                <w:color w:val="auto"/>
              </w:rPr>
            </w:pPr>
            <w:r>
              <w:rPr>
                <w:rFonts w:ascii="Arial" w:cs="Arial" w:eastAsia="Arial" w:hAnsi="Arial"/>
                <w:sz w:val="18"/>
                <w:szCs w:val="18"/>
                <w:color w:val="auto"/>
              </w:rPr>
              <w:t>Net current year charges</w:t>
            </w:r>
            <w:r>
              <w:rPr>
                <w:rFonts w:ascii="Arial" w:cs="Arial" w:eastAsia="Arial" w:hAnsi="Arial"/>
                <w:sz w:val="22"/>
                <w:szCs w:val="22"/>
                <w:color w:val="auto"/>
                <w:vertAlign w:val="superscript"/>
              </w:rPr>
              <w:t>(2)</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against reserve and currency</w:t>
            </w: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(211)</w:t>
            </w:r>
          </w:p>
        </w:tc>
        <w:tc>
          <w:tcPr>
            <w:tcW w:w="2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r>
      <w:tr>
        <w:trPr>
          <w:trHeight w:val="21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2007</w:t>
            </w:r>
          </w:p>
        </w:tc>
        <w:tc>
          <w:tcPr>
            <w:tcW w:w="700" w:type="dxa"/>
            <w:vAlign w:val="bottom"/>
          </w:tcPr>
          <w:p>
            <w:pPr>
              <w:spacing w:after="0"/>
              <w:rPr>
                <w:sz w:val="18"/>
                <w:szCs w:val="18"/>
                <w:color w:val="auto"/>
              </w:rPr>
            </w:pPr>
          </w:p>
        </w:tc>
        <w:tc>
          <w:tcPr>
            <w:tcW w:w="500" w:type="dxa"/>
            <w:vAlign w:val="bottom"/>
            <w:tcBorders>
              <w:top w:val="single" w:sz="8" w:color="auto"/>
            </w:tcBorders>
          </w:tcPr>
          <w:p>
            <w:pPr>
              <w:jc w:val="right"/>
              <w:ind w:right="222"/>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70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700" w:type="dxa"/>
            <w:vAlign w:val="bottom"/>
          </w:tcPr>
          <w:p>
            <w:pPr>
              <w:spacing w:after="0"/>
              <w:rPr>
                <w:sz w:val="18"/>
                <w:szCs w:val="18"/>
                <w:color w:val="auto"/>
              </w:rPr>
            </w:pPr>
          </w:p>
        </w:tc>
        <w:tc>
          <w:tcPr>
            <w:tcW w:w="3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provision</w:t>
            </w: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w:t>
            </w:r>
          </w:p>
        </w:tc>
      </w:tr>
      <w:tr>
        <w:trPr>
          <w:trHeight w:val="210"/>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Reversals of prior accruals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5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62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Net current year charges</w:t>
            </w:r>
            <w:r>
              <w:rPr>
                <w:rFonts w:ascii="Arial" w:cs="Arial" w:eastAsia="Arial" w:hAnsi="Arial"/>
                <w:sz w:val="22"/>
                <w:szCs w:val="22"/>
                <w:color w:val="auto"/>
                <w:vertAlign w:val="superscript"/>
              </w:rPr>
              <w:t>(2)</w:t>
            </w:r>
          </w:p>
        </w:tc>
        <w:tc>
          <w:tcPr>
            <w:tcW w:w="7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357</w:t>
            </w:r>
          </w:p>
        </w:tc>
        <w:tc>
          <w:tcPr>
            <w:tcW w:w="7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7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7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429</w:t>
            </w:r>
          </w:p>
        </w:tc>
      </w:tr>
      <w:tr>
        <w:trPr>
          <w:trHeight w:val="210"/>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Charges against reserve and currency</w:t>
            </w:r>
          </w:p>
        </w:tc>
        <w:tc>
          <w:tcPr>
            <w:tcW w:w="7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w:t>
            </w:r>
          </w:p>
        </w:tc>
        <w:tc>
          <w:tcPr>
            <w:tcW w:w="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w:t>
            </w:r>
          </w:p>
        </w:tc>
        <w:tc>
          <w:tcPr>
            <w:tcW w:w="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December 31, 2008</w:t>
            </w:r>
          </w:p>
        </w:tc>
        <w:tc>
          <w:tcPr>
            <w:tcW w:w="1200" w:type="dxa"/>
            <w:vAlign w:val="bottom"/>
            <w:gridSpan w:val="2"/>
            <w:shd w:val="clear" w:color="auto" w:fill="CCEEFF"/>
          </w:tcPr>
          <w:p>
            <w:pPr>
              <w:jc w:val="right"/>
              <w:ind w:right="222"/>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320</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7"/>
              <w:spacing w:after="0" w:line="202" w:lineRule="exact"/>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352</w:t>
            </w: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provision</w:t>
            </w: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Reversals of prior accruals</w:t>
            </w:r>
          </w:p>
        </w:tc>
        <w:tc>
          <w:tcPr>
            <w:tcW w:w="7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7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r>
      <w:tr>
        <w:trPr>
          <w:trHeight w:val="210"/>
        </w:trPr>
        <w:tc>
          <w:tcPr>
            <w:tcW w:w="20" w:type="dxa"/>
            <w:vAlign w:val="bottom"/>
          </w:tcPr>
          <w:p>
            <w:pPr>
              <w:spacing w:after="0"/>
              <w:rPr>
                <w:sz w:val="18"/>
                <w:szCs w:val="18"/>
                <w:color w:val="auto"/>
              </w:rPr>
            </w:pPr>
          </w:p>
        </w:tc>
        <w:tc>
          <w:tcPr>
            <w:tcW w:w="4140" w:type="dxa"/>
            <w:vAlign w:val="bottom"/>
          </w:tcPr>
          <w:p>
            <w:pPr>
              <w:ind w:left="420"/>
              <w:spacing w:after="0" w:line="209" w:lineRule="exact"/>
              <w:rPr>
                <w:sz w:val="20"/>
                <w:szCs w:val="20"/>
                <w:color w:val="auto"/>
              </w:rPr>
            </w:pPr>
            <w:r>
              <w:rPr>
                <w:rFonts w:ascii="Arial" w:cs="Arial" w:eastAsia="Arial" w:hAnsi="Arial"/>
                <w:sz w:val="18"/>
                <w:szCs w:val="18"/>
                <w:color w:val="auto"/>
              </w:rPr>
              <w:t>Net current year charges</w:t>
            </w:r>
            <w:r>
              <w:rPr>
                <w:rFonts w:ascii="Arial" w:cs="Arial" w:eastAsia="Arial" w:hAnsi="Arial"/>
                <w:sz w:val="22"/>
                <w:szCs w:val="22"/>
                <w:color w:val="auto"/>
                <w:vertAlign w:val="superscript"/>
              </w:rPr>
              <w:t>(2)</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against reserve and currency</w:t>
            </w: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(255)</w:t>
            </w:r>
          </w:p>
        </w:tc>
        <w:tc>
          <w:tcPr>
            <w:tcW w:w="2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r>
      <w:tr>
        <w:trPr>
          <w:trHeight w:val="210"/>
        </w:trPr>
        <w:tc>
          <w:tcPr>
            <w:tcW w:w="4160" w:type="dxa"/>
            <w:vAlign w:val="bottom"/>
            <w:gridSpan w:val="2"/>
          </w:tcPr>
          <w:p>
            <w:pPr>
              <w:spacing w:after="0" w:line="209" w:lineRule="exact"/>
              <w:rPr>
                <w:sz w:val="20"/>
                <w:szCs w:val="20"/>
                <w:color w:val="auto"/>
              </w:rPr>
            </w:pPr>
            <w:r>
              <w:rPr>
                <w:rFonts w:ascii="Arial" w:cs="Arial" w:eastAsia="Arial" w:hAnsi="Arial"/>
                <w:sz w:val="18"/>
                <w:szCs w:val="18"/>
                <w:b w:val="1"/>
                <w:bCs w:val="1"/>
                <w:color w:val="auto"/>
              </w:rPr>
              <w:t>Balance December 31, 2009</w:t>
            </w:r>
            <w:r>
              <w:rPr>
                <w:rFonts w:ascii="Arial" w:cs="Arial" w:eastAsia="Arial" w:hAnsi="Arial"/>
                <w:sz w:val="22"/>
                <w:szCs w:val="22"/>
                <w:b w:val="1"/>
                <w:bCs w:val="1"/>
                <w:color w:val="auto"/>
                <w:vertAlign w:val="superscript"/>
              </w:rPr>
              <w:t>(3)</w:t>
            </w:r>
          </w:p>
        </w:tc>
        <w:tc>
          <w:tcPr>
            <w:tcW w:w="7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7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7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80" w:hanging="572"/>
        <w:spacing w:after="0"/>
        <w:tabs>
          <w:tab w:leader="none" w:pos="580" w:val="left"/>
        </w:tabs>
        <w:numPr>
          <w:ilvl w:val="0"/>
          <w:numId w:val="106"/>
        </w:numPr>
        <w:rPr>
          <w:rFonts w:ascii="Arial" w:cs="Arial" w:eastAsia="Arial" w:hAnsi="Arial"/>
          <w:sz w:val="21"/>
          <w:szCs w:val="21"/>
          <w:color w:val="auto"/>
          <w:vertAlign w:val="superscript"/>
        </w:rPr>
      </w:pPr>
      <w:r>
        <w:rPr>
          <w:rFonts w:ascii="Arial" w:cs="Arial" w:eastAsia="Arial" w:hAnsi="Arial"/>
          <w:sz w:val="13"/>
          <w:szCs w:val="13"/>
          <w:color w:val="auto"/>
        </w:rPr>
        <w:t>Charges associated with asset impairments represent the write-down of the related assets to their new cost basis and are recorded concurrently with the recognition of the provision.</w:t>
      </w:r>
    </w:p>
    <w:p>
      <w:pPr>
        <w:ind w:left="580" w:hanging="572"/>
        <w:spacing w:after="0" w:line="182" w:lineRule="auto"/>
        <w:tabs>
          <w:tab w:leader="none" w:pos="580" w:val="left"/>
        </w:tabs>
        <w:numPr>
          <w:ilvl w:val="0"/>
          <w:numId w:val="106"/>
        </w:numPr>
        <w:rPr>
          <w:rFonts w:ascii="Arial" w:cs="Arial" w:eastAsia="Arial" w:hAnsi="Arial"/>
          <w:sz w:val="17"/>
          <w:szCs w:val="17"/>
          <w:color w:val="auto"/>
          <w:vertAlign w:val="superscript"/>
        </w:rPr>
      </w:pPr>
      <w:r>
        <w:rPr>
          <w:rFonts w:ascii="Arial" w:cs="Arial" w:eastAsia="Arial" w:hAnsi="Arial"/>
          <w:sz w:val="11"/>
          <w:szCs w:val="11"/>
          <w:color w:val="auto"/>
        </w:rPr>
        <w:t>Represents amount recognized within the Consolidated Statements of Income for the years shown.</w:t>
      </w:r>
    </w:p>
    <w:p>
      <w:pPr>
        <w:ind w:left="580" w:hanging="572"/>
        <w:spacing w:after="0" w:line="188" w:lineRule="auto"/>
        <w:tabs>
          <w:tab w:leader="none" w:pos="580" w:val="left"/>
        </w:tabs>
        <w:numPr>
          <w:ilvl w:val="0"/>
          <w:numId w:val="106"/>
        </w:numPr>
        <w:rPr>
          <w:rFonts w:ascii="Arial" w:cs="Arial" w:eastAsia="Arial" w:hAnsi="Arial"/>
          <w:sz w:val="18"/>
          <w:szCs w:val="18"/>
          <w:color w:val="auto"/>
          <w:vertAlign w:val="superscript"/>
        </w:rPr>
      </w:pPr>
      <w:r>
        <w:rPr>
          <w:rFonts w:ascii="Arial" w:cs="Arial" w:eastAsia="Arial" w:hAnsi="Arial"/>
          <w:sz w:val="12"/>
          <w:szCs w:val="12"/>
          <w:color w:val="auto"/>
        </w:rPr>
        <w:t>We expect to utilize the majority of the remaining December 31, 2009 restructuring balance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reconciliation to the Consolidated Statements of Cash Flows: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75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2007</w:t>
            </w:r>
          </w:p>
        </w:tc>
      </w:tr>
      <w:tr>
        <w:trPr>
          <w:trHeight w:val="196"/>
        </w:trPr>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Charges to reserve</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(270)</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(186)</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(222)</w:t>
            </w: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260" w:type="dxa"/>
            <w:vAlign w:val="bottom"/>
          </w:tcPr>
          <w:p>
            <w:pPr>
              <w:spacing w:after="0"/>
              <w:rPr>
                <w:sz w:val="17"/>
                <w:szCs w:val="17"/>
                <w:color w:val="auto"/>
              </w:rPr>
            </w:pPr>
          </w:p>
        </w:tc>
        <w:tc>
          <w:tcPr>
            <w:tcW w:w="6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53</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w:t>
            </w: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Effects of foreign currency and other non-cash items</w:t>
            </w: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(14)</w:t>
            </w:r>
          </w:p>
        </w:tc>
      </w:tr>
      <w:tr>
        <w:trPr>
          <w:trHeight w:val="210"/>
        </w:trPr>
        <w:tc>
          <w:tcPr>
            <w:tcW w:w="7540" w:type="dxa"/>
            <w:vAlign w:val="bottom"/>
          </w:tcPr>
          <w:p>
            <w:pPr>
              <w:spacing w:after="0"/>
              <w:rPr>
                <w:sz w:val="20"/>
                <w:szCs w:val="20"/>
                <w:color w:val="auto"/>
              </w:rPr>
            </w:pPr>
            <w:r>
              <w:rPr>
                <w:rFonts w:ascii="Arial" w:cs="Arial" w:eastAsia="Arial" w:hAnsi="Arial"/>
                <w:sz w:val="18"/>
                <w:szCs w:val="18"/>
                <w:b w:val="1"/>
                <w:bCs w:val="1"/>
                <w:color w:val="auto"/>
              </w:rPr>
              <w:t>Cash Payments for Restructurings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w:t>
            </w:r>
          </w:p>
        </w:tc>
        <w:tc>
          <w:tcPr>
            <w:tcW w:w="58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(131)</w:t>
            </w:r>
          </w:p>
        </w:tc>
        <w:tc>
          <w:tcPr>
            <w:tcW w:w="58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(235)</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segment for the three years ended December 31, 2009: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Production</w:t>
            </w:r>
          </w:p>
        </w:tc>
        <w:tc>
          <w:tcPr>
            <w:tcW w:w="680" w:type="dxa"/>
            <w:vAlign w:val="bottom"/>
            <w:shd w:val="clear" w:color="auto" w:fill="CCEEFF"/>
          </w:tcPr>
          <w:p>
            <w:pPr>
              <w:jc w:val="right"/>
              <w:ind w:right="399"/>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0"/>
              <w:spacing w:after="0" w:line="196"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w:t>
            </w:r>
          </w:p>
        </w:tc>
        <w:tc>
          <w:tcPr>
            <w:tcW w:w="1320" w:type="dxa"/>
            <w:vAlign w:val="bottom"/>
            <w:gridSpan w:val="2"/>
            <w:shd w:val="clear" w:color="auto" w:fill="CCEEFF"/>
          </w:tcPr>
          <w:p>
            <w:pPr>
              <w:jc w:val="right"/>
              <w:ind w:right="342"/>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Office</w:t>
            </w:r>
          </w:p>
        </w:tc>
        <w:tc>
          <w:tcPr>
            <w:tcW w:w="680" w:type="dxa"/>
            <w:vAlign w:val="bottom"/>
          </w:tcPr>
          <w:p>
            <w:pPr>
              <w:spacing w:after="0"/>
              <w:rPr>
                <w:sz w:val="17"/>
                <w:szCs w:val="17"/>
                <w:color w:val="auto"/>
              </w:rPr>
            </w:pPr>
          </w:p>
        </w:tc>
        <w:tc>
          <w:tcPr>
            <w:tcW w:w="108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Total Net Restructuring Charges</w:t>
            </w: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680" w:type="dxa"/>
            <w:vAlign w:val="bottom"/>
          </w:tcPr>
          <w:p>
            <w:pPr>
              <w:jc w:val="right"/>
              <w:ind w:right="399"/>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700" w:type="dxa"/>
            <w:vAlign w:val="bottom"/>
            <w:vMerge w:val="continue"/>
          </w:tcPr>
          <w:p>
            <w:pPr>
              <w:spacing w:after="0"/>
              <w:rPr>
                <w:sz w:val="18"/>
                <w:szCs w:val="18"/>
                <w:color w:val="auto"/>
              </w:rPr>
            </w:pPr>
          </w:p>
        </w:tc>
        <w:tc>
          <w:tcPr>
            <w:tcW w:w="620" w:type="dxa"/>
            <w:vAlign w:val="bottom"/>
          </w:tcPr>
          <w:p>
            <w:pPr>
              <w:jc w:val="right"/>
              <w:ind w:right="34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(6)</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1269BC"/>
                <w:w w:val="99"/>
              </w:rPr>
              <w:t>Xerox 2009 Annual Report</w:t>
            </w:r>
          </w:p>
        </w:tc>
        <w:tc>
          <w:tcPr>
            <w:tcW w:w="280" w:type="dxa"/>
            <w:vAlign w:val="bottom"/>
          </w:tcPr>
          <w:p>
            <w:pPr>
              <w:jc w:val="right"/>
              <w:spacing w:after="0"/>
              <w:rPr>
                <w:sz w:val="20"/>
                <w:szCs w:val="20"/>
                <w:color w:val="auto"/>
              </w:rPr>
            </w:pPr>
            <w:r>
              <w:rPr>
                <w:rFonts w:ascii="Arial" w:cs="Arial" w:eastAsia="Arial" w:hAnsi="Arial"/>
                <w:sz w:val="18"/>
                <w:szCs w:val="18"/>
                <w:color w:val="1269BC"/>
              </w:rPr>
              <w:t>52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4" w:right="239" w:bottom="1440" w:gutter="0" w:footer="0" w:header="0"/>
        </w:sectPr>
      </w:pPr>
    </w:p>
    <w:bookmarkStart w:id="135" w:name="page136"/>
    <w:bookmarkEnd w:id="135"/>
    <w:p>
      <w:pPr>
        <w:ind w:right="30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 the past several years, we have engaged in a series of restructuring programs related to downsizing our employee base, exiting certain activities, outsourcing certain internal functions and engaging in other actions designed to reduce our cost structure and improve productivity. These initiatives primarily include severance actions and impact all major geographies and segments. Management continues to evaluate our business and, therefore, there may be additional provisions for new plan initiatives, as well as changes in estimates to amounts previously recorded, as payments are made or actions are completed. Asset impairment charges were also incurred in connection with these restructuring actions for those assets made obsolete as a result of these programs.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2010 Plan</w:t>
      </w:r>
    </w:p>
    <w:p>
      <w:pPr>
        <w:spacing w:after="0" w:line="18"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auto"/>
        </w:rPr>
        <w:t>We expect to record pre-tax restructuring charges of approximately $280 in 2010, of which $250 is expected to be recorded in the first quarter. These actions are expected to impact all geographies and segments with approximately equal focus on SAG reductions, gross margin improvements and optimization of RD&amp;E investments. The restructuring is also expected to involve the rationalization of some of our facilities.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2009 Activity</w:t>
      </w:r>
    </w:p>
    <w:p>
      <w:pPr>
        <w:spacing w:after="0" w:line="18"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Restructuring activity was minimal in 2009 and the related charges primarily reflected changes in estimates in severance costs from previously recorded actions.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2008 Activity</w:t>
      </w:r>
    </w:p>
    <w:p>
      <w:pPr>
        <w:spacing w:after="0" w:line="18" w:lineRule="exact"/>
        <w:rPr>
          <w:sz w:val="20"/>
          <w:szCs w:val="20"/>
          <w:color w:val="auto"/>
        </w:rPr>
      </w:pPr>
    </w:p>
    <w:p>
      <w:pPr>
        <w:ind w:right="780"/>
        <w:spacing w:after="0" w:line="299" w:lineRule="auto"/>
        <w:rPr>
          <w:sz w:val="20"/>
          <w:szCs w:val="20"/>
          <w:color w:val="auto"/>
        </w:rPr>
      </w:pPr>
      <w:r>
        <w:rPr>
          <w:rFonts w:ascii="Arial" w:cs="Arial" w:eastAsia="Arial" w:hAnsi="Arial"/>
          <w:sz w:val="16"/>
          <w:szCs w:val="16"/>
          <w:color w:val="auto"/>
        </w:rPr>
        <w:t>During 2008, we recorded $357 of net restructuring charges predominantly consisting of severance and costs related to the elimination of approximately 4,900 positions primarily in both North America and Europe. Focus areas for the actions include the following:</w:t>
      </w:r>
    </w:p>
    <w:p>
      <w:pPr>
        <w:spacing w:after="0" w:line="145"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Improving efficiency and effectiveness of infrastructure including: marketing, finance, human resources &amp; training.</w:t>
      </w:r>
    </w:p>
    <w:p>
      <w:pPr>
        <w:ind w:left="460" w:hanging="452"/>
        <w:spacing w:after="0" w:line="234"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Capturing efficiencies in technical services, managed services and supply chain and manufacturing infrastructure.</w:t>
      </w: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Optimizing product development and engineering resources.</w:t>
      </w:r>
    </w:p>
    <w:p>
      <w:pPr>
        <w:spacing w:after="0" w:line="15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addition, related to these activities, we also recorded lease cancellation and other costs of $19 and asset impairment charges of $53. The lease termination and asset impairment charges primarily related to: (i) the relocation of certain manufacturing operations including the closing of our toner plant in Oklahoma City and the consolidation of our manufacturing operations in Ireland; and (ii) the exit from certain leased and owned facilities as a result of the actions noted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2007 Activity</w:t>
      </w:r>
    </w:p>
    <w:p>
      <w:pPr>
        <w:spacing w:after="0" w:line="18"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Restructuring activity was minimal in 2007 and the related charges primarily reflected changes in estimates in severance costs from previously recorded actions.</w:t>
      </w:r>
    </w:p>
    <w:p>
      <w:pPr>
        <w:spacing w:after="0" w:line="118"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Note 10 – Supplementary 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current assets and other current liabilities at December 31, 2009 and 2008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740" w:type="dxa"/>
            <w:vAlign w:val="bottom"/>
          </w:tcPr>
          <w:p>
            <w:pPr>
              <w:spacing w:after="0" w:line="202" w:lineRule="exact"/>
              <w:rPr>
                <w:sz w:val="20"/>
                <w:szCs w:val="20"/>
                <w:color w:val="auto"/>
              </w:rPr>
            </w:pPr>
            <w:r>
              <w:rPr>
                <w:rFonts w:ascii="Arial" w:cs="Arial" w:eastAsia="Arial" w:hAnsi="Arial"/>
                <w:sz w:val="18"/>
                <w:szCs w:val="18"/>
                <w:color w:val="auto"/>
              </w:rPr>
              <w:t>Deferred taxes</w:t>
            </w:r>
          </w:p>
        </w:tc>
        <w:tc>
          <w:tcPr>
            <w:tcW w:w="600" w:type="dxa"/>
            <w:vAlign w:val="bottom"/>
          </w:tcPr>
          <w:p>
            <w:pPr>
              <w:jc w:val="right"/>
              <w:ind w:right="337"/>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3"/>
              </w:rPr>
              <w:t>290</w:t>
            </w:r>
          </w:p>
        </w:tc>
        <w:tc>
          <w:tcPr>
            <w:tcW w:w="880" w:type="dxa"/>
            <w:vAlign w:val="bottom"/>
          </w:tcPr>
          <w:p>
            <w:pPr>
              <w:spacing w:after="0"/>
              <w:rPr>
                <w:sz w:val="17"/>
                <w:szCs w:val="17"/>
                <w:color w:val="auto"/>
              </w:rPr>
            </w:pPr>
          </w:p>
        </w:tc>
        <w:tc>
          <w:tcPr>
            <w:tcW w:w="600" w:type="dxa"/>
            <w:vAlign w:val="bottom"/>
          </w:tcPr>
          <w:p>
            <w:pPr>
              <w:jc w:val="right"/>
              <w:ind w:right="319"/>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3"/>
              </w:rPr>
              <w:t>305</w:t>
            </w: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6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31</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r>
      <w:tr>
        <w:trPr>
          <w:trHeight w:val="203"/>
        </w:trPr>
        <w:tc>
          <w:tcPr>
            <w:tcW w:w="874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6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3"/>
              </w:rPr>
              <w:t>111</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3"/>
              </w:rPr>
              <w:t>119</w:t>
            </w: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derivative instruments</w:t>
            </w:r>
          </w:p>
        </w:tc>
        <w:tc>
          <w:tcPr>
            <w:tcW w:w="6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r>
      <w:tr>
        <w:trPr>
          <w:trHeight w:val="203"/>
        </w:trPr>
        <w:tc>
          <w:tcPr>
            <w:tcW w:w="8740" w:type="dxa"/>
            <w:vAlign w:val="bottom"/>
          </w:tcPr>
          <w:p>
            <w:pPr>
              <w:spacing w:after="0" w:line="202" w:lineRule="exact"/>
              <w:rPr>
                <w:sz w:val="20"/>
                <w:szCs w:val="20"/>
                <w:color w:val="auto"/>
              </w:rPr>
            </w:pPr>
            <w:r>
              <w:rPr>
                <w:rFonts w:ascii="Arial" w:cs="Arial" w:eastAsia="Arial" w:hAnsi="Arial"/>
                <w:sz w:val="18"/>
                <w:szCs w:val="18"/>
                <w:color w:val="auto"/>
              </w:rPr>
              <w:t>Advances and deposits</w:t>
            </w:r>
          </w:p>
        </w:tc>
        <w:tc>
          <w:tcPr>
            <w:tcW w:w="600" w:type="dxa"/>
            <w:vAlign w:val="bottom"/>
          </w:tcPr>
          <w:p>
            <w:pPr>
              <w:spacing w:after="0"/>
              <w:rPr>
                <w:sz w:val="17"/>
                <w:szCs w:val="17"/>
                <w:color w:val="auto"/>
              </w:rPr>
            </w:pPr>
          </w:p>
        </w:tc>
        <w:tc>
          <w:tcPr>
            <w:tcW w:w="118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19</w:t>
            </w:r>
          </w:p>
        </w:tc>
        <w:tc>
          <w:tcPr>
            <w:tcW w:w="60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w:t>
            </w: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receivable</w:t>
            </w:r>
          </w:p>
        </w:tc>
        <w:tc>
          <w:tcPr>
            <w:tcW w:w="6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r>
      <w:tr>
        <w:trPr>
          <w:trHeight w:val="210"/>
        </w:trPr>
        <w:tc>
          <w:tcPr>
            <w:tcW w:w="87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3"/>
              </w:rPr>
              <w:t>203</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3"/>
              </w:rPr>
              <w:t>239</w:t>
            </w:r>
          </w:p>
        </w:tc>
      </w:tr>
      <w:tr>
        <w:trPr>
          <w:trHeight w:val="203"/>
        </w:trPr>
        <w:tc>
          <w:tcPr>
            <w:tcW w:w="87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b w:val="1"/>
                <w:bCs w:val="1"/>
                <w:color w:val="auto"/>
              </w:rPr>
              <w:t>Total Other Current Assets</w:t>
            </w:r>
          </w:p>
        </w:tc>
        <w:tc>
          <w:tcPr>
            <w:tcW w:w="600" w:type="dxa"/>
            <w:vAlign w:val="bottom"/>
            <w:tcBorders>
              <w:top w:val="single" w:sz="8" w:color="auto"/>
              <w:bottom w:val="single" w:sz="8" w:color="auto"/>
            </w:tcBorders>
            <w:shd w:val="clear" w:color="auto" w:fill="CCEEFF"/>
          </w:tcPr>
          <w:p>
            <w:pPr>
              <w:jc w:val="right"/>
              <w:ind w:right="337"/>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3"/>
              </w:rPr>
              <w:t>708</w:t>
            </w:r>
          </w:p>
        </w:tc>
        <w:tc>
          <w:tcPr>
            <w:tcW w:w="880" w:type="dxa"/>
            <w:vAlign w:val="bottom"/>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319"/>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3"/>
              </w:rPr>
              <w:t>790</w:t>
            </w:r>
          </w:p>
        </w:tc>
        <w:tc>
          <w:tcPr>
            <w:tcW w:w="20" w:type="dxa"/>
            <w:vAlign w:val="bottom"/>
          </w:tcPr>
          <w:p>
            <w:pPr>
              <w:spacing w:after="0"/>
              <w:rPr>
                <w:sz w:val="17"/>
                <w:szCs w:val="17"/>
                <w:color w:val="auto"/>
              </w:rPr>
            </w:pPr>
          </w:p>
        </w:tc>
      </w:tr>
      <w:tr>
        <w:trPr>
          <w:trHeight w:val="20"/>
        </w:trPr>
        <w:tc>
          <w:tcPr>
            <w:tcW w:w="87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8740" w:type="dxa"/>
            <w:vAlign w:val="bottom"/>
          </w:tcPr>
          <w:p>
            <w:pPr>
              <w:spacing w:after="0"/>
              <w:rPr>
                <w:sz w:val="24"/>
                <w:szCs w:val="24"/>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color w:val="1269BC"/>
              </w:rPr>
              <w:t>Xerox 2009 Annual Report</w:t>
            </w:r>
          </w:p>
        </w:tc>
        <w:tc>
          <w:tcPr>
            <w:tcW w:w="300" w:type="dxa"/>
            <w:vAlign w:val="bottom"/>
          </w:tcPr>
          <w:p>
            <w:pPr>
              <w:jc w:val="right"/>
              <w:spacing w:after="0"/>
              <w:rPr>
                <w:sz w:val="20"/>
                <w:szCs w:val="20"/>
                <w:color w:val="auto"/>
              </w:rPr>
            </w:pPr>
            <w:r>
              <w:rPr>
                <w:rFonts w:ascii="Arial" w:cs="Arial" w:eastAsia="Arial" w:hAnsi="Arial"/>
                <w:sz w:val="18"/>
                <w:szCs w:val="18"/>
                <w:color w:val="1269BC"/>
              </w:rPr>
              <w:t>53</w:t>
            </w:r>
          </w:p>
        </w:tc>
        <w:tc>
          <w:tcPr>
            <w:tcW w:w="20" w:type="dxa"/>
            <w:vAlign w:val="bottom"/>
          </w:tcPr>
          <w:p>
            <w:pPr>
              <w:spacing w:after="0"/>
              <w:rPr>
                <w:sz w:val="24"/>
                <w:szCs w:val="24"/>
                <w:color w:val="auto"/>
              </w:rPr>
            </w:pPr>
          </w:p>
        </w:tc>
      </w:tr>
    </w:tbl>
    <w:p>
      <w:pPr>
        <w:sectPr>
          <w:pgSz w:w="11900" w:h="16838" w:orient="portrait"/>
          <w:cols w:equalWidth="0" w:num="1">
            <w:col w:w="11420"/>
          </w:cols>
          <w:pgMar w:left="240" w:top="291" w:right="239" w:bottom="1440" w:gutter="0" w:footer="0" w:header="0"/>
        </w:sectPr>
      </w:pPr>
    </w:p>
    <w:bookmarkStart w:id="136" w:name="page137"/>
    <w:bookmarkEnd w:id="1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Income taxes payable</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taxes payable</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Interest payable</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reserves</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Unearned income</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derivative instruments</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Product warranties</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payable</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Distributor and reseller rebates/commissions</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558</w:t>
            </w:r>
          </w:p>
        </w:tc>
        <w:tc>
          <w:tcPr>
            <w:tcW w:w="5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0"/>
        </w:trPr>
        <w:tc>
          <w:tcPr>
            <w:tcW w:w="9080" w:type="dxa"/>
            <w:vAlign w:val="bottom"/>
          </w:tcPr>
          <w:p>
            <w:pPr>
              <w:ind w:left="440"/>
              <w:spacing w:after="0"/>
              <w:rPr>
                <w:sz w:val="20"/>
                <w:szCs w:val="20"/>
                <w:color w:val="auto"/>
              </w:rPr>
            </w:pPr>
            <w:r>
              <w:rPr>
                <w:rFonts w:ascii="Arial" w:cs="Arial" w:eastAsia="Arial" w:hAnsi="Arial"/>
                <w:sz w:val="18"/>
                <w:szCs w:val="18"/>
                <w:b w:val="1"/>
                <w:bCs w:val="1"/>
                <w:color w:val="auto"/>
              </w:rPr>
              <w:t>Total Other Current Liabilities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1,327</w:t>
            </w:r>
          </w:p>
        </w:tc>
        <w:tc>
          <w:tcPr>
            <w:tcW w:w="54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9980" w:type="dxa"/>
            <w:vAlign w:val="bottom"/>
            <w:gridSpan w:val="3"/>
          </w:tcPr>
          <w:p>
            <w:pPr>
              <w:spacing w:after="0"/>
              <w:rPr>
                <w:sz w:val="20"/>
                <w:szCs w:val="20"/>
                <w:color w:val="auto"/>
              </w:rPr>
            </w:pPr>
            <w:r>
              <w:rPr>
                <w:rFonts w:ascii="Arial" w:cs="Arial" w:eastAsia="Arial" w:hAnsi="Arial"/>
                <w:sz w:val="18"/>
                <w:szCs w:val="18"/>
                <w:color w:val="auto"/>
              </w:rPr>
              <w:t>The components of other long-term assets and other long-term liabilities at December 31, 2009 and 2008 were as follows: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96"/>
        </w:trPr>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Long-term Assets</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Prepaid pension costs</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Net investment in discontinued operations </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Internal use software, net</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Debt issuance costs, net</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derivative instruments</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90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w:t>
            </w:r>
          </w:p>
        </w:tc>
        <w:tc>
          <w:tcPr>
            <w:tcW w:w="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b w:val="1"/>
                <w:bCs w:val="1"/>
                <w:color w:val="auto"/>
              </w:rPr>
              <w:t>Total Other Long-term Assets</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1,320</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1,157</w:t>
            </w:r>
          </w:p>
        </w:tc>
        <w:tc>
          <w:tcPr>
            <w:tcW w:w="0" w:type="dxa"/>
            <w:vAlign w:val="bottom"/>
          </w:tcPr>
          <w:p>
            <w:pPr>
              <w:spacing w:after="0"/>
              <w:rPr>
                <w:sz w:val="1"/>
                <w:szCs w:val="1"/>
                <w:color w:val="auto"/>
              </w:rPr>
            </w:pPr>
          </w:p>
        </w:tc>
      </w:tr>
      <w:tr>
        <w:trPr>
          <w:trHeight w:val="20"/>
        </w:trPr>
        <w:tc>
          <w:tcPr>
            <w:tcW w:w="9080" w:type="dxa"/>
            <w:vAlign w:val="bottom"/>
            <w:vMerge w:val="restart"/>
          </w:tcPr>
          <w:p>
            <w:pPr>
              <w:spacing w:after="0"/>
              <w:rPr>
                <w:sz w:val="20"/>
                <w:szCs w:val="20"/>
                <w:color w:val="auto"/>
              </w:rPr>
            </w:pPr>
            <w:r>
              <w:rPr>
                <w:rFonts w:ascii="Arial" w:cs="Arial" w:eastAsia="Arial" w:hAnsi="Arial"/>
                <w:sz w:val="18"/>
                <w:szCs w:val="18"/>
                <w:b w:val="1"/>
                <w:bCs w:val="1"/>
                <w:color w:val="auto"/>
              </w:rPr>
              <w:t>Other Long-term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and other tax liabilities</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Financial derivative instruments</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Environmental reserves</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Restructuring reserves</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363</w:t>
            </w:r>
          </w:p>
        </w:tc>
        <w:tc>
          <w:tcPr>
            <w:tcW w:w="5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0"/>
        </w:trPr>
        <w:tc>
          <w:tcPr>
            <w:tcW w:w="9080" w:type="dxa"/>
            <w:vAlign w:val="bottom"/>
          </w:tcPr>
          <w:p>
            <w:pPr>
              <w:ind w:left="440"/>
              <w:spacing w:after="0"/>
              <w:rPr>
                <w:sz w:val="20"/>
                <w:szCs w:val="20"/>
                <w:color w:val="auto"/>
              </w:rPr>
            </w:pPr>
            <w:r>
              <w:rPr>
                <w:rFonts w:ascii="Arial" w:cs="Arial" w:eastAsia="Arial" w:hAnsi="Arial"/>
                <w:sz w:val="18"/>
                <w:szCs w:val="18"/>
                <w:b w:val="1"/>
                <w:bCs w:val="1"/>
                <w:color w:val="auto"/>
              </w:rPr>
              <w:t>Total Other Long-term Liabilities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w:t>
            </w:r>
          </w:p>
        </w:tc>
        <w:tc>
          <w:tcPr>
            <w:tcW w:w="54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80" w:right="160" w:hanging="572"/>
        <w:spacing w:after="0" w:line="191" w:lineRule="auto"/>
        <w:tabs>
          <w:tab w:leader="none" w:pos="580" w:val="left"/>
        </w:tabs>
        <w:numPr>
          <w:ilvl w:val="0"/>
          <w:numId w:val="108"/>
        </w:numPr>
        <w:rPr>
          <w:rFonts w:ascii="Arial" w:cs="Arial" w:eastAsia="Arial" w:hAnsi="Arial"/>
          <w:sz w:val="22"/>
          <w:szCs w:val="22"/>
          <w:color w:val="auto"/>
          <w:vertAlign w:val="superscript"/>
        </w:rPr>
      </w:pPr>
      <w:r>
        <w:rPr>
          <w:rFonts w:ascii="Arial" w:cs="Arial" w:eastAsia="Arial" w:hAnsi="Arial"/>
          <w:sz w:val="14"/>
          <w:szCs w:val="14"/>
          <w:color w:val="auto"/>
        </w:rPr>
        <w:t>At December 31, 2009, our net investment in discontinued operations primarily consists of a $265 performance-based instrument relating to the 1997 sale of The Resolution Group (“TRG”) net of remaining net liabilities associated with our discontinued operations of $25. The recovery of the performance-based instrument is dependent on the sufficiency of TRG’s available cash flows, as guaranteed by TRG’s ultimate parent, which are expected to be recovered in annual cash distributions through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Note 11 –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at December 31, 2009 and 2008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2008</w:t>
            </w: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maturities of long-term debt</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988</w:t>
            </w: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1,549</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17"/>
                <w:szCs w:val="17"/>
                <w:color w:val="auto"/>
              </w:rPr>
            </w:pPr>
          </w:p>
        </w:tc>
        <w:tc>
          <w:tcPr>
            <w:tcW w:w="66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Italy Credit Facility due 2009</w:t>
            </w: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54</w:t>
            </w:r>
          </w:p>
        </w:tc>
      </w:tr>
      <w:tr>
        <w:trPr>
          <w:trHeight w:val="210"/>
        </w:trPr>
        <w:tc>
          <w:tcPr>
            <w:tcW w:w="9020" w:type="dxa"/>
            <w:vAlign w:val="bottom"/>
          </w:tcPr>
          <w:p>
            <w:pPr>
              <w:spacing w:after="0"/>
              <w:rPr>
                <w:sz w:val="20"/>
                <w:szCs w:val="20"/>
                <w:color w:val="auto"/>
              </w:rPr>
            </w:pPr>
            <w:r>
              <w:rPr>
                <w:rFonts w:ascii="Arial" w:cs="Arial" w:eastAsia="Arial" w:hAnsi="Arial"/>
                <w:sz w:val="18"/>
                <w:szCs w:val="18"/>
                <w:b w:val="1"/>
                <w:bCs w:val="1"/>
                <w:color w:val="auto"/>
              </w:rPr>
              <w:t>Total Short-term Debt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988</w:t>
            </w:r>
          </w:p>
        </w:tc>
        <w:tc>
          <w:tcPr>
            <w:tcW w:w="54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1,610</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54</w:t>
      </w:r>
    </w:p>
    <w:p>
      <w:pPr>
        <w:sectPr>
          <w:pgSz w:w="11900" w:h="16838" w:orient="portrait"/>
          <w:cols w:equalWidth="0" w:num="1">
            <w:col w:w="11420"/>
          </w:cols>
          <w:pgMar w:left="240" w:top="284" w:right="239" w:bottom="1440" w:gutter="0" w:footer="0" w:header="0"/>
        </w:sectPr>
      </w:pPr>
    </w:p>
    <w:bookmarkStart w:id="137" w:name="page138"/>
    <w:bookmarkEnd w:id="137"/>
    <w:p>
      <w:pPr>
        <w:ind w:right="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classify our debt based on the contractual maturity dates of the underlying debt instruments or as of the earliest put date available to the debt holders. We defer costs associated with debt issuance over the applicable term, or to the first put date in the case of convertible debt or debt with a put feature. These costs are amortized as interest expense in our Consolidated Statements of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December 31, 2009 and 2008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5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4"/>
              </w:rPr>
              <w:t>Weighted Average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8"/>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500" w:type="dxa"/>
            <w:vAlign w:val="bottom"/>
            <w:gridSpan w:val="2"/>
          </w:tcPr>
          <w:p>
            <w:pPr>
              <w:jc w:val="center"/>
              <w:ind w:right="840"/>
              <w:spacing w:after="0" w:line="139" w:lineRule="exact"/>
              <w:rPr>
                <w:sz w:val="20"/>
                <w:szCs w:val="20"/>
                <w:color w:val="auto"/>
              </w:rPr>
            </w:pPr>
            <w:r>
              <w:rPr>
                <w:rFonts w:ascii="Arial" w:cs="Arial" w:eastAsia="Arial" w:hAnsi="Arial"/>
                <w:sz w:val="14"/>
                <w:szCs w:val="14"/>
                <w:b w:val="1"/>
                <w:bCs w:val="1"/>
                <w:color w:val="auto"/>
                <w:w w:val="97"/>
              </w:rPr>
              <w:t>Interest Rates at</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500" w:type="dxa"/>
            <w:vAlign w:val="bottom"/>
            <w:gridSpan w:val="2"/>
          </w:tcPr>
          <w:p>
            <w:pPr>
              <w:jc w:val="center"/>
              <w:ind w:right="860"/>
              <w:spacing w:after="0" w:line="176" w:lineRule="exact"/>
              <w:rPr>
                <w:sz w:val="20"/>
                <w:szCs w:val="20"/>
                <w:color w:val="auto"/>
              </w:rPr>
            </w:pPr>
            <w:r>
              <w:rPr>
                <w:rFonts w:ascii="Arial" w:cs="Arial" w:eastAsia="Arial" w:hAnsi="Arial"/>
                <w:sz w:val="13"/>
                <w:szCs w:val="13"/>
                <w:b w:val="1"/>
                <w:bCs w:val="1"/>
                <w:color w:val="auto"/>
              </w:rPr>
              <w:t>December 31, 2009</w:t>
            </w:r>
            <w:r>
              <w:rPr>
                <w:rFonts w:ascii="Arial" w:cs="Arial" w:eastAsia="Arial" w:hAnsi="Arial"/>
                <w:sz w:val="20"/>
                <w:szCs w:val="20"/>
                <w:b w:val="1"/>
                <w:bCs w:val="1"/>
                <w:color w:val="auto"/>
                <w:vertAlign w:val="superscript"/>
              </w:rPr>
              <w:t>(3)</w:t>
            </w:r>
          </w:p>
        </w:tc>
        <w:tc>
          <w:tcPr>
            <w:tcW w:w="200" w:type="dxa"/>
            <w:vAlign w:val="bottom"/>
          </w:tcPr>
          <w:p>
            <w:pPr>
              <w:spacing w:after="0"/>
              <w:rPr>
                <w:sz w:val="15"/>
                <w:szCs w:val="15"/>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233"/>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U.S. Operations</w:t>
            </w:r>
          </w:p>
        </w:tc>
        <w:tc>
          <w:tcPr>
            <w:tcW w:w="1660" w:type="dxa"/>
            <w:vAlign w:val="bottom"/>
            <w:tcBorders>
              <w:top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Xerox Corporation</w:t>
            </w: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Euro Senior Notes due 2009</w:t>
            </w:r>
          </w:p>
        </w:tc>
        <w:tc>
          <w:tcPr>
            <w:tcW w:w="2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2009</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 %</w:t>
            </w:r>
          </w:p>
        </w:tc>
        <w:tc>
          <w:tcPr>
            <w:tcW w:w="200" w:type="dxa"/>
            <w:vAlign w:val="bottom"/>
          </w:tcPr>
          <w:p>
            <w:pPr>
              <w:spacing w:after="0"/>
              <w:rPr>
                <w:sz w:val="17"/>
                <w:szCs w:val="17"/>
                <w:color w:val="auto"/>
              </w:rPr>
            </w:pPr>
          </w:p>
        </w:tc>
        <w:tc>
          <w:tcPr>
            <w:tcW w:w="11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583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Floating Senior Notes due 2009</w:t>
            </w:r>
          </w:p>
        </w:tc>
        <w:tc>
          <w:tcPr>
            <w:tcW w:w="2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2010</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7.13%</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Notes due 2011</w:t>
            </w:r>
          </w:p>
        </w:tc>
        <w:tc>
          <w:tcPr>
            <w:tcW w:w="2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3"/>
        </w:trPr>
        <w:tc>
          <w:tcPr>
            <w:tcW w:w="20" w:type="dxa"/>
            <w:vAlign w:val="bottom"/>
          </w:tcPr>
          <w:p>
            <w:pPr>
              <w:spacing w:after="0"/>
              <w:rPr>
                <w:sz w:val="17"/>
                <w:szCs w:val="17"/>
                <w:color w:val="auto"/>
              </w:rPr>
            </w:pPr>
          </w:p>
        </w:tc>
        <w:tc>
          <w:tcPr>
            <w:tcW w:w="6380" w:type="dxa"/>
            <w:vAlign w:val="bottom"/>
          </w:tcPr>
          <w:p>
            <w:pPr>
              <w:ind w:left="420"/>
              <w:spacing w:after="0" w:line="202" w:lineRule="exact"/>
              <w:rPr>
                <w:sz w:val="20"/>
                <w:szCs w:val="20"/>
                <w:color w:val="auto"/>
              </w:rPr>
            </w:pPr>
            <w:r>
              <w:rPr>
                <w:rFonts w:ascii="Arial" w:cs="Arial" w:eastAsia="Arial" w:hAnsi="Arial"/>
                <w:sz w:val="18"/>
                <w:szCs w:val="18"/>
                <w:color w:val="auto"/>
              </w:rPr>
              <w:t>Notes due 2011</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7.01%</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w:t>
            </w: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Senior Notes due 2011</w:t>
            </w:r>
          </w:p>
        </w:tc>
        <w:tc>
          <w:tcPr>
            <w:tcW w:w="2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20"/>
              <w:spacing w:after="0" w:line="202" w:lineRule="exact"/>
              <w:rPr>
                <w:sz w:val="20"/>
                <w:szCs w:val="20"/>
                <w:color w:val="auto"/>
              </w:rPr>
            </w:pPr>
            <w:r>
              <w:rPr>
                <w:rFonts w:ascii="Arial" w:cs="Arial" w:eastAsia="Arial" w:hAnsi="Arial"/>
                <w:sz w:val="18"/>
                <w:szCs w:val="18"/>
                <w:color w:val="auto"/>
              </w:rPr>
              <w:t>Credit Facility due 2012</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 %</w:t>
            </w:r>
          </w:p>
        </w:tc>
        <w:tc>
          <w:tcPr>
            <w:tcW w:w="200" w:type="dxa"/>
            <w:vAlign w:val="bottom"/>
          </w:tcPr>
          <w:p>
            <w:pPr>
              <w:spacing w:after="0"/>
              <w:rPr>
                <w:sz w:val="17"/>
                <w:szCs w:val="17"/>
                <w:color w:val="auto"/>
              </w:rPr>
            </w:pPr>
          </w:p>
        </w:tc>
        <w:tc>
          <w:tcPr>
            <w:tcW w:w="11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Senior Notes due 2012</w:t>
            </w:r>
          </w:p>
        </w:tc>
        <w:tc>
          <w:tcPr>
            <w:tcW w:w="2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5.59%</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1,100</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2013</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5.65%</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Senior Notes due 2013</w:t>
            </w:r>
          </w:p>
        </w:tc>
        <w:tc>
          <w:tcPr>
            <w:tcW w:w="2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7.63%</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20"/>
              <w:spacing w:after="0" w:line="202" w:lineRule="exact"/>
              <w:rPr>
                <w:sz w:val="20"/>
                <w:szCs w:val="20"/>
                <w:color w:val="auto"/>
              </w:rPr>
            </w:pPr>
            <w:r>
              <w:rPr>
                <w:rFonts w:ascii="Arial" w:cs="Arial" w:eastAsia="Arial" w:hAnsi="Arial"/>
                <w:sz w:val="18"/>
                <w:szCs w:val="18"/>
                <w:color w:val="auto"/>
              </w:rPr>
              <w:t>Convertible Notes due 2014</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9.00%</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w:t>
            </w: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Senior Notes due 2014</w:t>
            </w:r>
          </w:p>
        </w:tc>
        <w:tc>
          <w:tcPr>
            <w:tcW w:w="2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38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2015</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4.25%</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Notes due 2016</w:t>
            </w:r>
          </w:p>
        </w:tc>
        <w:tc>
          <w:tcPr>
            <w:tcW w:w="2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7.20%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2016</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6.48%</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Senior Notes due 2017</w:t>
            </w:r>
          </w:p>
        </w:tc>
        <w:tc>
          <w:tcPr>
            <w:tcW w:w="2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6.83%</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2018</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6.37%</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Senior Notes due 2019</w:t>
            </w:r>
          </w:p>
        </w:tc>
        <w:tc>
          <w:tcPr>
            <w:tcW w:w="2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380" w:type="dxa"/>
            <w:vAlign w:val="bottom"/>
          </w:tcPr>
          <w:p>
            <w:pPr>
              <w:ind w:left="420"/>
              <w:spacing w:after="0" w:line="202" w:lineRule="exact"/>
              <w:rPr>
                <w:sz w:val="20"/>
                <w:szCs w:val="20"/>
                <w:color w:val="auto"/>
              </w:rPr>
            </w:pPr>
            <w:r>
              <w:rPr>
                <w:rFonts w:ascii="Arial" w:cs="Arial" w:eastAsia="Arial" w:hAnsi="Arial"/>
                <w:sz w:val="18"/>
                <w:szCs w:val="18"/>
                <w:color w:val="auto"/>
              </w:rPr>
              <w:t>Zero Coupon Notes due 2022</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 %</w:t>
            </w:r>
          </w:p>
        </w:tc>
        <w:tc>
          <w:tcPr>
            <w:tcW w:w="200" w:type="dxa"/>
            <w:vAlign w:val="bottom"/>
          </w:tcPr>
          <w:p>
            <w:pPr>
              <w:spacing w:after="0"/>
              <w:rPr>
                <w:sz w:val="17"/>
                <w:szCs w:val="17"/>
                <w:color w:val="auto"/>
              </w:rPr>
            </w:pPr>
          </w:p>
        </w:tc>
        <w:tc>
          <w:tcPr>
            <w:tcW w:w="11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433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Zero Coupon Notes due 2023</w:t>
            </w:r>
          </w:p>
        </w:tc>
        <w:tc>
          <w:tcPr>
            <w:tcW w:w="2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5.41%</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20"/>
              <w:spacing w:after="0" w:line="202" w:lineRule="exact"/>
              <w:rPr>
                <w:sz w:val="20"/>
                <w:szCs w:val="20"/>
                <w:color w:val="auto"/>
              </w:rPr>
            </w:pPr>
            <w:r>
              <w:rPr>
                <w:rFonts w:ascii="Arial" w:cs="Arial" w:eastAsia="Arial" w:hAnsi="Arial"/>
                <w:sz w:val="18"/>
                <w:szCs w:val="18"/>
                <w:color w:val="auto"/>
              </w:rPr>
              <w:t>Senior Notes due 2039</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6.75%</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Subtotal</w:t>
            </w:r>
          </w:p>
        </w:tc>
        <w:tc>
          <w:tcPr>
            <w:tcW w:w="1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9,037</w:t>
            </w: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8,002</w:t>
            </w:r>
          </w:p>
        </w:tc>
        <w:tc>
          <w:tcPr>
            <w:tcW w:w="100" w:type="dxa"/>
            <w:vAlign w:val="bottom"/>
            <w:shd w:val="clear" w:color="auto" w:fill="CCEEFF"/>
          </w:tcPr>
          <w:p>
            <w:pPr>
              <w:spacing w:after="0"/>
              <w:rPr>
                <w:sz w:val="17"/>
                <w:szCs w:val="17"/>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Xerox Credit Corporation</w:t>
            </w: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Notes due 2013</w:t>
            </w:r>
          </w:p>
        </w:tc>
        <w:tc>
          <w:tcPr>
            <w:tcW w:w="2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6.42%</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w:t>
            </w:r>
          </w:p>
        </w:tc>
      </w:tr>
      <w:tr>
        <w:trPr>
          <w:trHeight w:val="210"/>
        </w:trPr>
        <w:tc>
          <w:tcPr>
            <w:tcW w:w="20" w:type="dxa"/>
            <w:vAlign w:val="bottom"/>
          </w:tcPr>
          <w:p>
            <w:pPr>
              <w:spacing w:after="0"/>
              <w:rPr>
                <w:sz w:val="18"/>
                <w:szCs w:val="18"/>
                <w:color w:val="auto"/>
              </w:rPr>
            </w:pPr>
          </w:p>
        </w:tc>
        <w:tc>
          <w:tcPr>
            <w:tcW w:w="6380" w:type="dxa"/>
            <w:vAlign w:val="bottom"/>
          </w:tcPr>
          <w:p>
            <w:pPr>
              <w:ind w:left="420"/>
              <w:spacing w:after="0" w:line="202" w:lineRule="exact"/>
              <w:rPr>
                <w:sz w:val="20"/>
                <w:szCs w:val="20"/>
                <w:color w:val="auto"/>
              </w:rPr>
            </w:pPr>
            <w:r>
              <w:rPr>
                <w:rFonts w:ascii="Arial" w:cs="Arial" w:eastAsia="Arial" w:hAnsi="Arial"/>
                <w:sz w:val="18"/>
                <w:szCs w:val="18"/>
                <w:color w:val="auto"/>
              </w:rPr>
              <w:t>Notes due 2014</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6.06%</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Subtotal</w:t>
            </w:r>
          </w:p>
        </w:tc>
        <w:tc>
          <w:tcPr>
            <w:tcW w:w="1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w:t>
            </w: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Other U.S. Operations</w:t>
            </w: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Borrowings secured by finance receivables </w:t>
            </w:r>
            <w:r>
              <w:rPr>
                <w:rFonts w:ascii="Arial" w:cs="Arial" w:eastAsia="Arial" w:hAnsi="Arial"/>
                <w:sz w:val="22"/>
                <w:szCs w:val="22"/>
                <w:color w:val="auto"/>
                <w:vertAlign w:val="superscript"/>
              </w:rPr>
              <w:t>(1)</w:t>
            </w:r>
          </w:p>
        </w:tc>
        <w:tc>
          <w:tcPr>
            <w:tcW w:w="2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5.87%</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w:t>
            </w:r>
          </w:p>
        </w:tc>
      </w:tr>
      <w:tr>
        <w:trPr>
          <w:trHeight w:val="210"/>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Borrowings secured by other assets</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11.35%</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Subtotal</w:t>
            </w:r>
          </w:p>
        </w:tc>
        <w:tc>
          <w:tcPr>
            <w:tcW w:w="1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w:t>
            </w:r>
          </w:p>
        </w:tc>
      </w:tr>
      <w:tr>
        <w:trPr>
          <w:trHeight w:val="217"/>
        </w:trPr>
        <w:tc>
          <w:tcPr>
            <w:tcW w:w="20" w:type="dxa"/>
            <w:vAlign w:val="bottom"/>
          </w:tcPr>
          <w:p>
            <w:pPr>
              <w:spacing w:after="0"/>
              <w:rPr>
                <w:sz w:val="18"/>
                <w:szCs w:val="18"/>
                <w:color w:val="auto"/>
              </w:rPr>
            </w:pPr>
          </w:p>
        </w:tc>
        <w:tc>
          <w:tcPr>
            <w:tcW w:w="6380" w:type="dxa"/>
            <w:vAlign w:val="bottom"/>
          </w:tcPr>
          <w:p>
            <w:pPr>
              <w:ind w:left="860"/>
              <w:spacing w:after="0"/>
              <w:rPr>
                <w:sz w:val="20"/>
                <w:szCs w:val="20"/>
                <w:color w:val="auto"/>
              </w:rPr>
            </w:pPr>
            <w:r>
              <w:rPr>
                <w:rFonts w:ascii="Arial" w:cs="Arial" w:eastAsia="Arial" w:hAnsi="Arial"/>
                <w:sz w:val="18"/>
                <w:szCs w:val="18"/>
                <w:b w:val="1"/>
                <w:bCs w:val="1"/>
                <w:color w:val="auto"/>
              </w:rPr>
              <w:t>Total U.S. Operations</w:t>
            </w: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International Operations</w:t>
            </w:r>
          </w:p>
        </w:tc>
        <w:tc>
          <w:tcPr>
            <w:tcW w:w="1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420"/>
              <w:spacing w:after="0" w:line="202" w:lineRule="exact"/>
              <w:rPr>
                <w:sz w:val="20"/>
                <w:szCs w:val="20"/>
                <w:color w:val="auto"/>
              </w:rPr>
            </w:pPr>
            <w:r>
              <w:rPr>
                <w:rFonts w:ascii="Arial" w:cs="Arial" w:eastAsia="Arial" w:hAnsi="Arial"/>
                <w:sz w:val="18"/>
                <w:szCs w:val="18"/>
                <w:color w:val="auto"/>
              </w:rPr>
              <w:t>Other debt due 2009-2010</w:t>
            </w:r>
          </w:p>
        </w:tc>
        <w:tc>
          <w:tcPr>
            <w:tcW w:w="2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2.89%</w:t>
            </w:r>
          </w:p>
        </w:tc>
        <w:tc>
          <w:tcPr>
            <w:tcW w:w="2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4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b w:val="1"/>
                <w:bCs w:val="1"/>
                <w:color w:val="auto"/>
              </w:rPr>
              <w:t>Total International Operations</w:t>
            </w:r>
          </w:p>
        </w:tc>
        <w:tc>
          <w:tcPr>
            <w:tcW w:w="1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w:t>
            </w: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16</w:t>
            </w: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Principal Debt Balance</w:t>
            </w: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9,122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8,140</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Unamortized discount</w:t>
            </w:r>
          </w:p>
        </w:tc>
        <w:tc>
          <w:tcPr>
            <w:tcW w:w="1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w:t>
            </w:r>
          </w:p>
        </w:tc>
      </w:tr>
      <w:tr>
        <w:trPr>
          <w:trHeight w:val="210"/>
        </w:trPr>
        <w:tc>
          <w:tcPr>
            <w:tcW w:w="640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Fair value adjustments </w:t>
            </w:r>
            <w:r>
              <w:rPr>
                <w:rFonts w:ascii="Arial" w:cs="Arial" w:eastAsia="Arial" w:hAnsi="Arial"/>
                <w:sz w:val="22"/>
                <w:szCs w:val="22"/>
                <w:color w:val="auto"/>
                <w:vertAlign w:val="superscript"/>
              </w:rPr>
              <w:t>(2)</w:t>
            </w: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Debt</w:t>
            </w:r>
          </w:p>
        </w:tc>
        <w:tc>
          <w:tcPr>
            <w:tcW w:w="1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9,264</w:t>
            </w: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8,323</w:t>
            </w:r>
          </w:p>
        </w:tc>
        <w:tc>
          <w:tcPr>
            <w:tcW w:w="100" w:type="dxa"/>
            <w:vAlign w:val="bottom"/>
            <w:shd w:val="clear" w:color="auto" w:fill="CCEEFF"/>
          </w:tcPr>
          <w:p>
            <w:pPr>
              <w:spacing w:after="0"/>
              <w:rPr>
                <w:sz w:val="17"/>
                <w:szCs w:val="17"/>
                <w:color w:val="auto"/>
              </w:rPr>
            </w:pPr>
          </w:p>
        </w:tc>
      </w:tr>
      <w:tr>
        <w:trPr>
          <w:trHeight w:val="203"/>
        </w:trPr>
        <w:tc>
          <w:tcPr>
            <w:tcW w:w="6400" w:type="dxa"/>
            <w:vAlign w:val="bottom"/>
            <w:gridSpan w:val="2"/>
          </w:tcPr>
          <w:p>
            <w:pPr>
              <w:spacing w:after="0" w:line="202" w:lineRule="exact"/>
              <w:rPr>
                <w:sz w:val="20"/>
                <w:szCs w:val="20"/>
                <w:color w:val="auto"/>
              </w:rPr>
            </w:pPr>
            <w:r>
              <w:rPr>
                <w:rFonts w:ascii="Arial" w:cs="Arial" w:eastAsia="Arial" w:hAnsi="Arial"/>
                <w:sz w:val="18"/>
                <w:szCs w:val="18"/>
                <w:color w:val="auto"/>
              </w:rPr>
              <w:t>Less: current maturities</w:t>
            </w: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(988)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(1,549)</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1280"/>
              <w:spacing w:after="0" w:line="202" w:lineRule="exact"/>
              <w:rPr>
                <w:sz w:val="20"/>
                <w:szCs w:val="20"/>
                <w:color w:val="auto"/>
              </w:rPr>
            </w:pPr>
            <w:r>
              <w:rPr>
                <w:rFonts w:ascii="Arial" w:cs="Arial" w:eastAsia="Arial" w:hAnsi="Arial"/>
                <w:sz w:val="18"/>
                <w:szCs w:val="18"/>
                <w:b w:val="1"/>
                <w:bCs w:val="1"/>
                <w:color w:val="auto"/>
              </w:rPr>
              <w:t>Total Long-term Debt</w:t>
            </w:r>
          </w:p>
        </w:tc>
        <w:tc>
          <w:tcPr>
            <w:tcW w:w="1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8,276</w:t>
            </w: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6,774</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580" w:right="60" w:hanging="572"/>
        <w:spacing w:after="0" w:line="180" w:lineRule="auto"/>
        <w:tabs>
          <w:tab w:leader="none" w:pos="580" w:val="left"/>
        </w:tabs>
        <w:numPr>
          <w:ilvl w:val="0"/>
          <w:numId w:val="109"/>
        </w:numPr>
        <w:rPr>
          <w:rFonts w:ascii="Arial" w:cs="Arial" w:eastAsia="Arial" w:hAnsi="Arial"/>
          <w:sz w:val="22"/>
          <w:szCs w:val="22"/>
          <w:color w:val="auto"/>
          <w:vertAlign w:val="superscript"/>
        </w:rPr>
      </w:pPr>
      <w:r>
        <w:rPr>
          <w:rFonts w:ascii="Arial" w:cs="Arial" w:eastAsia="Arial" w:hAnsi="Arial"/>
          <w:sz w:val="14"/>
          <w:szCs w:val="14"/>
          <w:color w:val="auto"/>
        </w:rPr>
        <w:t>As of December 31, 2009 and 2008, the associated net encumbered finance receivables were $17 and $104, respectively. This secured loan agreement will terminate in 2010. Refer to Note 19 – Subsequent Events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55</w:t>
      </w:r>
    </w:p>
    <w:p>
      <w:pPr>
        <w:sectPr>
          <w:pgSz w:w="11900" w:h="16838" w:orient="portrait"/>
          <w:cols w:equalWidth="0" w:num="1">
            <w:col w:w="11420"/>
          </w:cols>
          <w:pgMar w:left="240" w:top="291" w:right="239" w:bottom="1440" w:gutter="0" w:footer="0" w:header="0"/>
        </w:sectPr>
      </w:pPr>
    </w:p>
    <w:bookmarkStart w:id="138" w:name="page139"/>
    <w:bookmarkEnd w:id="138"/>
    <w:p>
      <w:pPr>
        <w:ind w:left="580" w:right="20" w:hanging="572"/>
        <w:spacing w:after="0" w:line="182" w:lineRule="auto"/>
        <w:tabs>
          <w:tab w:leader="none" w:pos="580" w:val="left"/>
        </w:tabs>
        <w:numPr>
          <w:ilvl w:val="0"/>
          <w:numId w:val="110"/>
        </w:numPr>
        <w:rPr>
          <w:rFonts w:ascii="Arial" w:cs="Arial" w:eastAsia="Arial" w:hAnsi="Arial"/>
          <w:sz w:val="21"/>
          <w:szCs w:val="21"/>
          <w:color w:val="auto"/>
          <w:vertAlign w:val="superscript"/>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Fair value adjustments represent changes in the fair value of hedged debt obligations attributable to movements in benchmark interest rates. Hedge accounting requires hedged debt instruments to be reported at an amount equal to the sum of their carrying value (principal value plus/minus premiums/discounts) and any fair value adjustment.</w:t>
      </w:r>
    </w:p>
    <w:p>
      <w:pPr>
        <w:ind w:left="580" w:hanging="572"/>
        <w:spacing w:after="0" w:line="188" w:lineRule="auto"/>
        <w:tabs>
          <w:tab w:leader="none" w:pos="580" w:val="left"/>
        </w:tabs>
        <w:numPr>
          <w:ilvl w:val="0"/>
          <w:numId w:val="110"/>
        </w:numPr>
        <w:rPr>
          <w:rFonts w:ascii="Arial" w:cs="Arial" w:eastAsia="Arial" w:hAnsi="Arial"/>
          <w:sz w:val="18"/>
          <w:szCs w:val="18"/>
          <w:color w:val="auto"/>
          <w:vertAlign w:val="superscript"/>
        </w:rPr>
      </w:pPr>
      <w:r>
        <w:rPr>
          <w:rFonts w:ascii="Arial" w:cs="Arial" w:eastAsia="Arial" w:hAnsi="Arial"/>
          <w:sz w:val="12"/>
          <w:szCs w:val="12"/>
          <w:color w:val="auto"/>
        </w:rPr>
        <w:t>Represents weighted average effective interest rate which includes the effect of discounts and premiums on issued debt.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Scheduled payments due on our principal long-term debt for the next five years and thereafter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240" w:type="dxa"/>
            <w:vAlign w:val="bottom"/>
          </w:tcPr>
          <w:p>
            <w:pPr>
              <w:spacing w:after="0"/>
              <w:rPr>
                <w:sz w:val="14"/>
                <w:szCs w:val="14"/>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1040" w:type="dxa"/>
            <w:vAlign w:val="bottom"/>
          </w:tcPr>
          <w:p>
            <w:pPr>
              <w:spacing w:after="0"/>
              <w:rPr>
                <w:sz w:val="14"/>
                <w:szCs w:val="14"/>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1020" w:type="dxa"/>
            <w:vAlign w:val="bottom"/>
          </w:tcPr>
          <w:p>
            <w:pPr>
              <w:spacing w:after="0"/>
              <w:rPr>
                <w:sz w:val="14"/>
                <w:szCs w:val="14"/>
                <w:color w:val="auto"/>
              </w:rPr>
            </w:pP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9"/>
              </w:rPr>
              <w:t>Thereafter</w:t>
            </w:r>
          </w:p>
        </w:tc>
        <w:tc>
          <w:tcPr>
            <w:tcW w:w="10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1840" w:type="dxa"/>
            <w:vAlign w:val="bottom"/>
            <w:gridSpan w:val="3"/>
            <w:shd w:val="clear" w:color="auto" w:fill="CCEEFF"/>
          </w:tcPr>
          <w:p>
            <w:pPr>
              <w:jc w:val="right"/>
              <w:ind w:right="1080"/>
              <w:spacing w:after="0" w:line="197" w:lineRule="exact"/>
              <w:rPr>
                <w:sz w:val="20"/>
                <w:szCs w:val="20"/>
                <w:color w:val="auto"/>
              </w:rPr>
            </w:pPr>
            <w:r>
              <w:rPr>
                <w:rFonts w:ascii="Arial" w:cs="Arial" w:eastAsia="Arial" w:hAnsi="Arial"/>
                <w:sz w:val="18"/>
                <w:szCs w:val="18"/>
                <w:color w:val="auto"/>
              </w:rPr>
              <w:t>$   988</w:t>
            </w:r>
            <w:r>
              <w:rPr>
                <w:rFonts w:ascii="Arial" w:cs="Arial" w:eastAsia="Arial" w:hAnsi="Arial"/>
                <w:sz w:val="22"/>
                <w:szCs w:val="22"/>
                <w:color w:val="auto"/>
                <w:vertAlign w:val="superscript"/>
              </w:rPr>
              <w:t>(1)</w:t>
            </w:r>
          </w:p>
        </w:tc>
        <w:tc>
          <w:tcPr>
            <w:tcW w:w="1660" w:type="dxa"/>
            <w:vAlign w:val="bottom"/>
            <w:gridSpan w:val="2"/>
            <w:shd w:val="clear" w:color="auto" w:fill="CCEEFF"/>
          </w:tcPr>
          <w:p>
            <w:pPr>
              <w:jc w:val="right"/>
              <w:ind w:right="1040"/>
              <w:spacing w:after="0" w:line="196" w:lineRule="exact"/>
              <w:rPr>
                <w:sz w:val="20"/>
                <w:szCs w:val="20"/>
                <w:color w:val="auto"/>
              </w:rPr>
            </w:pPr>
            <w:r>
              <w:rPr>
                <w:rFonts w:ascii="Arial" w:cs="Arial" w:eastAsia="Arial" w:hAnsi="Arial"/>
                <w:sz w:val="18"/>
                <w:szCs w:val="18"/>
                <w:color w:val="auto"/>
              </w:rPr>
              <w:t>$   802</w:t>
            </w:r>
          </w:p>
        </w:tc>
        <w:tc>
          <w:tcPr>
            <w:tcW w:w="126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   1,101</w:t>
            </w:r>
          </w:p>
        </w:tc>
        <w:tc>
          <w:tcPr>
            <w:tcW w:w="2160" w:type="dxa"/>
            <w:vAlign w:val="bottom"/>
            <w:gridSpan w:val="3"/>
            <w:shd w:val="clear" w:color="auto" w:fill="CCEEFF"/>
          </w:tcPr>
          <w:p>
            <w:pPr>
              <w:jc w:val="right"/>
              <w:ind w:right="1020"/>
              <w:spacing w:after="0" w:line="196" w:lineRule="exact"/>
              <w:rPr>
                <w:sz w:val="20"/>
                <w:szCs w:val="20"/>
                <w:color w:val="auto"/>
              </w:rPr>
            </w:pPr>
            <w:r>
              <w:rPr>
                <w:rFonts w:ascii="Arial" w:cs="Arial" w:eastAsia="Arial" w:hAnsi="Arial"/>
                <w:sz w:val="18"/>
                <w:szCs w:val="18"/>
                <w:color w:val="auto"/>
              </w:rPr>
              <w:t>$   961</w:t>
            </w:r>
          </w:p>
        </w:tc>
        <w:tc>
          <w:tcPr>
            <w:tcW w:w="116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   819</w:t>
            </w:r>
          </w:p>
        </w:tc>
        <w:tc>
          <w:tcPr>
            <w:tcW w:w="6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20"/>
              <w:spacing w:after="0" w:line="196" w:lineRule="exact"/>
              <w:rPr>
                <w:sz w:val="20"/>
                <w:szCs w:val="20"/>
                <w:color w:val="auto"/>
              </w:rPr>
            </w:pPr>
            <w:r>
              <w:rPr>
                <w:rFonts w:ascii="Arial" w:cs="Arial" w:eastAsia="Arial" w:hAnsi="Arial"/>
                <w:sz w:val="18"/>
                <w:szCs w:val="18"/>
                <w:color w:val="auto"/>
              </w:rPr>
              <w:t>4,451</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9,122</w:t>
            </w:r>
          </w:p>
        </w:tc>
      </w:tr>
    </w:tbl>
    <w:p>
      <w:pPr>
        <w:spacing w:after="0" w:line="57" w:lineRule="exact"/>
        <w:rPr>
          <w:sz w:val="20"/>
          <w:szCs w:val="20"/>
          <w:color w:val="auto"/>
        </w:rPr>
      </w:pPr>
    </w:p>
    <w:p>
      <w:pPr>
        <w:ind w:left="580" w:hanging="572"/>
        <w:spacing w:after="0"/>
        <w:tabs>
          <w:tab w:leader="none" w:pos="580" w:val="left"/>
        </w:tabs>
        <w:numPr>
          <w:ilvl w:val="0"/>
          <w:numId w:val="111"/>
        </w:numPr>
        <w:rPr>
          <w:rFonts w:ascii="Arial" w:cs="Arial" w:eastAsia="Arial" w:hAnsi="Arial"/>
          <w:sz w:val="22"/>
          <w:szCs w:val="22"/>
          <w:color w:val="auto"/>
          <w:vertAlign w:val="superscript"/>
        </w:rPr>
      </w:pPr>
      <w:r>
        <w:rPr>
          <w:rFonts w:ascii="Arial" w:cs="Arial" w:eastAsia="Arial" w:hAnsi="Arial"/>
          <w:sz w:val="14"/>
          <w:szCs w:val="14"/>
          <w:color w:val="auto"/>
        </w:rPr>
        <w:t>Quarterly total debt maturities for 2010 are $17, $702, $268 and $1 for the first, second, third and fourth quarters,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zero coupon note of $267 due 2023 is included in the above maturity schedule based on the year of its first potential put date of 2010.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Credit Facility</w:t>
      </w:r>
    </w:p>
    <w:p>
      <w:pPr>
        <w:spacing w:after="0" w:line="1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Credit Facility is a $2.0 billion unsecured revolving credit facility including a $300 letter of credit subfacility. At December 31, 2009 we had no outstanding borrowings or letters of credit.</w:t>
      </w:r>
    </w:p>
    <w:p>
      <w:pPr>
        <w:spacing w:after="0" w:line="15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Credit Facility is available, without sublimit, to certain of our qualifying subsidiaries and includes provisions that would allow us to increase the overall size of the Credit Facility up to an aggregate amount of $2.5 billion. Our obligations under the Credit Facility are unsecured and are not currently guaranteed by any of our subsidiaries. Any domestic subsidiary that guarantees more than $100 of Xerox Corporation debt must also guaranty our obligations under the Credit Facility as well. In the event that any of our subsidiaries borrows under the Credit Facility, its borrowings thereunder would be guaranteed by 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October 2009, in connection with the acquisition of ACS, we amended the Credit Facility as follows:</w:t>
      </w:r>
    </w:p>
    <w:p>
      <w:pPr>
        <w:spacing w:after="0" w:line="77" w:lineRule="exact"/>
        <w:rPr>
          <w:sz w:val="20"/>
          <w:szCs w:val="20"/>
          <w:color w:val="auto"/>
        </w:rPr>
      </w:pPr>
    </w:p>
    <w:p>
      <w:pPr>
        <w:ind w:left="460" w:right="340" w:hanging="452"/>
        <w:spacing w:after="0" w:line="239"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definition of “principal debt” was changed such that prior to the closing of the ACS acquisition, it was calculated net of cash proceeds from the Senior Notes issued in connection with the pre-funding of the ACS acquisition.</w:t>
      </w:r>
    </w:p>
    <w:p>
      <w:pPr>
        <w:spacing w:after="0" w:line="73" w:lineRule="exact"/>
        <w:rPr>
          <w:rFonts w:ascii="Arial" w:cs="Arial" w:eastAsia="Arial" w:hAnsi="Arial"/>
          <w:sz w:val="18"/>
          <w:szCs w:val="18"/>
          <w:color w:val="auto"/>
        </w:rPr>
      </w:pPr>
    </w:p>
    <w:p>
      <w:pPr>
        <w:jc w:val="both"/>
        <w:ind w:left="460" w:right="40" w:hanging="452"/>
        <w:spacing w:after="0" w:line="281"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portion of the Credit Facility that had a maturity date of April 30, 2012 was extended to a maturity date of April 30, 2013, consistent with the majority of the Credit Facility. Accordingly, after the amendment, approximately $1.6 billion, or approximately 80% of the Credit Facility, has a maturity date of April 30, 2013. The remaining portion of the Credit Facility continues to have a maturity date of April 30, 2012.</w:t>
      </w:r>
    </w:p>
    <w:p>
      <w:pPr>
        <w:spacing w:after="0" w:line="42" w:lineRule="exact"/>
        <w:rPr>
          <w:rFonts w:ascii="Arial" w:cs="Arial" w:eastAsia="Arial" w:hAnsi="Arial"/>
          <w:sz w:val="16"/>
          <w:szCs w:val="16"/>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Extended the permitted leverage ratios to current levels noted below.</w:t>
      </w:r>
    </w:p>
    <w:p>
      <w:pPr>
        <w:spacing w:after="0" w:line="158"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Borrowings under the Credit Facility bear interest at LIBOR plus an all-in spread that varies between 2.5% and 4.5% depending on our credit rating at the time of borrowing. Based on our credit rating as of December 31, 2009, the applicable all-in spread for the Credit Facility would be 3.50%.</w:t>
      </w:r>
    </w:p>
    <w:p>
      <w:pPr>
        <w:spacing w:after="0" w:line="9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56</w:t>
      </w:r>
    </w:p>
    <w:p>
      <w:pPr>
        <w:sectPr>
          <w:pgSz w:w="11900" w:h="16838" w:orient="portrait"/>
          <w:cols w:equalWidth="0" w:num="1">
            <w:col w:w="11420"/>
          </w:cols>
          <w:pgMar w:left="240" w:top="287" w:right="239" w:bottom="1440" w:gutter="0" w:footer="0" w:header="0"/>
        </w:sectPr>
      </w:pPr>
    </w:p>
    <w:bookmarkStart w:id="139" w:name="page140"/>
    <w:bookmarkEnd w:id="139"/>
    <w:p>
      <w:pPr>
        <w:ind w:right="3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Credit Facility contains various conditions to borrowing and affirmative, negative and financial maintenance covenants. Certain of the more significant covenants are summarized below:</w:t>
      </w:r>
    </w:p>
    <w:p>
      <w:pPr>
        <w:spacing w:after="0" w:line="195" w:lineRule="exact"/>
        <w:rPr>
          <w:sz w:val="20"/>
          <w:szCs w:val="20"/>
          <w:color w:val="auto"/>
        </w:rPr>
      </w:pPr>
    </w:p>
    <w:p>
      <w:pPr>
        <w:ind w:left="460" w:right="300" w:hanging="452"/>
        <w:spacing w:after="0" w:line="239"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Maximum leverage ratio (a quarterly test that is calculated as principal debt divided by consolidated EBITDA, as defined) of 4.25x through September 30, 2010, 4.00x thereafter through December 31, 2010 and 3.75x thereafter to maturity of the facility.</w:t>
      </w:r>
    </w:p>
    <w:p>
      <w:pPr>
        <w:spacing w:after="0" w:line="73" w:lineRule="exact"/>
        <w:rPr>
          <w:rFonts w:ascii="Arial" w:cs="Arial" w:eastAsia="Arial" w:hAnsi="Arial"/>
          <w:sz w:val="18"/>
          <w:szCs w:val="18"/>
          <w:color w:val="auto"/>
        </w:rPr>
      </w:pPr>
    </w:p>
    <w:p>
      <w:pPr>
        <w:ind w:left="460" w:right="240" w:hanging="452"/>
        <w:spacing w:after="0" w:line="239"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Minimum interest coverage ratio (a quarterly test that is calculated as consolidated EBITDA divided by consolidated interest expense) may not be less than 3.00x.</w:t>
      </w:r>
    </w:p>
    <w:p>
      <w:pPr>
        <w:spacing w:after="0" w:line="46" w:lineRule="exact"/>
        <w:rPr>
          <w:rFonts w:ascii="Arial" w:cs="Arial" w:eastAsia="Arial" w:hAnsi="Arial"/>
          <w:sz w:val="18"/>
          <w:szCs w:val="18"/>
          <w:color w:val="auto"/>
        </w:rPr>
      </w:pPr>
    </w:p>
    <w:p>
      <w:pPr>
        <w:ind w:left="460" w:right="720" w:hanging="452"/>
        <w:spacing w:after="0" w:line="239"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Limitations on (i) liens of Xerox and certain of our subsidiaries securing debt, (ii) certain fundamental changes to corporate structure, (iii) changes in nature of business and (iv) limitations on debt incurred by certain subsidiaries.</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Credit Facility also contains various events of default, the occurrence of which could result in a termination by the lenders and the acceleration of all our obligations under the Credit Facility. These events of default include, without limitation: (i) payment defaults, (ii) breaches of covenants under the Credit Facility (certain of which breaches do not have any grace period), (iii) cross-defaults and acceleration to certain of our other obligations and (iv) a change of control of Xerox.</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Senior Notes Offerings</w:t>
      </w:r>
    </w:p>
    <w:p>
      <w:pPr>
        <w:spacing w:after="0" w:line="1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In December 2009, we issued a total of $2.0 billion of Senior Notes. Debt issuance costs of approximately $15 were deferred. The Senior Notes rank equally with our other existing senior unsecured indebtedness. The net proceeds from these Senior Notes were used to repay ACS’s senior credit facility upon completion of the acquisition and to fund a portion of the cash consideration and certain fees and expenses relating to the acquisition of ACS (Refer to Note 3 – Acquisitions for further information). Prior to the closing of the acquisition, the net proceeds from the Senior Notes were invested in cash and cash equivalents.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December 2009 Senior Note offerings: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r>
      <w:tr>
        <w:trPr>
          <w:trHeight w:val="149"/>
        </w:trPr>
        <w:tc>
          <w:tcPr>
            <w:tcW w:w="3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r>
      <w:tr>
        <w:trPr>
          <w:trHeight w:val="149"/>
        </w:trPr>
        <w:tc>
          <w:tcPr>
            <w:tcW w:w="3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Effective</w:t>
            </w:r>
          </w:p>
        </w:tc>
      </w:tr>
      <w:tr>
        <w:trPr>
          <w:trHeight w:val="165"/>
        </w:trPr>
        <w:tc>
          <w:tcPr>
            <w:tcW w:w="3580" w:type="dxa"/>
            <w:vAlign w:val="bottom"/>
          </w:tcPr>
          <w:p>
            <w:pPr>
              <w:spacing w:after="0"/>
              <w:rPr>
                <w:sz w:val="14"/>
                <w:szCs w:val="14"/>
                <w:color w:val="auto"/>
              </w:rPr>
            </w:pP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Rates</w:t>
            </w:r>
          </w:p>
        </w:tc>
        <w:tc>
          <w:tcPr>
            <w:tcW w:w="480" w:type="dxa"/>
            <w:vAlign w:val="bottom"/>
          </w:tcPr>
          <w:p>
            <w:pPr>
              <w:spacing w:after="0"/>
              <w:rPr>
                <w:sz w:val="14"/>
                <w:szCs w:val="14"/>
                <w:color w:val="auto"/>
              </w:rPr>
            </w:pPr>
          </w:p>
        </w:tc>
        <w:tc>
          <w:tcPr>
            <w:tcW w:w="11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 of Par</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4"/>
              </w:rPr>
              <w:t>Principal</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3"/>
              </w:rPr>
              <w:t>Net Proceeds</w:t>
            </w:r>
          </w:p>
        </w:tc>
        <w:tc>
          <w:tcPr>
            <w:tcW w:w="4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Senior Notes due 2015</w:t>
            </w:r>
          </w:p>
        </w:tc>
        <w:tc>
          <w:tcPr>
            <w:tcW w:w="9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4.250%</w:t>
            </w:r>
          </w:p>
        </w:tc>
        <w:tc>
          <w:tcPr>
            <w:tcW w:w="1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99.808%</w:t>
            </w: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991</w:t>
            </w:r>
          </w:p>
        </w:tc>
        <w:tc>
          <w:tcPr>
            <w:tcW w:w="1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4.25%</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Senior Notes due 2019</w:t>
            </w:r>
          </w:p>
        </w:tc>
        <w:tc>
          <w:tcPr>
            <w:tcW w:w="980" w:type="dxa"/>
            <w:vAlign w:val="bottom"/>
          </w:tcPr>
          <w:p>
            <w:pPr>
              <w:ind w:left="340"/>
              <w:spacing w:after="0" w:line="202" w:lineRule="exact"/>
              <w:rPr>
                <w:sz w:val="20"/>
                <w:szCs w:val="20"/>
                <w:color w:val="auto"/>
              </w:rPr>
            </w:pPr>
            <w:r>
              <w:rPr>
                <w:rFonts w:ascii="Arial" w:cs="Arial" w:eastAsia="Arial" w:hAnsi="Arial"/>
                <w:sz w:val="18"/>
                <w:szCs w:val="18"/>
                <w:color w:val="auto"/>
              </w:rPr>
              <w:t>5.625%</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99.725%</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643</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5.63%</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Notes due 2039</w:t>
            </w:r>
          </w:p>
        </w:tc>
        <w:tc>
          <w:tcPr>
            <w:tcW w:w="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6.750%</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99.588%</w:t>
            </w:r>
          </w:p>
        </w:tc>
        <w:tc>
          <w:tcPr>
            <w:tcW w:w="4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4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346</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6.75%</w:t>
            </w: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1,980</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In May 2009, we issued $750 of 8.25% senior notes due 2014 (the “2014 Senior Notes”) at 99.982 percent of par resulting in net proceeds of approximately $745. The 2014 Senior Notes accrue interest at the rate of 8.25% per annum, payable semi-annually and, as a result of the discount, have a weighted average effective interest rate of 8.25%. Debt issuance costs of approximately $5 were deferred. The 2014 Senior Notes rank equally with our other existing senior unsecured indebtedness. Proceeds from the offering were used to repay borrowings under the Credit Facility and for general corporate purposes.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Bridge Loan Facility Commitment</w:t>
      </w:r>
    </w:p>
    <w:p>
      <w:pPr>
        <w:spacing w:after="0" w:line="1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connection with the agreement to acquire ACS, we entered into a syndicated $3.0 billion Bridge Loan Facility commitment with several banks that was to be used for funding of the acquisition in the event the transaction closed prior to obtaining permanent financing in the capital markets. Debt issuance costs for the Bridge Loan Facility commitment were $58. As a result of the successful December Senior Note offering, we reduced the size of the commitment to $500 in December 2009 and as a result of sufficient cash balances as of December 31, 2009, we elected to terminate the remainder of the commitment in January 2010. The Debt issuance costs of $58 were written off to earnings and are included in Acquisition-related costs.</w:t>
      </w:r>
    </w:p>
    <w:p>
      <w:pPr>
        <w:spacing w:after="0" w:line="14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57</w:t>
      </w:r>
    </w:p>
    <w:p>
      <w:pPr>
        <w:sectPr>
          <w:pgSz w:w="11900" w:h="16838" w:orient="portrait"/>
          <w:cols w:equalWidth="0" w:num="1">
            <w:col w:w="11420"/>
          </w:cols>
          <w:pgMar w:left="240" w:top="291"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Zero Coupon Notes</w:t>
      </w:r>
    </w:p>
    <w:p>
      <w:pPr>
        <w:spacing w:after="0" w:line="1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2009, we repaid $400 in Zero Coupon Notes. The total repayment of $448 included accreted interest of $48. These Notes were repaid when the holders exercised a put option to redeem the bond prior to their scheduled maturity in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Guarantees</w:t>
      </w:r>
    </w:p>
    <w:p>
      <w:pPr>
        <w:spacing w:after="0" w:line="18"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At December 31, 2009, we have issued guarantees of $123 on behalf of our foreign subsidiaries. Of this amount, $13 is related to indebtedness of our foreign subsidiaries and is included in our Consolidated Balance Sheet as of December 31, 2009 with the remainder primarily representing letters of credit. In addition, as of December 31, 2009, $56 of letters of credit have been issued in connection with insurance guarantees.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Interest</w:t>
      </w:r>
    </w:p>
    <w:p>
      <w:pPr>
        <w:spacing w:after="0" w:line="1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Interest paid on our short-term debt, long-term debt and liability to subsidiary trust issuing preferred securities amounted to $531, $527 and $552 for the years ended December 31, 2009, 2008 and 2007,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and interest income for the three years ended December 31, 2009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2007</w:t>
            </w:r>
          </w:p>
        </w:tc>
      </w:tr>
      <w:tr>
        <w:trPr>
          <w:trHeight w:val="196"/>
        </w:trPr>
        <w:tc>
          <w:tcPr>
            <w:tcW w:w="75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527</w:t>
            </w:r>
          </w:p>
        </w:tc>
        <w:tc>
          <w:tcPr>
            <w:tcW w:w="8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567</w:t>
            </w:r>
          </w:p>
        </w:tc>
        <w:tc>
          <w:tcPr>
            <w:tcW w:w="8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579</w:t>
            </w:r>
          </w:p>
        </w:tc>
      </w:tr>
      <w:tr>
        <w:trPr>
          <w:trHeight w:val="293"/>
        </w:trPr>
        <w:tc>
          <w:tcPr>
            <w:tcW w:w="75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22"/>
                <w:szCs w:val="22"/>
                <w:color w:val="auto"/>
                <w:vertAlign w:val="superscript"/>
              </w:rPr>
              <w:t>(2)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734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833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877</w:t>
            </w:r>
          </w:p>
        </w:tc>
      </w:tr>
    </w:tbl>
    <w:p>
      <w:pPr>
        <w:ind w:left="580" w:hanging="572"/>
        <w:spacing w:after="0" w:line="195" w:lineRule="auto"/>
        <w:tabs>
          <w:tab w:leader="none" w:pos="580" w:val="left"/>
        </w:tabs>
        <w:numPr>
          <w:ilvl w:val="0"/>
          <w:numId w:val="114"/>
        </w:numPr>
        <w:rPr>
          <w:rFonts w:ascii="Arial" w:cs="Arial" w:eastAsia="Arial" w:hAnsi="Arial"/>
          <w:sz w:val="22"/>
          <w:szCs w:val="22"/>
          <w:color w:val="auto"/>
          <w:vertAlign w:val="superscript"/>
        </w:rPr>
      </w:pPr>
      <w:r>
        <w:rPr>
          <w:rFonts w:ascii="Arial" w:cs="Arial" w:eastAsia="Arial" w:hAnsi="Arial"/>
          <w:sz w:val="14"/>
          <w:szCs w:val="14"/>
          <w:color w:val="auto"/>
        </w:rPr>
        <w:t>Includes Equipment financing interest expense, as well as non-financing interest expense included in Other expenses, net in the Consolidated Statements of Income.</w:t>
      </w:r>
    </w:p>
    <w:p>
      <w:pPr>
        <w:ind w:left="580" w:hanging="572"/>
        <w:spacing w:after="0" w:line="188" w:lineRule="auto"/>
        <w:tabs>
          <w:tab w:leader="none" w:pos="580" w:val="left"/>
        </w:tabs>
        <w:numPr>
          <w:ilvl w:val="0"/>
          <w:numId w:val="114"/>
        </w:numPr>
        <w:rPr>
          <w:rFonts w:ascii="Arial" w:cs="Arial" w:eastAsia="Arial" w:hAnsi="Arial"/>
          <w:sz w:val="18"/>
          <w:szCs w:val="18"/>
          <w:color w:val="auto"/>
          <w:vertAlign w:val="superscript"/>
        </w:rPr>
      </w:pPr>
      <w:r>
        <w:rPr>
          <w:rFonts w:ascii="Arial" w:cs="Arial" w:eastAsia="Arial" w:hAnsi="Arial"/>
          <w:sz w:val="12"/>
          <w:szCs w:val="12"/>
          <w:color w:val="auto"/>
        </w:rPr>
        <w:t>Includes Finance income, as well as other interest income that is included in Other expenses, net in the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Equipment financing interest is determined based on an estimated cost of funds, applied against the estimated level of debt required to support our net finance receivables. The estimated cost of funds is based on a blended rate for term and duration comparable to available borrowing rates for a</w:t>
      </w:r>
    </w:p>
    <w:p>
      <w:pPr>
        <w:ind w:right="320" w:firstLine="8"/>
        <w:spacing w:after="0" w:line="239" w:lineRule="auto"/>
        <w:tabs>
          <w:tab w:leader="none" w:pos="4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rated company, which are reviewed at the end of each period. The estimated level of debt is based on an assumed 7 to 1 leverage ratio of debt/equity as compared to our average finance receivable balance during the applicable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cash proceeds on debt other than secured borrowings as shown on the Consolidated Statements of Cash Flows for the three years ended</w:t>
      </w:r>
    </w:p>
    <w:p>
      <w:pPr>
        <w:spacing w:after="0"/>
        <w:rPr>
          <w:sz w:val="20"/>
          <w:szCs w:val="20"/>
          <w:color w:val="auto"/>
        </w:rPr>
      </w:pPr>
      <w:r>
        <w:rPr>
          <w:rFonts w:ascii="Arial" w:cs="Arial" w:eastAsia="Arial" w:hAnsi="Arial"/>
          <w:sz w:val="18"/>
          <w:szCs w:val="18"/>
          <w:color w:val="auto"/>
        </w:rPr>
        <w:t>December 31, 2009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2007</w:t>
            </w: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payments on notes payable, net</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(1,331)</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Net cash proceeds from issuance of long-term debt</w:t>
            </w:r>
          </w:p>
        </w:tc>
        <w:tc>
          <w:tcPr>
            <w:tcW w:w="240" w:type="dxa"/>
            <w:vAlign w:val="bottom"/>
          </w:tcPr>
          <w:p>
            <w:pPr>
              <w:spacing w:after="0"/>
              <w:rPr>
                <w:sz w:val="17"/>
                <w:szCs w:val="17"/>
                <w:color w:val="auto"/>
              </w:rPr>
            </w:pP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2,702</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1,883</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2,254</w:t>
            </w: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payments on long-term debt</w:t>
            </w: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(448)</w:t>
            </w:r>
          </w:p>
        </w:tc>
        <w:tc>
          <w:tcPr>
            <w:tcW w:w="6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(719)</w:t>
            </w:r>
          </w:p>
        </w:tc>
        <w:tc>
          <w:tcPr>
            <w:tcW w:w="6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w:t>
            </w:r>
          </w:p>
        </w:tc>
      </w:tr>
      <w:tr>
        <w:trPr>
          <w:trHeight w:val="210"/>
        </w:trPr>
        <w:tc>
          <w:tcPr>
            <w:tcW w:w="7520" w:type="dxa"/>
            <w:vAlign w:val="bottom"/>
          </w:tcPr>
          <w:p>
            <w:pPr>
              <w:spacing w:after="0"/>
              <w:rPr>
                <w:sz w:val="20"/>
                <w:szCs w:val="20"/>
                <w:color w:val="auto"/>
              </w:rPr>
            </w:pPr>
            <w:r>
              <w:rPr>
                <w:rFonts w:ascii="Arial" w:cs="Arial" w:eastAsia="Arial" w:hAnsi="Arial"/>
                <w:sz w:val="18"/>
                <w:szCs w:val="18"/>
                <w:b w:val="1"/>
                <w:bCs w:val="1"/>
                <w:color w:val="auto"/>
              </w:rPr>
              <w:t>Net Cash Proceeds on Other Debt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923</w:t>
            </w:r>
          </w:p>
        </w:tc>
        <w:tc>
          <w:tcPr>
            <w:tcW w:w="60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926</w:t>
            </w:r>
          </w:p>
        </w:tc>
        <w:tc>
          <w:tcPr>
            <w:tcW w:w="60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1,814</w:t>
            </w: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Note 12 – Liability to Subsidiary Trust Issuing Preferred Securities</w:t>
      </w:r>
    </w:p>
    <w:p>
      <w:pPr>
        <w:spacing w:after="0" w:line="20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Liability to Subsidiary Trust Issuing Preferred Securities included in our Consolidated Balance Sheets of $649 and $648 as of December 31, 2009 and 2008, respectively, reflects our obligations to Xerox Capital Trust I (“Trust I”) as a result of their loans to us from proceeds related to their issuance of preferred securities. This subsidiary is not consolidated in our financial statements because we are not the primary beneficiary of the trust.</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58</w:t>
      </w:r>
    </w:p>
    <w:p>
      <w:pPr>
        <w:sectPr>
          <w:pgSz w:w="11900" w:h="16838" w:orient="portrait"/>
          <w:cols w:equalWidth="0" w:num="1">
            <w:col w:w="11420"/>
          </w:cols>
          <w:pgMar w:left="240" w:top="269" w:right="239" w:bottom="1440" w:gutter="0" w:footer="0" w:header="0"/>
        </w:sectPr>
      </w:pPr>
    </w:p>
    <w:bookmarkStart w:id="141" w:name="page142"/>
    <w:bookmarkEnd w:id="141"/>
    <w:p>
      <w:pPr>
        <w:ind w:right="4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1997, Trust I issued 650 thousand of 8.0% preferred securities (the “Preferred Securities”) to investors for $644 ($650 liquidation value) and 20,103 shares of common securities to us for $20. With the proceeds from these securities, Trust I purchased $670 principal amount of 8.0% Junior Subordinated Debentures due 2027 of the Company (“the Debentures”). The Debentures represent all of the assets of Trust I. On a consolidated basis, we received net proceeds of $637 which was net of fees and discounts of $13. Interest expense, together with the amortization of debt issuance costs and discounts, was $54 in 2009, 2008 and 2007. We have guaranteed, on a subordinated basis, distributions and other payments due on the Preferred Securities. The guarantee, our obligations under the Debentures, the indenture pursuant to which the Debentures were issued and our obligations under the Amended and Restated Declaration of Trust governing the trust, taken together, provide a full and unconditional guarantee of amounts due on the Preferred Securities. The Preferred Securities accrue and pay cash distributions semiannually at a rate of 8% per year of the stated liquidation amount of one thousand dollars per Preferred Security. The Preferred Securities are mandatorily redeemable upon the maturity of the Debentures on February 1, 2027, or earlier to the extent of any redemption by us of any Debentures. The redemption price in either such case will be one thousand dollars per share plus accrued and unpaid distributions to the date fixed for redemption.</w:t>
      </w:r>
    </w:p>
    <w:p>
      <w:pPr>
        <w:spacing w:after="0" w:line="299"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Note 13 – Financial Instruments</w:t>
      </w:r>
    </w:p>
    <w:p>
      <w:pPr>
        <w:spacing w:after="0" w:line="20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exposed to market risk from changes in foreign currency exchange rates and interest rates, which could affect operating results, financial position and cash flows. We manage our exposure to these market risks through our regular operating and financing activities and, when appropriate, through the use of derivative financial instruments. These derivative financial instruments are utilized to hedge economic exposures, as well as to reduce earnings and cash flow volatility resulting from shifts in market rates. We enter into limited types of derivative contracts, including interest rate swap agreements, foreign currency spot, forward and swap contracts and net purchased foreign currency options to manage interest rate and foreign currency exposures. Our primary foreign currency market exposures include the Japanese Yen, Euro, and British Pound Sterling. The fair market values of all our derivative contracts change with fluctuations in interest rates and/or currency rates and are designed so that any changes in their values are offset by changes in the values of the underlying exposures. Derivative financial instruments are held solely as risk management tools and not for trading or speculative purposes.</w:t>
      </w:r>
    </w:p>
    <w:p>
      <w:pPr>
        <w:spacing w:after="0" w:line="16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required to recognize all derivative instruments as either assets or liabilities at fair value in the balance sheet. As permitted, certain of these derivative contracts have been designated for hedge accounting treatment. Certain of our derivatives that do not qualify for hedge accounting are effective as economic hedges. These derivative contracts are likewise required to be recognized each period at fair value and therefore do result in some level of volatility. The level of volatility will vary with the type and amount of derivative hedges outstanding, as well as fluctuations in the currency and interest rate market during the period. The related cash flow impacts of all of our derivative activities are reflected as cash flows from operating activities.</w:t>
      </w:r>
    </w:p>
    <w:p>
      <w:pPr>
        <w:spacing w:after="0" w:line="156" w:lineRule="exact"/>
        <w:rPr>
          <w:sz w:val="20"/>
          <w:szCs w:val="20"/>
          <w:color w:val="auto"/>
        </w:rPr>
      </w:pPr>
    </w:p>
    <w:p>
      <w:pPr>
        <w:ind w:right="380"/>
        <w:spacing w:after="0" w:line="236" w:lineRule="auto"/>
        <w:rPr>
          <w:sz w:val="20"/>
          <w:szCs w:val="20"/>
          <w:color w:val="auto"/>
        </w:rPr>
      </w:pPr>
      <w:r>
        <w:rPr>
          <w:rFonts w:ascii="Arial" w:cs="Arial" w:eastAsia="Arial" w:hAnsi="Arial"/>
          <w:sz w:val="18"/>
          <w:szCs w:val="18"/>
          <w:color w:val="auto"/>
        </w:rPr>
        <w:t>By their nature all derivative instruments involve, to varying degrees, elements of market and credit risk. The market risk associated with these instruments resulting from currency exchange and interest rate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a diversified group of major financial institutions. Further, our policy is to deal with counterparties having a minimum investment grade or better credit rating. Credit risk is managed through the continuous monitoring of exposures to such counterparties.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Interest Rate Risk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use interest rate swap agreements to manage our interest rate exposure and to achieve a desired proportion of variable and fixed rate debt.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These derivatives may be designated as </w:t>
      </w:r>
      <w:r>
        <w:rPr>
          <w:rFonts w:ascii="Arial" w:cs="Arial" w:eastAsia="Arial" w:hAnsi="Arial"/>
          <w:sz w:val="18"/>
          <w:szCs w:val="18"/>
          <w:b w:val="1"/>
          <w:bCs w:val="1"/>
          <w:color w:val="1269BC"/>
        </w:rPr>
        <w:t>fair value hedges</w:t>
      </w:r>
      <w:r>
        <w:rPr>
          <w:rFonts w:ascii="Arial" w:cs="Arial" w:eastAsia="Arial" w:hAnsi="Arial"/>
          <w:sz w:val="18"/>
          <w:szCs w:val="18"/>
          <w:color w:val="auto"/>
        </w:rPr>
        <w:t xml:space="preserve"> or </w:t>
      </w:r>
      <w:r>
        <w:rPr>
          <w:rFonts w:ascii="Arial" w:cs="Arial" w:eastAsia="Arial" w:hAnsi="Arial"/>
          <w:sz w:val="18"/>
          <w:szCs w:val="18"/>
          <w:b w:val="1"/>
          <w:bCs w:val="1"/>
          <w:color w:val="1269BC"/>
        </w:rPr>
        <w:t>cash flow hedges</w:t>
      </w:r>
      <w:r>
        <w:rPr>
          <w:rFonts w:ascii="Arial" w:cs="Arial" w:eastAsia="Arial" w:hAnsi="Arial"/>
          <w:sz w:val="18"/>
          <w:szCs w:val="18"/>
          <w:color w:val="auto"/>
        </w:rPr>
        <w:t xml:space="preserve"> depending on the nature of the risk being hedged.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Fair Value Hedges</w:t>
      </w:r>
    </w:p>
    <w:p>
      <w:pPr>
        <w:spacing w:after="0" w:line="1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For derivative instruments that are designated and qualify as a fair value hedge, the gain or loss on the derivative, as well as the offsetting loss or gain on the hedged item attributable to the hedged risk are recognized in current earnings. As of December 31, 2009 and 2008, pay variable/receive fixed interest rate swaps with notional amounts of $2,350 and $675 with a net asset fair value of $1 and $53, respectively, were designated and accounted for as fair value hedges. The swaps were structured to hedge the fair value of related debt by converting them from fixed rate instruments to variable rate instruments. No ineffective portion was recorded to earnings during 2009, 2008, or 2007.</w:t>
      </w:r>
    </w:p>
    <w:p>
      <w:pPr>
        <w:spacing w:after="0" w:line="1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59</w:t>
      </w:r>
    </w:p>
    <w:p>
      <w:pPr>
        <w:sectPr>
          <w:pgSz w:w="11900" w:h="16838" w:orient="portrait"/>
          <w:cols w:equalWidth="0" w:num="1">
            <w:col w:w="11420"/>
          </w:cols>
          <w:pgMar w:left="240" w:top="291"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is a summary of our fair value hedges at December 31,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Year First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Net</w:t>
            </w:r>
          </w:p>
        </w:tc>
        <w:tc>
          <w:tcPr>
            <w:tcW w:w="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Debt Instrument</w:t>
            </w:r>
          </w:p>
        </w:tc>
        <w:tc>
          <w:tcPr>
            <w:tcW w:w="3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Designated as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line="149" w:lineRule="exact"/>
              <w:rPr>
                <w:sz w:val="20"/>
                <w:szCs w:val="20"/>
                <w:color w:val="auto"/>
              </w:rPr>
            </w:pPr>
            <w:r>
              <w:rPr>
                <w:rFonts w:ascii="Arial" w:cs="Arial" w:eastAsia="Arial" w:hAnsi="Arial"/>
                <w:sz w:val="14"/>
                <w:szCs w:val="14"/>
                <w:b w:val="1"/>
                <w:bCs w:val="1"/>
                <w:color w:val="auto"/>
              </w:rPr>
              <w:t>Notional</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320" w:type="dxa"/>
            <w:vAlign w:val="bottom"/>
          </w:tcPr>
          <w:p>
            <w:pPr>
              <w:spacing w:after="0"/>
              <w:rPr>
                <w:sz w:val="12"/>
                <w:szCs w:val="12"/>
                <w:color w:val="auto"/>
              </w:rPr>
            </w:pPr>
          </w:p>
        </w:tc>
        <w:tc>
          <w:tcPr>
            <w:tcW w:w="122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Interest</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Hedge</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Rate Paid</w:t>
            </w:r>
          </w:p>
        </w:tc>
        <w:tc>
          <w:tcPr>
            <w:tcW w:w="320" w:type="dxa"/>
            <w:vAlign w:val="bottom"/>
          </w:tcPr>
          <w:p>
            <w:pPr>
              <w:spacing w:after="0"/>
              <w:rPr>
                <w:sz w:val="14"/>
                <w:szCs w:val="14"/>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Rate Received</w:t>
            </w:r>
          </w:p>
        </w:tc>
        <w:tc>
          <w:tcPr>
            <w:tcW w:w="320" w:type="dxa"/>
            <w:vAlign w:val="bottom"/>
          </w:tcPr>
          <w:p>
            <w:pPr>
              <w:spacing w:after="0"/>
              <w:rPr>
                <w:sz w:val="14"/>
                <w:szCs w:val="1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Senior Notes due 2012</w:t>
            </w:r>
          </w:p>
        </w:tc>
        <w:tc>
          <w:tcPr>
            <w:tcW w:w="1540" w:type="dxa"/>
            <w:vAlign w:val="bottom"/>
            <w:gridSpan w:val="2"/>
            <w:shd w:val="clear" w:color="auto" w:fill="CCEEFF"/>
          </w:tcPr>
          <w:p>
            <w:pPr>
              <w:jc w:val="center"/>
              <w:ind w:left="212"/>
              <w:spacing w:after="0" w:line="196" w:lineRule="exact"/>
              <w:rPr>
                <w:sz w:val="20"/>
                <w:szCs w:val="20"/>
                <w:color w:val="auto"/>
              </w:rPr>
            </w:pPr>
            <w:r>
              <w:rPr>
                <w:rFonts w:ascii="Arial" w:cs="Arial" w:eastAsia="Arial" w:hAnsi="Arial"/>
                <w:sz w:val="18"/>
                <w:szCs w:val="18"/>
                <w:color w:val="auto"/>
                <w:w w:val="99"/>
              </w:rPr>
              <w:t>2009</w:t>
            </w:r>
          </w:p>
        </w:tc>
        <w:tc>
          <w:tcPr>
            <w:tcW w:w="4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1,100</w:t>
            </w:r>
          </w:p>
        </w:tc>
        <w:tc>
          <w:tcPr>
            <w:tcW w:w="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4.05%</w:t>
            </w:r>
          </w:p>
        </w:tc>
        <w:tc>
          <w:tcPr>
            <w:tcW w:w="1540" w:type="dxa"/>
            <w:vAlign w:val="bottom"/>
            <w:gridSpan w:val="2"/>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Libor</w:t>
            </w:r>
          </w:p>
        </w:tc>
        <w:tc>
          <w:tcPr>
            <w:tcW w:w="1140" w:type="dxa"/>
            <w:vAlign w:val="bottom"/>
            <w:gridSpan w:val="2"/>
            <w:shd w:val="clear" w:color="auto" w:fill="CCEEFF"/>
          </w:tcPr>
          <w:p>
            <w:pPr>
              <w:jc w:val="center"/>
              <w:ind w:left="212"/>
              <w:spacing w:after="0" w:line="196" w:lineRule="exact"/>
              <w:rPr>
                <w:sz w:val="20"/>
                <w:szCs w:val="20"/>
                <w:color w:val="auto"/>
              </w:rPr>
            </w:pPr>
            <w:r>
              <w:rPr>
                <w:rFonts w:ascii="Arial" w:cs="Arial" w:eastAsia="Arial" w:hAnsi="Arial"/>
                <w:sz w:val="18"/>
                <w:szCs w:val="18"/>
                <w:color w:val="auto"/>
                <w:w w:val="99"/>
              </w:rPr>
              <w:t>2012</w:t>
            </w:r>
          </w:p>
        </w:tc>
        <w:tc>
          <w:tcPr>
            <w:tcW w:w="0" w:type="dxa"/>
            <w:vAlign w:val="bottom"/>
          </w:tcPr>
          <w:p>
            <w:pPr>
              <w:spacing w:after="0"/>
              <w:rPr>
                <w:sz w:val="1"/>
                <w:szCs w:val="1"/>
                <w:color w:val="auto"/>
              </w:rPr>
            </w:pPr>
          </w:p>
        </w:tc>
      </w:tr>
      <w:tr>
        <w:trPr>
          <w:trHeight w:val="203"/>
        </w:trPr>
        <w:tc>
          <w:tcPr>
            <w:tcW w:w="2460" w:type="dxa"/>
            <w:vAlign w:val="bottom"/>
            <w:gridSpan w:val="2"/>
          </w:tcPr>
          <w:p>
            <w:pPr>
              <w:spacing w:after="0" w:line="202" w:lineRule="exact"/>
              <w:rPr>
                <w:sz w:val="20"/>
                <w:szCs w:val="20"/>
                <w:color w:val="auto"/>
              </w:rPr>
            </w:pPr>
            <w:r>
              <w:rPr>
                <w:rFonts w:ascii="Arial" w:cs="Arial" w:eastAsia="Arial" w:hAnsi="Arial"/>
                <w:sz w:val="18"/>
                <w:szCs w:val="18"/>
                <w:color w:val="auto"/>
              </w:rPr>
              <w:t>Senior Notes due 2013</w:t>
            </w:r>
          </w:p>
        </w:tc>
        <w:tc>
          <w:tcPr>
            <w:tcW w:w="1540" w:type="dxa"/>
            <w:vAlign w:val="bottom"/>
            <w:gridSpan w:val="2"/>
          </w:tcPr>
          <w:p>
            <w:pPr>
              <w:jc w:val="center"/>
              <w:ind w:left="212"/>
              <w:spacing w:after="0" w:line="202" w:lineRule="exact"/>
              <w:rPr>
                <w:sz w:val="20"/>
                <w:szCs w:val="20"/>
                <w:color w:val="auto"/>
              </w:rPr>
            </w:pPr>
            <w:r>
              <w:rPr>
                <w:rFonts w:ascii="Arial" w:cs="Arial" w:eastAsia="Arial" w:hAnsi="Arial"/>
                <w:sz w:val="18"/>
                <w:szCs w:val="18"/>
                <w:color w:val="auto"/>
                <w:w w:val="99"/>
              </w:rPr>
              <w:t>2009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3.92%</w:t>
            </w:r>
          </w:p>
        </w:tc>
        <w:tc>
          <w:tcPr>
            <w:tcW w:w="1540" w:type="dxa"/>
            <w:vAlign w:val="bottom"/>
            <w:gridSpan w:val="2"/>
          </w:tcPr>
          <w:p>
            <w:pPr>
              <w:jc w:val="right"/>
              <w:ind w:right="132"/>
              <w:spacing w:after="0" w:line="202" w:lineRule="exact"/>
              <w:rPr>
                <w:sz w:val="20"/>
                <w:szCs w:val="20"/>
                <w:color w:val="auto"/>
              </w:rPr>
            </w:pPr>
            <w:r>
              <w:rPr>
                <w:rFonts w:ascii="Arial" w:cs="Arial" w:eastAsia="Arial" w:hAnsi="Arial"/>
                <w:sz w:val="18"/>
                <w:szCs w:val="18"/>
                <w:color w:val="auto"/>
              </w:rPr>
              <w:t>5.65%</w:t>
            </w:r>
          </w:p>
        </w:tc>
        <w:tc>
          <w:tcPr>
            <w:tcW w:w="320" w:type="dxa"/>
            <w:vAlign w:val="bottom"/>
          </w:tcPr>
          <w:p>
            <w:pPr>
              <w:spacing w:after="0"/>
              <w:rPr>
                <w:sz w:val="17"/>
                <w:szCs w:val="17"/>
                <w:color w:val="auto"/>
              </w:rPr>
            </w:pPr>
          </w:p>
        </w:tc>
        <w:tc>
          <w:tcPr>
            <w:tcW w:w="660" w:type="dxa"/>
            <w:vAlign w:val="bottom"/>
          </w:tcPr>
          <w:p>
            <w:pPr>
              <w:ind w:left="120"/>
              <w:spacing w:after="0" w:line="202" w:lineRule="exact"/>
              <w:rPr>
                <w:sz w:val="20"/>
                <w:szCs w:val="20"/>
                <w:color w:val="auto"/>
              </w:rPr>
            </w:pPr>
            <w:r>
              <w:rPr>
                <w:rFonts w:ascii="Arial" w:cs="Arial" w:eastAsia="Arial" w:hAnsi="Arial"/>
                <w:sz w:val="18"/>
                <w:szCs w:val="18"/>
                <w:color w:val="auto"/>
              </w:rPr>
              <w:t>Libor</w:t>
            </w:r>
          </w:p>
        </w:tc>
        <w:tc>
          <w:tcPr>
            <w:tcW w:w="1140" w:type="dxa"/>
            <w:vAlign w:val="bottom"/>
            <w:gridSpan w:val="2"/>
          </w:tcPr>
          <w:p>
            <w:pPr>
              <w:jc w:val="center"/>
              <w:ind w:left="212"/>
              <w:spacing w:after="0" w:line="202" w:lineRule="exact"/>
              <w:rPr>
                <w:sz w:val="20"/>
                <w:szCs w:val="20"/>
                <w:color w:val="auto"/>
              </w:rPr>
            </w:pPr>
            <w:r>
              <w:rPr>
                <w:rFonts w:ascii="Arial" w:cs="Arial" w:eastAsia="Arial" w:hAnsi="Arial"/>
                <w:sz w:val="18"/>
                <w:szCs w:val="18"/>
                <w:color w:val="auto"/>
                <w:w w:val="99"/>
              </w:rPr>
              <w:t>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Notes due 2014</w:t>
            </w:r>
          </w:p>
        </w:tc>
        <w:tc>
          <w:tcPr>
            <w:tcW w:w="1540" w:type="dxa"/>
            <w:vAlign w:val="bottom"/>
            <w:gridSpan w:val="2"/>
            <w:shd w:val="clear" w:color="auto" w:fill="CCEEFF"/>
          </w:tcPr>
          <w:p>
            <w:pPr>
              <w:jc w:val="center"/>
              <w:ind w:left="212"/>
              <w:spacing w:after="0" w:line="202" w:lineRule="exact"/>
              <w:rPr>
                <w:sz w:val="20"/>
                <w:szCs w:val="20"/>
                <w:color w:val="auto"/>
              </w:rPr>
            </w:pPr>
            <w:r>
              <w:rPr>
                <w:rFonts w:ascii="Arial" w:cs="Arial" w:eastAsia="Arial" w:hAnsi="Arial"/>
                <w:sz w:val="18"/>
                <w:szCs w:val="18"/>
                <w:color w:val="auto"/>
                <w:w w:val="99"/>
              </w:rPr>
              <w:t>2009</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540" w:type="dxa"/>
            <w:vAlign w:val="bottom"/>
            <w:gridSpan w:val="2"/>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5.51%</w:t>
            </w:r>
          </w:p>
        </w:tc>
        <w:tc>
          <w:tcPr>
            <w:tcW w:w="154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8.25%</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Libor</w:t>
            </w:r>
          </w:p>
        </w:tc>
        <w:tc>
          <w:tcPr>
            <w:tcW w:w="1140" w:type="dxa"/>
            <w:vAlign w:val="bottom"/>
            <w:gridSpan w:val="2"/>
            <w:shd w:val="clear" w:color="auto" w:fill="CCEEFF"/>
          </w:tcPr>
          <w:p>
            <w:pPr>
              <w:jc w:val="center"/>
              <w:ind w:left="212"/>
              <w:spacing w:after="0" w:line="202" w:lineRule="exact"/>
              <w:rPr>
                <w:sz w:val="20"/>
                <w:szCs w:val="20"/>
                <w:color w:val="auto"/>
              </w:rPr>
            </w:pPr>
            <w:r>
              <w:rPr>
                <w:rFonts w:ascii="Arial" w:cs="Arial" w:eastAsia="Arial" w:hAnsi="Arial"/>
                <w:sz w:val="18"/>
                <w:szCs w:val="18"/>
                <w:color w:val="auto"/>
                <w:w w:val="99"/>
              </w:rPr>
              <w:t>2014</w:t>
            </w: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line="202" w:lineRule="exact"/>
              <w:rPr>
                <w:sz w:val="20"/>
                <w:szCs w:val="20"/>
                <w:color w:val="auto"/>
              </w:rPr>
            </w:pPr>
            <w:r>
              <w:rPr>
                <w:rFonts w:ascii="Arial" w:cs="Arial" w:eastAsia="Arial" w:hAnsi="Arial"/>
                <w:sz w:val="18"/>
                <w:szCs w:val="18"/>
                <w:color w:val="auto"/>
              </w:rPr>
              <w:t>Senior Notes due 2016</w:t>
            </w:r>
          </w:p>
        </w:tc>
        <w:tc>
          <w:tcPr>
            <w:tcW w:w="1540" w:type="dxa"/>
            <w:vAlign w:val="bottom"/>
            <w:gridSpan w:val="2"/>
          </w:tcPr>
          <w:p>
            <w:pPr>
              <w:jc w:val="center"/>
              <w:ind w:left="212"/>
              <w:spacing w:after="0" w:line="202" w:lineRule="exact"/>
              <w:rPr>
                <w:sz w:val="20"/>
                <w:szCs w:val="20"/>
                <w:color w:val="auto"/>
              </w:rPr>
            </w:pPr>
            <w:r>
              <w:rPr>
                <w:rFonts w:ascii="Arial" w:cs="Arial" w:eastAsia="Arial" w:hAnsi="Arial"/>
                <w:sz w:val="18"/>
                <w:szCs w:val="18"/>
                <w:color w:val="auto"/>
                <w:w w:val="99"/>
              </w:rPr>
              <w:t>2009</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3.11%</w:t>
            </w:r>
          </w:p>
        </w:tc>
        <w:tc>
          <w:tcPr>
            <w:tcW w:w="1540" w:type="dxa"/>
            <w:vAlign w:val="bottom"/>
            <w:gridSpan w:val="2"/>
          </w:tcPr>
          <w:p>
            <w:pPr>
              <w:jc w:val="right"/>
              <w:ind w:right="132"/>
              <w:spacing w:after="0" w:line="202" w:lineRule="exact"/>
              <w:rPr>
                <w:sz w:val="20"/>
                <w:szCs w:val="20"/>
                <w:color w:val="auto"/>
              </w:rPr>
            </w:pPr>
            <w:r>
              <w:rPr>
                <w:rFonts w:ascii="Arial" w:cs="Arial" w:eastAsia="Arial" w:hAnsi="Arial"/>
                <w:sz w:val="18"/>
                <w:szCs w:val="18"/>
                <w:color w:val="auto"/>
              </w:rPr>
              <w:t>6.40%</w:t>
            </w:r>
          </w:p>
        </w:tc>
        <w:tc>
          <w:tcPr>
            <w:tcW w:w="320" w:type="dxa"/>
            <w:vAlign w:val="bottom"/>
          </w:tcPr>
          <w:p>
            <w:pPr>
              <w:spacing w:after="0"/>
              <w:rPr>
                <w:sz w:val="18"/>
                <w:szCs w:val="18"/>
                <w:color w:val="auto"/>
              </w:rPr>
            </w:pPr>
          </w:p>
        </w:tc>
        <w:tc>
          <w:tcPr>
            <w:tcW w:w="660" w:type="dxa"/>
            <w:vAlign w:val="bottom"/>
          </w:tcPr>
          <w:p>
            <w:pPr>
              <w:ind w:left="120"/>
              <w:spacing w:after="0" w:line="202" w:lineRule="exact"/>
              <w:rPr>
                <w:sz w:val="20"/>
                <w:szCs w:val="20"/>
                <w:color w:val="auto"/>
              </w:rPr>
            </w:pPr>
            <w:r>
              <w:rPr>
                <w:rFonts w:ascii="Arial" w:cs="Arial" w:eastAsia="Arial" w:hAnsi="Arial"/>
                <w:sz w:val="18"/>
                <w:szCs w:val="18"/>
                <w:color w:val="auto"/>
              </w:rPr>
              <w:t>Libor</w:t>
            </w:r>
          </w:p>
        </w:tc>
        <w:tc>
          <w:tcPr>
            <w:tcW w:w="1140" w:type="dxa"/>
            <w:vAlign w:val="bottom"/>
            <w:gridSpan w:val="2"/>
          </w:tcPr>
          <w:p>
            <w:pPr>
              <w:jc w:val="center"/>
              <w:ind w:left="212"/>
              <w:spacing w:after="0" w:line="202" w:lineRule="exact"/>
              <w:rPr>
                <w:sz w:val="20"/>
                <w:szCs w:val="20"/>
                <w:color w:val="auto"/>
              </w:rPr>
            </w:pPr>
            <w:r>
              <w:rPr>
                <w:rFonts w:ascii="Arial" w:cs="Arial" w:eastAsia="Arial" w:hAnsi="Arial"/>
                <w:sz w:val="18"/>
                <w:szCs w:val="18"/>
                <w:color w:val="auto"/>
                <w:w w:val="99"/>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Fair Value Hedges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2,350</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Cash Flow Hedges</w:t>
      </w:r>
    </w:p>
    <w:p>
      <w:pPr>
        <w:spacing w:after="0" w:line="1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As of December 31, 2008, a pay fixed/receive variable interest rate swap that was designated and accounted for as a cash flow hedge had a notional amount of $150 and a net liability fair value of $2. The swap was structured to hedge the LIBOR interest rate of the floating Senior Notes due 2009 by converting it from a variable rate instrument to a fixed rate instrument. The swap matured in conjunction with the repayment of the Senior Notes in December 2009. No ineffective portion was recorded to earnings during 2009, 2008 or 2007 and all components of the derivative gain or loss was included in the assessment of hedged effectiveness.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Terminated Swaps</w:t>
      </w:r>
    </w:p>
    <w:p>
      <w:pPr>
        <w:spacing w:after="0" w:line="1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During the period from 2004 to 2009, we early terminated several interest rate swaps which had been designated as fair value hedges of certain debt instruments. These terminated interest rate swaps had an aggregate notional value of $4.0 billion. The associated net fair value adjustments to the debt instruments are being amortized to interest expense over the remaining term of the related notes. In 2009, 2008 and 2007, the amortization of these fair value adjustments reduced interest expense by $17, $12 and $9, respectively, and we expect to record a net decrease in interest expense of $133 in future years through 2027.</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Foreign Exchange Risk Management</w:t>
      </w:r>
    </w:p>
    <w:p>
      <w:pPr>
        <w:spacing w:after="0" w:line="188"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We are a global company that is exposed to foreign currency exchange rate fluctuations in the normal course of its business. As a part of our foreign exchange risk management strategy, we use derivative instruments, primarily forward contracts, to hedge certain foreign currency exposures thereby reducing volatility of earnings or protecting fair values of assets and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Foreign Currency Denominated Assets and Liabilities</w:t>
      </w:r>
    </w:p>
    <w:p>
      <w:pPr>
        <w:spacing w:after="0" w:line="18"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We generally utilize forward foreign exchange contracts to hedge these exposures. Changes in the value of these currency derivatives are recorded in earnings together with the offsetting foreign exchange gains and losses on the underlying assets and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Forecasted Purchases and Sales in Foreign Currency</w:t>
      </w:r>
    </w:p>
    <w:p>
      <w:pPr>
        <w:spacing w:after="0" w:line="1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generally utilize forward foreign exchange contracts and purchased option contracts to hedge these anticipated transactions. These contracts generally mature in twelve months or less. A portion of these contracts are designated as cash-flow hedges.</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60</w:t>
      </w:r>
    </w:p>
    <w:p>
      <w:pPr>
        <w:sectPr>
          <w:pgSz w:w="11900" w:h="16838" w:orient="portrait"/>
          <w:cols w:equalWidth="0" w:num="1">
            <w:col w:w="11420"/>
          </w:cols>
          <w:pgMar w:left="240" w:top="291"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Foreign Exchange Hedging Positions</w:t>
      </w:r>
    </w:p>
    <w:p>
      <w:pPr>
        <w:spacing w:after="0" w:line="18"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At December 31, 2009, we had outstanding forward exchange and purchased option contracts with gross notional values of $2,093 which is reflective of the amounts that are normally outstanding at any point during the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primary hedging positions and corresponding fair values held as of December 31,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ind w:right="257"/>
              <w:spacing w:after="0"/>
              <w:rPr>
                <w:sz w:val="20"/>
                <w:szCs w:val="20"/>
                <w:color w:val="auto"/>
              </w:rPr>
            </w:pPr>
            <w:r>
              <w:rPr>
                <w:rFonts w:ascii="Arial" w:cs="Arial" w:eastAsia="Arial" w:hAnsi="Arial"/>
                <w:sz w:val="14"/>
                <w:szCs w:val="14"/>
                <w:b w:val="1"/>
                <w:bCs w:val="1"/>
                <w:color w:val="auto"/>
                <w:w w:val="93"/>
              </w:rPr>
              <w:t>Gross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8"/>
        </w:trPr>
        <w:tc>
          <w:tcPr>
            <w:tcW w:w="8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Currency Hedged (Buy/Sell)</w:t>
            </w:r>
          </w:p>
        </w:tc>
        <w:tc>
          <w:tcPr>
            <w:tcW w:w="340" w:type="dxa"/>
            <w:vAlign w:val="bottom"/>
          </w:tcPr>
          <w:p>
            <w:pPr>
              <w:spacing w:after="0"/>
              <w:rPr>
                <w:sz w:val="12"/>
                <w:szCs w:val="12"/>
                <w:color w:val="auto"/>
              </w:rPr>
            </w:pPr>
          </w:p>
        </w:tc>
        <w:tc>
          <w:tcPr>
            <w:tcW w:w="1240" w:type="dxa"/>
            <w:vAlign w:val="bottom"/>
          </w:tcPr>
          <w:p>
            <w:pPr>
              <w:jc w:val="center"/>
              <w:ind w:right="257"/>
              <w:spacing w:after="0" w:line="139" w:lineRule="exact"/>
              <w:rPr>
                <w:sz w:val="20"/>
                <w:szCs w:val="20"/>
                <w:color w:val="auto"/>
              </w:rPr>
            </w:pPr>
            <w:r>
              <w:rPr>
                <w:rFonts w:ascii="Arial" w:cs="Arial" w:eastAsia="Arial" w:hAnsi="Arial"/>
                <w:sz w:val="14"/>
                <w:szCs w:val="14"/>
                <w:b w:val="1"/>
                <w:bCs w:val="1"/>
                <w:color w:val="auto"/>
                <w:w w:val="96"/>
              </w:rPr>
              <w:t>Notional</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7"/>
              <w:spacing w:after="0" w:line="139" w:lineRule="exact"/>
              <w:rPr>
                <w:sz w:val="20"/>
                <w:szCs w:val="20"/>
                <w:color w:val="auto"/>
              </w:rPr>
            </w:pPr>
            <w:r>
              <w:rPr>
                <w:rFonts w:ascii="Arial" w:cs="Arial" w:eastAsia="Arial" w:hAnsi="Arial"/>
                <w:sz w:val="14"/>
                <w:szCs w:val="14"/>
                <w:b w:val="1"/>
                <w:bCs w:val="1"/>
                <w:color w:val="auto"/>
                <w:w w:val="94"/>
              </w:rPr>
              <w:t>Asset</w:t>
            </w:r>
          </w:p>
        </w:tc>
        <w:tc>
          <w:tcPr>
            <w:tcW w:w="0" w:type="dxa"/>
            <w:vAlign w:val="bottom"/>
          </w:tcPr>
          <w:p>
            <w:pPr>
              <w:spacing w:after="0"/>
              <w:rPr>
                <w:sz w:val="1"/>
                <w:szCs w:val="1"/>
                <w:color w:val="auto"/>
              </w:rPr>
            </w:pPr>
          </w:p>
        </w:tc>
      </w:tr>
      <w:tr>
        <w:trPr>
          <w:trHeight w:val="176"/>
        </w:trPr>
        <w:tc>
          <w:tcPr>
            <w:tcW w:w="80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57"/>
              <w:spacing w:after="0" w:line="176" w:lineRule="exact"/>
              <w:rPr>
                <w:sz w:val="20"/>
                <w:szCs w:val="20"/>
                <w:color w:val="auto"/>
              </w:rPr>
            </w:pPr>
            <w:r>
              <w:rPr>
                <w:rFonts w:ascii="Arial" w:cs="Arial" w:eastAsia="Arial" w:hAnsi="Arial"/>
                <w:sz w:val="13"/>
                <w:szCs w:val="13"/>
                <w:b w:val="1"/>
                <w:bCs w:val="1"/>
                <w:color w:val="auto"/>
              </w:rPr>
              <w:t xml:space="preserve">(Liability)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U.K. Pound Sterling/Euro</w:t>
            </w:r>
          </w:p>
        </w:tc>
        <w:tc>
          <w:tcPr>
            <w:tcW w:w="60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117"/>
              <w:spacing w:after="0" w:line="196" w:lineRule="exact"/>
              <w:rPr>
                <w:sz w:val="20"/>
                <w:szCs w:val="20"/>
                <w:color w:val="auto"/>
              </w:rPr>
            </w:pPr>
            <w:r>
              <w:rPr>
                <w:rFonts w:ascii="Arial" w:cs="Arial" w:eastAsia="Arial" w:hAnsi="Arial"/>
                <w:sz w:val="18"/>
                <w:szCs w:val="18"/>
                <w:color w:val="auto"/>
              </w:rPr>
              <w:t>668</w:t>
            </w:r>
          </w:p>
        </w:tc>
        <w:tc>
          <w:tcPr>
            <w:tcW w:w="3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157"/>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Euro/U.S. Dollar</w:t>
            </w:r>
          </w:p>
        </w:tc>
        <w:tc>
          <w:tcPr>
            <w:tcW w:w="340" w:type="dxa"/>
            <w:vAlign w:val="bottom"/>
          </w:tcPr>
          <w:p>
            <w:pPr>
              <w:spacing w:after="0"/>
              <w:rPr>
                <w:sz w:val="17"/>
                <w:szCs w:val="17"/>
                <w:color w:val="auto"/>
              </w:rPr>
            </w:pPr>
          </w:p>
        </w:tc>
        <w:tc>
          <w:tcPr>
            <w:tcW w:w="12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113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Dollar/Euro</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57"/>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Swedish Kronor/Euro</w:t>
            </w:r>
          </w:p>
        </w:tc>
        <w:tc>
          <w:tcPr>
            <w:tcW w:w="340" w:type="dxa"/>
            <w:vAlign w:val="bottom"/>
          </w:tcPr>
          <w:p>
            <w:pPr>
              <w:spacing w:after="0"/>
              <w:rPr>
                <w:sz w:val="17"/>
                <w:szCs w:val="17"/>
                <w:color w:val="auto"/>
              </w:rPr>
            </w:pPr>
          </w:p>
        </w:tc>
        <w:tc>
          <w:tcPr>
            <w:tcW w:w="12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134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Swiss Franc/Euro</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Japanese Yen/U.S. Dollar</w:t>
            </w:r>
          </w:p>
        </w:tc>
        <w:tc>
          <w:tcPr>
            <w:tcW w:w="340" w:type="dxa"/>
            <w:vAlign w:val="bottom"/>
          </w:tcPr>
          <w:p>
            <w:pPr>
              <w:spacing w:after="0"/>
              <w:rPr>
                <w:sz w:val="17"/>
                <w:szCs w:val="17"/>
                <w:color w:val="auto"/>
              </w:rPr>
            </w:pPr>
          </w:p>
        </w:tc>
        <w:tc>
          <w:tcPr>
            <w:tcW w:w="12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237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Japanese Yen/Euro</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186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57"/>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Euro/U.K. Pound Sterling</w:t>
            </w:r>
          </w:p>
        </w:tc>
        <w:tc>
          <w:tcPr>
            <w:tcW w:w="340" w:type="dxa"/>
            <w:vAlign w:val="bottom"/>
          </w:tcPr>
          <w:p>
            <w:pPr>
              <w:spacing w:after="0"/>
              <w:rPr>
                <w:sz w:val="17"/>
                <w:szCs w:val="17"/>
                <w:color w:val="auto"/>
              </w:rPr>
            </w:pPr>
          </w:p>
        </w:tc>
        <w:tc>
          <w:tcPr>
            <w:tcW w:w="12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Dollar/Canadian Dollar</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7"/>
              <w:spacing w:after="0" w:line="202" w:lineRule="exact"/>
              <w:rPr>
                <w:sz w:val="20"/>
                <w:szCs w:val="20"/>
                <w:color w:val="auto"/>
              </w:rPr>
            </w:pPr>
            <w:r>
              <w:rPr>
                <w:rFonts w:ascii="Arial" w:cs="Arial" w:eastAsia="Arial" w:hAnsi="Arial"/>
                <w:sz w:val="18"/>
                <w:szCs w:val="18"/>
                <w:color w:val="auto"/>
              </w:rPr>
              <w:t>297</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7"/>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Foreign Exchange Hedging</w:t>
            </w:r>
          </w:p>
        </w:tc>
        <w:tc>
          <w:tcPr>
            <w:tcW w:w="3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b w:val="1"/>
                <w:bCs w:val="1"/>
                <w:color w:val="auto"/>
              </w:rPr>
              <w:t>2,093</w:t>
            </w:r>
          </w:p>
        </w:tc>
        <w:tc>
          <w:tcPr>
            <w:tcW w:w="58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57"/>
              <w:spacing w:after="0" w:line="20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60" w:hanging="152"/>
        <w:spacing w:after="0"/>
        <w:tabs>
          <w:tab w:leader="none" w:pos="160" w:val="left"/>
        </w:tabs>
        <w:numPr>
          <w:ilvl w:val="0"/>
          <w:numId w:val="116"/>
        </w:numPr>
        <w:rPr>
          <w:rFonts w:ascii="Arial" w:cs="Arial" w:eastAsia="Arial" w:hAnsi="Arial"/>
          <w:sz w:val="18"/>
          <w:szCs w:val="18"/>
          <w:color w:val="auto"/>
          <w:vertAlign w:val="superscript"/>
        </w:rPr>
      </w:pPr>
      <w:r>
        <w:rPr>
          <w:rFonts w:ascii="Arial" w:cs="Arial" w:eastAsia="Arial" w:hAnsi="Arial"/>
          <w:sz w:val="12"/>
          <w:szCs w:val="12"/>
          <w:color w:val="auto"/>
        </w:rPr>
        <w:t>Represents the net receivable (payable) amount included in the Consolidated Balance Sheet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Foreign Currency Cash Flow Hedges</w:t>
      </w:r>
    </w:p>
    <w:p>
      <w:pPr>
        <w:spacing w:after="0" w:line="1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designate a portion of our foreign currency derivative contracts as cash flow hedges of our foreign currency denominated inventory purchases and sales. The changes in fair value for these contracts were reported in Accumulated other comprehensive loss and reclassified to Cost of sales and revenue in the period or periods during which the related inventory was sold to a third party. No amount of ineffectiveness was recorded in the Consolidated Statements of Income for these designated cash flow hedges and all components of each derivative’s gain or loss was included in the assessment of hedge effectiveness. As of December 31, 2009, the net asset fair value of these contracts was $1.</w:t>
      </w:r>
    </w:p>
    <w:p>
      <w:pPr>
        <w:spacing w:after="0" w:line="144"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61</w:t>
      </w:r>
    </w:p>
    <w:p>
      <w:pPr>
        <w:sectPr>
          <w:pgSz w:w="11900" w:h="16838" w:orient="portrait"/>
          <w:cols w:equalWidth="0" w:num="1">
            <w:col w:w="11420"/>
          </w:cols>
          <w:pgMar w:left="240" w:top="269"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of Derivative Instruments Fair Values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fair value amounts of derivative instruments at December 31, 2009 and 2008, respectively.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Designation of Derivatives</w:t>
            </w:r>
          </w:p>
        </w:tc>
        <w:tc>
          <w:tcPr>
            <w:tcW w:w="46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Balance Sheet Location</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gridSpan w:val="2"/>
            <w:vMerge w:val="continue"/>
          </w:tcPr>
          <w:p>
            <w:pPr>
              <w:spacing w:after="0"/>
              <w:rPr>
                <w:sz w:val="13"/>
                <w:szCs w:val="13"/>
                <w:color w:val="auto"/>
              </w:rPr>
            </w:pPr>
          </w:p>
        </w:tc>
        <w:tc>
          <w:tcPr>
            <w:tcW w:w="46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right"/>
              <w:ind w:right="494"/>
              <w:spacing w:after="0" w:line="155"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6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58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Derivatives Designated as Hedging</w:t>
            </w:r>
          </w:p>
        </w:tc>
        <w:tc>
          <w:tcPr>
            <w:tcW w:w="4600" w:type="dxa"/>
            <w:vAlign w:val="bottom"/>
            <w:gridSpan w:val="3"/>
            <w:shd w:val="clear" w:color="auto" w:fill="CCEEFF"/>
          </w:tcPr>
          <w:p>
            <w:pPr>
              <w:ind w:left="460"/>
              <w:spacing w:after="0" w:line="184" w:lineRule="exact"/>
              <w:rPr>
                <w:sz w:val="20"/>
                <w:szCs w:val="20"/>
                <w:color w:val="auto"/>
              </w:rPr>
            </w:pPr>
            <w:r>
              <w:rPr>
                <w:rFonts w:ascii="Arial" w:cs="Arial" w:eastAsia="Arial" w:hAnsi="Arial"/>
                <w:sz w:val="18"/>
                <w:szCs w:val="18"/>
                <w:b w:val="1"/>
                <w:bCs w:val="1"/>
                <w:color w:val="auto"/>
              </w:rPr>
              <w:t>Other current assets:</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Instruments</w:t>
            </w:r>
          </w:p>
        </w:tc>
        <w:tc>
          <w:tcPr>
            <w:tcW w:w="46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600" w:type="dxa"/>
            <w:vAlign w:val="bottom"/>
            <w:gridSpan w:val="3"/>
          </w:tcPr>
          <w:p>
            <w:pPr>
              <w:ind w:left="460"/>
              <w:spacing w:after="0"/>
              <w:rPr>
                <w:sz w:val="20"/>
                <w:szCs w:val="20"/>
                <w:color w:val="auto"/>
              </w:rPr>
            </w:pPr>
            <w:r>
              <w:rPr>
                <w:rFonts w:ascii="Arial" w:cs="Arial" w:eastAsia="Arial" w:hAnsi="Arial"/>
                <w:sz w:val="18"/>
                <w:szCs w:val="18"/>
                <w:color w:val="auto"/>
              </w:rPr>
              <w:t>Foreign exchange contracts - forwards</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b w:val="1"/>
                <w:bCs w:val="1"/>
                <w:color w:val="auto"/>
              </w:rPr>
              <w:t>Other long-term assets:</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600" w:type="dxa"/>
            <w:vAlign w:val="bottom"/>
            <w:gridSpan w:val="3"/>
          </w:tcPr>
          <w:p>
            <w:pPr>
              <w:ind w:left="460"/>
              <w:spacing w:after="0" w:line="202" w:lineRule="exact"/>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60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Other current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6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color w:val="auto"/>
              </w:rPr>
              <w:t>Interest rate swaps</w:t>
            </w:r>
          </w:p>
        </w:tc>
        <w:tc>
          <w:tcPr>
            <w:tcW w:w="3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600" w:type="dxa"/>
            <w:vAlign w:val="bottom"/>
            <w:gridSpan w:val="3"/>
          </w:tcPr>
          <w:p>
            <w:pPr>
              <w:ind w:left="460"/>
              <w:spacing w:after="0" w:line="202" w:lineRule="exact"/>
              <w:rPr>
                <w:sz w:val="20"/>
                <w:szCs w:val="20"/>
                <w:color w:val="auto"/>
              </w:rPr>
            </w:pPr>
            <w:r>
              <w:rPr>
                <w:rFonts w:ascii="Arial" w:cs="Arial" w:eastAsia="Arial" w:hAnsi="Arial"/>
                <w:sz w:val="18"/>
                <w:szCs w:val="18"/>
                <w:color w:val="auto"/>
              </w:rPr>
              <w:t>Foreign exchange contracts - forwards</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600" w:type="dxa"/>
            <w:vAlign w:val="bottom"/>
            <w:gridSpan w:val="3"/>
          </w:tcPr>
          <w:p>
            <w:pPr>
              <w:ind w:left="460"/>
              <w:spacing w:after="0"/>
              <w:rPr>
                <w:sz w:val="20"/>
                <w:szCs w:val="20"/>
                <w:color w:val="auto"/>
              </w:rPr>
            </w:pPr>
            <w:r>
              <w:rPr>
                <w:rFonts w:ascii="Arial" w:cs="Arial" w:eastAsia="Arial" w:hAnsi="Arial"/>
                <w:sz w:val="18"/>
                <w:szCs w:val="18"/>
                <w:b w:val="1"/>
                <w:bCs w:val="1"/>
                <w:color w:val="auto"/>
              </w:rPr>
              <w:t>Other long-term liabilities:</w:t>
            </w: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color w:val="auto"/>
              </w:rPr>
              <w:t>Interest rate swaps</w:t>
            </w:r>
          </w:p>
        </w:tc>
        <w:tc>
          <w:tcPr>
            <w:tcW w:w="32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60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58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NOT Designated as</w:t>
            </w:r>
          </w:p>
        </w:tc>
        <w:tc>
          <w:tcPr>
            <w:tcW w:w="4600" w:type="dxa"/>
            <w:vAlign w:val="bottom"/>
            <w:gridSpan w:val="3"/>
            <w:shd w:val="clear" w:color="auto" w:fill="CCEEFF"/>
          </w:tcPr>
          <w:p>
            <w:pPr>
              <w:ind w:left="460"/>
              <w:spacing w:after="0" w:line="178" w:lineRule="exact"/>
              <w:rPr>
                <w:sz w:val="20"/>
                <w:szCs w:val="20"/>
                <w:color w:val="auto"/>
              </w:rPr>
            </w:pPr>
            <w:r>
              <w:rPr>
                <w:rFonts w:ascii="Arial" w:cs="Arial" w:eastAsia="Arial" w:hAnsi="Arial"/>
                <w:sz w:val="18"/>
                <w:szCs w:val="18"/>
                <w:b w:val="1"/>
                <w:bCs w:val="1"/>
                <w:color w:val="auto"/>
              </w:rPr>
              <w:t>Other current assets:</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Hedging Instruments</w:t>
            </w:r>
          </w:p>
        </w:tc>
        <w:tc>
          <w:tcPr>
            <w:tcW w:w="46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600" w:type="dxa"/>
            <w:vAlign w:val="bottom"/>
            <w:gridSpan w:val="3"/>
          </w:tcPr>
          <w:p>
            <w:pPr>
              <w:ind w:left="460"/>
              <w:spacing w:after="0"/>
              <w:rPr>
                <w:sz w:val="20"/>
                <w:szCs w:val="20"/>
                <w:color w:val="auto"/>
              </w:rPr>
            </w:pPr>
            <w:r>
              <w:rPr>
                <w:rFonts w:ascii="Arial" w:cs="Arial" w:eastAsia="Arial" w:hAnsi="Arial"/>
                <w:sz w:val="18"/>
                <w:szCs w:val="18"/>
                <w:color w:val="auto"/>
              </w:rPr>
              <w:t>Foreign exchange contracts - forwards</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b w:val="1"/>
                <w:bCs w:val="1"/>
                <w:color w:val="auto"/>
              </w:rPr>
              <w:t>Other current liabilities:</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600" w:type="dxa"/>
            <w:vAlign w:val="bottom"/>
            <w:gridSpan w:val="3"/>
          </w:tcPr>
          <w:p>
            <w:pPr>
              <w:ind w:left="460"/>
              <w:spacing w:after="0"/>
              <w:rPr>
                <w:sz w:val="20"/>
                <w:szCs w:val="20"/>
                <w:color w:val="auto"/>
              </w:rPr>
            </w:pPr>
            <w:r>
              <w:rPr>
                <w:rFonts w:ascii="Arial" w:cs="Arial" w:eastAsia="Arial" w:hAnsi="Arial"/>
                <w:sz w:val="18"/>
                <w:szCs w:val="18"/>
                <w:color w:val="auto"/>
              </w:rPr>
              <w:t>Foreign exchange contracts - forwards</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Summary of Derivatives</w:t>
            </w:r>
          </w:p>
        </w:tc>
        <w:tc>
          <w:tcPr>
            <w:tcW w:w="46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60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 Derivative Assets</w:t>
            </w:r>
          </w:p>
        </w:tc>
        <w:tc>
          <w:tcPr>
            <w:tcW w:w="3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8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b w:val="1"/>
                <w:bCs w:val="1"/>
                <w:color w:val="auto"/>
              </w:rPr>
              <w:t>Total Derivative Liabilities</w:t>
            </w: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4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60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 Net Derivative Asset (Liability)</w:t>
            </w: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460" w:type="dxa"/>
            <w:vAlign w:val="bottom"/>
          </w:tcPr>
          <w:p>
            <w:pPr>
              <w:spacing w:after="0"/>
              <w:rPr>
                <w:sz w:val="18"/>
                <w:szCs w:val="18"/>
                <w:color w:val="auto"/>
              </w:rPr>
            </w:pP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62</w:t>
      </w:r>
    </w:p>
    <w:p>
      <w:pPr>
        <w:sectPr>
          <w:pgSz w:w="11900" w:h="16838" w:orient="portrait"/>
          <w:cols w:equalWidth="0" w:num="1">
            <w:col w:w="11420"/>
          </w:cols>
          <w:pgMar w:left="240" w:top="256" w:right="2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of Derivative Instruments Gains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gains and losses on derivative instruments for the three years ended December 31, 2009: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4"/>
          </w:tcPr>
          <w:p>
            <w:pPr>
              <w:jc w:val="center"/>
              <w:ind w:left="26"/>
              <w:spacing w:after="0"/>
              <w:rPr>
                <w:sz w:val="20"/>
                <w:szCs w:val="20"/>
                <w:color w:val="auto"/>
              </w:rPr>
            </w:pPr>
            <w:r>
              <w:rPr>
                <w:rFonts w:ascii="Arial" w:cs="Arial" w:eastAsia="Arial" w:hAnsi="Arial"/>
                <w:sz w:val="14"/>
                <w:szCs w:val="14"/>
                <w:b w:val="1"/>
                <w:bCs w:val="1"/>
                <w:color w:val="auto"/>
                <w:w w:val="95"/>
              </w:rPr>
              <w:t>Location of Gain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8"/>
          </w:tcPr>
          <w:p>
            <w:pPr>
              <w:ind w:left="180"/>
              <w:spacing w:after="0"/>
              <w:rPr>
                <w:sz w:val="20"/>
                <w:szCs w:val="20"/>
                <w:color w:val="auto"/>
              </w:rPr>
            </w:pPr>
            <w:r>
              <w:rPr>
                <w:rFonts w:ascii="Arial" w:cs="Arial" w:eastAsia="Arial" w:hAnsi="Arial"/>
                <w:sz w:val="14"/>
                <w:szCs w:val="14"/>
                <w:b w:val="1"/>
                <w:bCs w:val="1"/>
                <w:color w:val="auto"/>
                <w:w w:val="97"/>
              </w:rPr>
              <w:t>Derivative Gain (Loss)</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96"/>
              </w:rPr>
              <w:t>Hedged Item Gain (Loss)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4"/>
          </w:tcPr>
          <w:p>
            <w:pPr>
              <w:jc w:val="right"/>
              <w:ind w:right="640"/>
              <w:spacing w:after="0" w:line="152" w:lineRule="exact"/>
              <w:rPr>
                <w:sz w:val="20"/>
                <w:szCs w:val="20"/>
                <w:color w:val="auto"/>
              </w:rPr>
            </w:pPr>
            <w:r>
              <w:rPr>
                <w:rFonts w:ascii="Arial" w:cs="Arial" w:eastAsia="Arial" w:hAnsi="Arial"/>
                <w:sz w:val="14"/>
                <w:szCs w:val="14"/>
                <w:b w:val="1"/>
                <w:bCs w:val="1"/>
                <w:color w:val="auto"/>
              </w:rPr>
              <w:t>Derivatives in Fair Value</w:t>
            </w:r>
          </w:p>
        </w:tc>
        <w:tc>
          <w:tcPr>
            <w:tcW w:w="260" w:type="dxa"/>
            <w:vAlign w:val="bottom"/>
          </w:tcPr>
          <w:p>
            <w:pPr>
              <w:spacing w:after="0"/>
              <w:rPr>
                <w:sz w:val="13"/>
                <w:szCs w:val="13"/>
                <w:color w:val="auto"/>
              </w:rPr>
            </w:pPr>
          </w:p>
        </w:tc>
        <w:tc>
          <w:tcPr>
            <w:tcW w:w="1400" w:type="dxa"/>
            <w:vAlign w:val="bottom"/>
            <w:gridSpan w:val="4"/>
          </w:tcPr>
          <w:p>
            <w:pPr>
              <w:jc w:val="center"/>
              <w:ind w:left="6"/>
              <w:spacing w:after="0" w:line="152" w:lineRule="exact"/>
              <w:rPr>
                <w:sz w:val="20"/>
                <w:szCs w:val="20"/>
                <w:color w:val="auto"/>
              </w:rPr>
            </w:pPr>
            <w:r>
              <w:rPr>
                <w:rFonts w:ascii="Arial" w:cs="Arial" w:eastAsia="Arial" w:hAnsi="Arial"/>
                <w:sz w:val="14"/>
                <w:szCs w:val="14"/>
                <w:b w:val="1"/>
                <w:bCs w:val="1"/>
                <w:color w:val="auto"/>
                <w:w w:val="96"/>
              </w:rPr>
              <w:t>(Loss) Recognized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8"/>
          </w:tcPr>
          <w:p>
            <w:pPr>
              <w:ind w:left="180"/>
              <w:spacing w:after="0" w:line="152" w:lineRule="exact"/>
              <w:rPr>
                <w:sz w:val="20"/>
                <w:szCs w:val="20"/>
                <w:color w:val="auto"/>
              </w:rPr>
            </w:pPr>
            <w:r>
              <w:rPr>
                <w:rFonts w:ascii="Arial" w:cs="Arial" w:eastAsia="Arial" w:hAnsi="Arial"/>
                <w:sz w:val="14"/>
                <w:szCs w:val="14"/>
                <w:b w:val="1"/>
                <w:bCs w:val="1"/>
                <w:color w:val="auto"/>
                <w:w w:val="97"/>
              </w:rPr>
              <w:t>Recognized in Income</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9"/>
          </w:tcPr>
          <w:p>
            <w:pPr>
              <w:jc w:val="center"/>
              <w:ind w:right="220"/>
              <w:spacing w:after="0" w:line="152" w:lineRule="exact"/>
              <w:rPr>
                <w:sz w:val="20"/>
                <w:szCs w:val="20"/>
                <w:color w:val="auto"/>
              </w:rPr>
            </w:pPr>
            <w:r>
              <w:rPr>
                <w:rFonts w:ascii="Arial" w:cs="Arial" w:eastAsia="Arial" w:hAnsi="Arial"/>
                <w:sz w:val="14"/>
                <w:szCs w:val="14"/>
                <w:b w:val="1"/>
                <w:bCs w:val="1"/>
                <w:color w:val="auto"/>
                <w:w w:val="96"/>
              </w:rPr>
              <w:t>Recognized in Income</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rPr>
              <w:t>Hedging Relationships</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In Income</w:t>
            </w:r>
          </w:p>
        </w:tc>
        <w:tc>
          <w:tcPr>
            <w:tcW w:w="24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6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12"/>
              <w:spacing w:after="0" w:line="149"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96"/>
              <w:spacing w:after="0" w:line="149"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gridSpan w:val="4"/>
            <w:shd w:val="clear" w:color="auto" w:fill="CCEEFF"/>
          </w:tcPr>
          <w:p>
            <w:pPr>
              <w:jc w:val="right"/>
              <w:ind w:right="580"/>
              <w:spacing w:after="0" w:line="196" w:lineRule="exact"/>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center"/>
              <w:ind w:left="26"/>
              <w:spacing w:after="0" w:line="196" w:lineRule="exact"/>
              <w:rPr>
                <w:sz w:val="20"/>
                <w:szCs w:val="20"/>
                <w:color w:val="auto"/>
              </w:rPr>
            </w:pPr>
            <w:r>
              <w:rPr>
                <w:rFonts w:ascii="Arial" w:cs="Arial" w:eastAsia="Arial" w:hAnsi="Arial"/>
                <w:sz w:val="18"/>
                <w:szCs w:val="18"/>
                <w:color w:val="auto"/>
                <w:w w:val="97"/>
              </w:rPr>
              <w:t>Interest expense</w:t>
            </w:r>
          </w:p>
        </w:tc>
        <w:tc>
          <w:tcPr>
            <w:tcW w:w="2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3"/>
              </w:rPr>
              <w:t>(18)</w:t>
            </w:r>
          </w:p>
        </w:tc>
        <w:tc>
          <w:tcPr>
            <w:tcW w:w="340" w:type="dxa"/>
            <w:vAlign w:val="bottom"/>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w w:val="99"/>
              </w:rPr>
              <w:t>18</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ind w:left="340"/>
              <w:spacing w:after="0" w:line="196" w:lineRule="exact"/>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9"/>
            <w:vMerge w:val="restart"/>
          </w:tcPr>
          <w:p>
            <w:pPr>
              <w:jc w:val="center"/>
              <w:ind w:left="322"/>
              <w:spacing w:after="0"/>
              <w:rPr>
                <w:sz w:val="20"/>
                <w:szCs w:val="20"/>
                <w:color w:val="auto"/>
              </w:rPr>
            </w:pPr>
            <w:r>
              <w:rPr>
                <w:rFonts w:ascii="Arial" w:cs="Arial" w:eastAsia="Arial" w:hAnsi="Arial"/>
                <w:sz w:val="14"/>
                <w:szCs w:val="14"/>
                <w:b w:val="1"/>
                <w:bCs w:val="1"/>
                <w:color w:val="auto"/>
                <w:w w:val="96"/>
              </w:rPr>
              <w:t>Derivative Gain (Loss)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8"/>
              </w:rPr>
              <w:t>Location of</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6"/>
              </w:rPr>
              <w:t>Gain (Loss)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gridSpan w:val="9"/>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6"/>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Derivative Gain (Loss)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0" w:type="dxa"/>
            <w:vAlign w:val="bottom"/>
            <w:gridSpan w:val="8"/>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Recognized in OCI</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Reclassified from</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6"/>
              </w:rPr>
              <w:t>Reclassified from AOCI</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0" w:type="dxa"/>
            <w:vAlign w:val="bottom"/>
            <w:gridSpan w:val="3"/>
          </w:tcPr>
          <w:p>
            <w:pPr>
              <w:jc w:val="right"/>
              <w:ind w:right="580"/>
              <w:spacing w:after="0" w:line="129" w:lineRule="exact"/>
              <w:rPr>
                <w:sz w:val="20"/>
                <w:szCs w:val="20"/>
                <w:color w:val="auto"/>
              </w:rPr>
            </w:pPr>
            <w:r>
              <w:rPr>
                <w:rFonts w:ascii="Arial" w:cs="Arial" w:eastAsia="Arial" w:hAnsi="Arial"/>
                <w:sz w:val="14"/>
                <w:szCs w:val="14"/>
                <w:b w:val="1"/>
                <w:bCs w:val="1"/>
                <w:color w:val="auto"/>
                <w:w w:val="96"/>
              </w:rPr>
              <w:t>Derivatives in Cash Flow</w:t>
            </w:r>
          </w:p>
        </w:tc>
        <w:tc>
          <w:tcPr>
            <w:tcW w:w="2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8"/>
          </w:tcPr>
          <w:p>
            <w:pPr>
              <w:jc w:val="center"/>
              <w:ind w:right="200"/>
              <w:spacing w:after="0" w:line="115" w:lineRule="exact"/>
              <w:rPr>
                <w:sz w:val="20"/>
                <w:szCs w:val="20"/>
                <w:color w:val="auto"/>
              </w:rPr>
            </w:pPr>
            <w:r>
              <w:rPr>
                <w:rFonts w:ascii="Arial" w:cs="Arial" w:eastAsia="Arial" w:hAnsi="Arial"/>
                <w:sz w:val="12"/>
                <w:szCs w:val="12"/>
                <w:b w:val="1"/>
                <w:bCs w:val="1"/>
                <w:color w:val="auto"/>
              </w:rPr>
              <w:t>(Effective Portion)</w:t>
            </w: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6"/>
          </w:tcPr>
          <w:p>
            <w:pPr>
              <w:jc w:val="center"/>
              <w:ind w:right="100"/>
              <w:spacing w:after="0" w:line="129" w:lineRule="exact"/>
              <w:rPr>
                <w:sz w:val="20"/>
                <w:szCs w:val="20"/>
                <w:color w:val="auto"/>
              </w:rPr>
            </w:pPr>
            <w:r>
              <w:rPr>
                <w:rFonts w:ascii="Arial" w:cs="Arial" w:eastAsia="Arial" w:hAnsi="Arial"/>
                <w:sz w:val="14"/>
                <w:szCs w:val="14"/>
                <w:b w:val="1"/>
                <w:bCs w:val="1"/>
                <w:color w:val="auto"/>
                <w:w w:val="97"/>
              </w:rPr>
              <w:t>AOCI into Income</w:t>
            </w:r>
          </w:p>
        </w:tc>
        <w:tc>
          <w:tcPr>
            <w:tcW w:w="2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11"/>
          </w:tcPr>
          <w:p>
            <w:pPr>
              <w:jc w:val="center"/>
              <w:spacing w:after="0" w:line="115" w:lineRule="exact"/>
              <w:rPr>
                <w:sz w:val="20"/>
                <w:szCs w:val="20"/>
                <w:color w:val="auto"/>
              </w:rPr>
            </w:pPr>
            <w:r>
              <w:rPr>
                <w:rFonts w:ascii="Arial" w:cs="Arial" w:eastAsia="Arial" w:hAnsi="Arial"/>
                <w:sz w:val="12"/>
                <w:szCs w:val="12"/>
                <w:b w:val="1"/>
                <w:bCs w:val="1"/>
                <w:color w:val="auto"/>
              </w:rPr>
              <w:t>to Income (Effective Portion)</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Hedging Relationships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242"/>
              <w:spacing w:after="0"/>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6"/>
              </w:rPr>
              <w:t>(Effective Portion)</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ind w:left="34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136"/>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Interest rate contracts</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42"/>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7"/>
                <w:szCs w:val="17"/>
                <w:color w:val="auto"/>
              </w:rPr>
            </w:pPr>
          </w:p>
        </w:tc>
        <w:tc>
          <w:tcPr>
            <w:tcW w:w="1800" w:type="dxa"/>
            <w:vAlign w:val="bottom"/>
            <w:gridSpan w:val="7"/>
            <w:shd w:val="clear" w:color="auto" w:fill="CCEEFF"/>
          </w:tcPr>
          <w:p>
            <w:pPr>
              <w:ind w:left="240"/>
              <w:spacing w:after="0" w:line="202" w:lineRule="exact"/>
              <w:rPr>
                <w:sz w:val="20"/>
                <w:szCs w:val="20"/>
                <w:color w:val="auto"/>
              </w:rPr>
            </w:pPr>
            <w:r>
              <w:rPr>
                <w:rFonts w:ascii="Arial" w:cs="Arial" w:eastAsia="Arial" w:hAnsi="Arial"/>
                <w:sz w:val="18"/>
                <w:szCs w:val="18"/>
                <w:color w:val="auto"/>
              </w:rPr>
              <w:t>Interest expense</w:t>
            </w: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00" w:type="dxa"/>
            <w:vAlign w:val="bottom"/>
            <w:gridSpan w:val="5"/>
          </w:tcPr>
          <w:p>
            <w:pPr>
              <w:spacing w:after="0" w:line="206" w:lineRule="exact"/>
              <w:rPr>
                <w:sz w:val="20"/>
                <w:szCs w:val="20"/>
                <w:color w:val="auto"/>
              </w:rPr>
            </w:pPr>
            <w:r>
              <w:rPr>
                <w:rFonts w:ascii="Arial" w:cs="Arial" w:eastAsia="Arial" w:hAnsi="Arial"/>
                <w:sz w:val="18"/>
                <w:szCs w:val="18"/>
                <w:color w:val="auto"/>
              </w:rPr>
              <w:t>Foreign exchange contracts –</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80" w:type="dxa"/>
            <w:vAlign w:val="bottom"/>
            <w:gridSpan w:val="4"/>
          </w:tcPr>
          <w:p>
            <w:pPr>
              <w:jc w:val="right"/>
              <w:ind w:right="1800"/>
              <w:spacing w:after="0" w:line="200" w:lineRule="exact"/>
              <w:rPr>
                <w:sz w:val="20"/>
                <w:szCs w:val="20"/>
                <w:color w:val="auto"/>
              </w:rPr>
            </w:pPr>
            <w:r>
              <w:rPr>
                <w:rFonts w:ascii="Arial" w:cs="Arial" w:eastAsia="Arial" w:hAnsi="Arial"/>
                <w:sz w:val="18"/>
                <w:szCs w:val="18"/>
                <w:color w:val="auto"/>
              </w:rPr>
              <w:t>forwards</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300"/>
              <w:spacing w:after="0" w:line="200"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center"/>
              <w:ind w:left="92"/>
              <w:spacing w:after="0" w:line="200" w:lineRule="exact"/>
              <w:rPr>
                <w:sz w:val="20"/>
                <w:szCs w:val="20"/>
                <w:color w:val="auto"/>
              </w:rPr>
            </w:pPr>
            <w:r>
              <w:rPr>
                <w:rFonts w:ascii="Arial" w:cs="Arial" w:eastAsia="Arial" w:hAnsi="Arial"/>
                <w:sz w:val="18"/>
                <w:szCs w:val="18"/>
                <w:color w:val="auto"/>
                <w:w w:val="99"/>
              </w:rPr>
              <w:t>4</w:t>
            </w:r>
          </w:p>
        </w:tc>
        <w:tc>
          <w:tcPr>
            <w:tcW w:w="1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ind w:right="100"/>
              <w:spacing w:after="0" w:line="200"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c>
          <w:tcPr>
            <w:tcW w:w="1800" w:type="dxa"/>
            <w:vAlign w:val="bottom"/>
            <w:gridSpan w:val="7"/>
          </w:tcPr>
          <w:p>
            <w:pPr>
              <w:ind w:left="240"/>
              <w:spacing w:after="0" w:line="200" w:lineRule="exact"/>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ind w:right="100"/>
              <w:spacing w:after="0" w:line="200"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100"/>
              <w:spacing w:after="0" w:line="20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Cash Flow Hedges</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2</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42"/>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No amount of ineffectiveness was recorded in the Consolidated Statements of Income for these designated cash flow hedges and all components of each derivative’s gain or loss was included in the assessment of hedge effectiveness.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Summary of Non-Designated Derivative Instruments Gains (Losses)</w:t>
      </w:r>
    </w:p>
    <w:p>
      <w:pPr>
        <w:spacing w:after="0" w:line="188"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Non-designated derivative instruments are primarily instruments used to hedge foreign currency denominated assets and liabilities. They are not designated as hedges since there is a natural offset for the re-measurement of the underlying foreign currency denominated asset or liability.</w:t>
      </w:r>
    </w:p>
    <w:p>
      <w:pPr>
        <w:spacing w:after="0" w:line="8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 xml:space="preserve">The following table provides a summary of gains (losses) on </w:t>
      </w:r>
      <w:r>
        <w:rPr>
          <w:rFonts w:ascii="Arial" w:cs="Arial" w:eastAsia="Arial" w:hAnsi="Arial"/>
          <w:sz w:val="18"/>
          <w:szCs w:val="18"/>
          <w:b w:val="1"/>
          <w:bCs w:val="1"/>
          <w:u w:val="single" w:color="auto"/>
          <w:color w:val="1269BC"/>
        </w:rPr>
        <w:t>non-designated</w:t>
      </w:r>
      <w:r>
        <w:rPr>
          <w:rFonts w:ascii="Arial" w:cs="Arial" w:eastAsia="Arial" w:hAnsi="Arial"/>
          <w:sz w:val="18"/>
          <w:szCs w:val="18"/>
          <w:color w:val="auto"/>
        </w:rPr>
        <w:t xml:space="preserve"> derivative instruments for the three years ended December 31, 2009: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20"/>
                <w:szCs w:val="20"/>
                <w:color w:val="auto"/>
              </w:rPr>
            </w:pPr>
            <w:r>
              <w:rPr>
                <w:rFonts w:ascii="Arial" w:cs="Arial" w:eastAsia="Arial" w:hAnsi="Arial"/>
                <w:sz w:val="14"/>
                <w:szCs w:val="14"/>
                <w:b w:val="1"/>
                <w:bCs w:val="1"/>
                <w:color w:val="auto"/>
              </w:rPr>
              <w:t>Derivatives NOT Designated as</w:t>
            </w:r>
          </w:p>
        </w:tc>
        <w:tc>
          <w:tcPr>
            <w:tcW w:w="2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9"/>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Hedging Instruments</w:t>
            </w:r>
          </w:p>
        </w:tc>
        <w:tc>
          <w:tcPr>
            <w:tcW w:w="280" w:type="dxa"/>
            <w:vAlign w:val="bottom"/>
          </w:tcPr>
          <w:p>
            <w:pPr>
              <w:spacing w:after="0"/>
              <w:rPr>
                <w:sz w:val="15"/>
                <w:szCs w:val="15"/>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 of Derivative Gain (Loss)</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Foreign exchange contracts – forwards</w:t>
            </w:r>
          </w:p>
        </w:tc>
        <w:tc>
          <w:tcPr>
            <w:tcW w:w="28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expense – Currency losses, net</w:t>
            </w:r>
          </w:p>
        </w:tc>
        <w:tc>
          <w:tcPr>
            <w:tcW w:w="5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7"/>
              <w:spacing w:after="0" w:line="196" w:lineRule="exact"/>
              <w:rPr>
                <w:sz w:val="20"/>
                <w:szCs w:val="20"/>
                <w:color w:val="auto"/>
              </w:rPr>
            </w:pPr>
            <w:r>
              <w:rPr>
                <w:rFonts w:ascii="Arial" w:cs="Arial" w:eastAsia="Arial" w:hAnsi="Arial"/>
                <w:sz w:val="18"/>
                <w:szCs w:val="18"/>
                <w:color w:val="auto"/>
              </w:rPr>
              <w:t>49</w:t>
            </w:r>
          </w:p>
        </w:tc>
        <w:tc>
          <w:tcPr>
            <w:tcW w:w="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w:t>
            </w:r>
          </w:p>
        </w:tc>
        <w:tc>
          <w:tcPr>
            <w:tcW w:w="5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10"/>
        </w:trPr>
        <w:tc>
          <w:tcPr>
            <w:tcW w:w="3800" w:type="dxa"/>
            <w:vAlign w:val="bottom"/>
          </w:tcPr>
          <w:p>
            <w:pPr>
              <w:spacing w:after="0" w:line="202" w:lineRule="exact"/>
              <w:rPr>
                <w:sz w:val="20"/>
                <w:szCs w:val="20"/>
                <w:color w:val="auto"/>
              </w:rPr>
            </w:pPr>
            <w:r>
              <w:rPr>
                <w:rFonts w:ascii="Arial" w:cs="Arial" w:eastAsia="Arial" w:hAnsi="Arial"/>
                <w:sz w:val="18"/>
                <w:szCs w:val="18"/>
                <w:color w:val="auto"/>
              </w:rPr>
              <w:t>Foreign exchange contracts – options</w:t>
            </w:r>
          </w:p>
        </w:tc>
        <w:tc>
          <w:tcPr>
            <w:tcW w:w="280" w:type="dxa"/>
            <w:vAlign w:val="bottom"/>
          </w:tcPr>
          <w:p>
            <w:pPr>
              <w:spacing w:after="0"/>
              <w:rPr>
                <w:sz w:val="18"/>
                <w:szCs w:val="18"/>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Other expense – Currency losses, net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3</w:t>
            </w:r>
          </w:p>
        </w:tc>
      </w:tr>
      <w:tr>
        <w:trPr>
          <w:trHeight w:val="203"/>
        </w:trPr>
        <w:tc>
          <w:tcPr>
            <w:tcW w:w="3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Non Designated Derivatives</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b w:val="1"/>
                <w:bCs w:val="1"/>
                <w:color w:val="auto"/>
              </w:rPr>
              <w:t>49</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(147)</w:t>
            </w: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w:t>
            </w: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During the three years ended December 31, 2009, we recorded Currency losses, net of $26, $34 and $8, respectively. Currency losses, net includes the mark-to-market of the derivatives not designated as hedging instruments and the related cost of those derivatives, as well as the re-measurement of foreign currency denominated assets and liabilities.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Accumulated Other Comprehensive Loss (“AOCL”)</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activity associated with all of our designated cash flow hedges (interest rate and foreign currency)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reflected in AOCL for the three years ended December 31, 2009:</w:t>
      </w:r>
    </w:p>
    <w:p>
      <w:pPr>
        <w:spacing w:after="0" w:line="144"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63</w:t>
      </w:r>
    </w:p>
    <w:p>
      <w:pPr>
        <w:sectPr>
          <w:pgSz w:w="11900" w:h="16838" w:orient="portrait"/>
          <w:cols w:equalWidth="0" w:num="1">
            <w:col w:w="11420"/>
          </w:cols>
          <w:pgMar w:left="240" w:top="255"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65"/>
        </w:trPr>
        <w:tc>
          <w:tcPr>
            <w:tcW w:w="64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9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96"/>
        </w:trPr>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cash flow hedges balance, net of tax</w:t>
            </w:r>
          </w:p>
        </w:tc>
        <w:tc>
          <w:tcPr>
            <w:tcW w:w="940" w:type="dxa"/>
            <w:vAlign w:val="bottom"/>
            <w:shd w:val="clear" w:color="auto" w:fill="CCEEFF"/>
          </w:tcPr>
          <w:p>
            <w:pPr>
              <w:jc w:val="right"/>
              <w:ind w:right="579"/>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Changes in fair value gain (loss)</w:t>
            </w:r>
          </w:p>
        </w:tc>
        <w:tc>
          <w:tcPr>
            <w:tcW w:w="940" w:type="dxa"/>
            <w:vAlign w:val="bottom"/>
          </w:tcPr>
          <w:p>
            <w:pPr>
              <w:spacing w:after="0"/>
              <w:rPr>
                <w:sz w:val="17"/>
                <w:szCs w:val="17"/>
                <w:color w:val="auto"/>
              </w:rPr>
            </w:pP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Reclass to earnings</w:t>
            </w: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8"/>
                <w:szCs w:val="18"/>
                <w:b w:val="1"/>
                <w:bCs w:val="1"/>
                <w:color w:val="auto"/>
              </w:rPr>
              <w:t>Ending Cash Flow Hedges Balance, Net of Tax</w:t>
            </w:r>
          </w:p>
        </w:tc>
        <w:tc>
          <w:tcPr>
            <w:tcW w:w="9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1269BC"/>
        </w:rPr>
        <w:t>Fair Value of Financial Assets and Liabilities</w:t>
      </w:r>
    </w:p>
    <w:p>
      <w:pPr>
        <w:spacing w:after="0" w:line="10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following table represents our assets and liabilities measured at fair value on a recurring basis as of December 31, 2009 and 2008 and the basis for that measurement: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Fair Value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5"/>
              </w:rPr>
              <w:t>Quoted Prices in</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7"/>
              </w:rPr>
              <w:t>Significant Other</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Measurement</w:t>
            </w:r>
          </w:p>
        </w:tc>
        <w:tc>
          <w:tcPr>
            <w:tcW w:w="38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38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Unobservable Inputs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2009</w:t>
            </w:r>
          </w:p>
        </w:tc>
        <w:tc>
          <w:tcPr>
            <w:tcW w:w="380" w:type="dxa"/>
            <w:vAlign w:val="bottom"/>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Identical Asset (Level 1)</w:t>
            </w: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Foreign exchange contracts-forwards</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16</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ind w:left="9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16</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26</w:t>
            </w:r>
          </w:p>
        </w:tc>
        <w:tc>
          <w:tcPr>
            <w:tcW w:w="3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26</w:t>
            </w:r>
          </w:p>
        </w:tc>
        <w:tc>
          <w:tcPr>
            <w:tcW w:w="38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Derivative Liabilities: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Foreign exchange contracts-forwards</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15</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ind w:left="9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15</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24</w:t>
            </w:r>
          </w:p>
        </w:tc>
        <w:tc>
          <w:tcPr>
            <w:tcW w:w="3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24</w:t>
            </w:r>
          </w:p>
        </w:tc>
        <w:tc>
          <w:tcPr>
            <w:tcW w:w="38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Fair Value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5"/>
              </w:rPr>
              <w:t>Quoted Prices in</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7"/>
              </w:rPr>
              <w:t>Significant Other</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Measurement</w:t>
            </w:r>
          </w:p>
        </w:tc>
        <w:tc>
          <w:tcPr>
            <w:tcW w:w="38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38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Unobservable Inputs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2008</w:t>
            </w:r>
          </w:p>
        </w:tc>
        <w:tc>
          <w:tcPr>
            <w:tcW w:w="380" w:type="dxa"/>
            <w:vAlign w:val="bottom"/>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Identical Asset (Level 1)</w:t>
            </w: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Foreign exchange contracts-forwards</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39</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ind w:left="9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39</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92</w:t>
            </w:r>
          </w:p>
        </w:tc>
        <w:tc>
          <w:tcPr>
            <w:tcW w:w="3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92</w:t>
            </w:r>
          </w:p>
        </w:tc>
        <w:tc>
          <w:tcPr>
            <w:tcW w:w="38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Derivative Liabilities: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Foreign exchange contracts-forwards</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132</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ind w:left="9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132</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134</w:t>
            </w:r>
          </w:p>
        </w:tc>
        <w:tc>
          <w:tcPr>
            <w:tcW w:w="3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134</w:t>
            </w:r>
          </w:p>
        </w:tc>
        <w:tc>
          <w:tcPr>
            <w:tcW w:w="38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2009 and 2008, we utilized the income approach to measure fair value for our derivative assets and liabilities. The income approach uses pricing models that rely on market observable inputs such as yield curves, currency exchange rates and forward prices, and therefore are classified as Level 2.</w:t>
      </w:r>
    </w:p>
    <w:p>
      <w:pPr>
        <w:spacing w:after="0" w:line="141"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64</w:t>
      </w:r>
    </w:p>
    <w:p>
      <w:pPr>
        <w:sectPr>
          <w:pgSz w:w="11900" w:h="16838" w:orient="portrait"/>
          <w:cols w:equalWidth="0" w:num="1">
            <w:col w:w="11420"/>
          </w:cols>
          <w:pgMar w:left="240" w:top="271" w:right="23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of Other Financial Assets &amp; Liabilities Not Measured at Fair Value on a Recurring Basis</w:t>
      </w:r>
    </w:p>
    <w:p>
      <w:pPr>
        <w:spacing w:after="0" w:line="18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estimated fair values of our other financial assets and liabilities not measured at fair value on a recurring basis at December 31, 2009 and 2008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1040" w:type="dxa"/>
            <w:vAlign w:val="bottom"/>
            <w:tcBorders>
              <w:bottom w:val="single" w:sz="8" w:color="auto"/>
            </w:tcBorders>
          </w:tcPr>
          <w:p>
            <w:pPr>
              <w:spacing w:after="0"/>
              <w:rPr>
                <w:sz w:val="14"/>
                <w:szCs w:val="14"/>
                <w:color w:val="auto"/>
              </w:rPr>
            </w:pPr>
          </w:p>
        </w:tc>
      </w:tr>
      <w:tr>
        <w:trPr>
          <w:trHeight w:val="125"/>
        </w:trPr>
        <w:tc>
          <w:tcPr>
            <w:tcW w:w="6320" w:type="dxa"/>
            <w:vAlign w:val="bottom"/>
          </w:tcPr>
          <w:p>
            <w:pPr>
              <w:spacing w:after="0"/>
              <w:rPr>
                <w:sz w:val="10"/>
                <w:szCs w:val="10"/>
                <w:color w:val="auto"/>
              </w:rPr>
            </w:pPr>
          </w:p>
        </w:tc>
        <w:tc>
          <w:tcPr>
            <w:tcW w:w="1040" w:type="dxa"/>
            <w:vAlign w:val="bottom"/>
          </w:tcPr>
          <w:p>
            <w:pPr>
              <w:jc w:val="right"/>
              <w:ind w:right="158"/>
              <w:spacing w:after="0" w:line="125"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0"/>
                <w:szCs w:val="10"/>
                <w:color w:val="auto"/>
              </w:rPr>
            </w:pPr>
          </w:p>
        </w:tc>
        <w:tc>
          <w:tcPr>
            <w:tcW w:w="1040" w:type="dxa"/>
            <w:vAlign w:val="bottom"/>
          </w:tcPr>
          <w:p>
            <w:pPr>
              <w:jc w:val="right"/>
              <w:ind w:right="332"/>
              <w:spacing w:after="0" w:line="125"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0"/>
                <w:szCs w:val="10"/>
                <w:color w:val="auto"/>
              </w:rPr>
            </w:pPr>
          </w:p>
        </w:tc>
        <w:tc>
          <w:tcPr>
            <w:tcW w:w="1040" w:type="dxa"/>
            <w:vAlign w:val="bottom"/>
          </w:tcPr>
          <w:p>
            <w:pPr>
              <w:jc w:val="right"/>
              <w:ind w:right="172"/>
              <w:spacing w:after="0" w:line="125"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0"/>
                <w:szCs w:val="10"/>
                <w:color w:val="auto"/>
              </w:rPr>
            </w:pPr>
          </w:p>
        </w:tc>
        <w:tc>
          <w:tcPr>
            <w:tcW w:w="1040" w:type="dxa"/>
            <w:vAlign w:val="bottom"/>
          </w:tcPr>
          <w:p>
            <w:pPr>
              <w:jc w:val="right"/>
              <w:ind w:right="332"/>
              <w:spacing w:after="0" w:line="125" w:lineRule="exact"/>
              <w:rPr>
                <w:sz w:val="20"/>
                <w:szCs w:val="20"/>
                <w:color w:val="auto"/>
              </w:rPr>
            </w:pPr>
            <w:r>
              <w:rPr>
                <w:rFonts w:ascii="Arial" w:cs="Arial" w:eastAsia="Arial" w:hAnsi="Arial"/>
                <w:sz w:val="14"/>
                <w:szCs w:val="14"/>
                <w:b w:val="1"/>
                <w:bCs w:val="1"/>
                <w:color w:val="auto"/>
              </w:rPr>
              <w:t>Fair</w:t>
            </w:r>
          </w:p>
        </w:tc>
      </w:tr>
      <w:tr>
        <w:trPr>
          <w:trHeight w:val="165"/>
        </w:trPr>
        <w:tc>
          <w:tcPr>
            <w:tcW w:w="6320" w:type="dxa"/>
            <w:vAlign w:val="bottom"/>
          </w:tcPr>
          <w:p>
            <w:pPr>
              <w:spacing w:after="0"/>
              <w:rPr>
                <w:sz w:val="14"/>
                <w:szCs w:val="14"/>
                <w:color w:val="auto"/>
              </w:rPr>
            </w:pPr>
          </w:p>
        </w:tc>
        <w:tc>
          <w:tcPr>
            <w:tcW w:w="10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Value</w:t>
            </w: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jc w:val="right"/>
              <w:ind w:right="98"/>
              <w:spacing w:after="0" w:line="196" w:lineRule="exact"/>
              <w:rPr>
                <w:sz w:val="20"/>
                <w:szCs w:val="20"/>
                <w:color w:val="auto"/>
              </w:rPr>
            </w:pPr>
            <w:r>
              <w:rPr>
                <w:rFonts w:ascii="Arial" w:cs="Arial" w:eastAsia="Arial" w:hAnsi="Arial"/>
                <w:sz w:val="18"/>
                <w:szCs w:val="18"/>
                <w:color w:val="auto"/>
              </w:rPr>
              <w:t>$  3,799</w:t>
            </w:r>
          </w:p>
        </w:tc>
        <w:tc>
          <w:tcPr>
            <w:tcW w:w="1360" w:type="dxa"/>
            <w:vAlign w:val="bottom"/>
            <w:gridSpan w:val="2"/>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  3,799</w:t>
            </w:r>
          </w:p>
        </w:tc>
        <w:tc>
          <w:tcPr>
            <w:tcW w:w="1340" w:type="dxa"/>
            <w:vAlign w:val="bottom"/>
            <w:gridSpan w:val="2"/>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  1,229</w:t>
            </w:r>
          </w:p>
        </w:tc>
        <w:tc>
          <w:tcPr>
            <w:tcW w:w="1360" w:type="dxa"/>
            <w:vAlign w:val="bottom"/>
            <w:gridSpan w:val="2"/>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  1,229</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1040" w:type="dxa"/>
            <w:vAlign w:val="bottom"/>
          </w:tcPr>
          <w:p>
            <w:pPr>
              <w:jc w:val="right"/>
              <w:ind w:right="98"/>
              <w:spacing w:after="0" w:line="202" w:lineRule="exact"/>
              <w:rPr>
                <w:sz w:val="20"/>
                <w:szCs w:val="20"/>
                <w:color w:val="auto"/>
              </w:rPr>
            </w:pPr>
            <w:r>
              <w:rPr>
                <w:rFonts w:ascii="Arial" w:cs="Arial" w:eastAsia="Arial" w:hAnsi="Arial"/>
                <w:sz w:val="18"/>
                <w:szCs w:val="18"/>
                <w:color w:val="auto"/>
              </w:rPr>
              <w:t>1,702</w:t>
            </w:r>
          </w:p>
        </w:tc>
        <w:tc>
          <w:tcPr>
            <w:tcW w:w="1360" w:type="dxa"/>
            <w:vAlign w:val="bottom"/>
            <w:gridSpan w:val="2"/>
          </w:tcPr>
          <w:p>
            <w:pPr>
              <w:jc w:val="right"/>
              <w:ind w:right="132"/>
              <w:spacing w:after="0" w:line="202" w:lineRule="exact"/>
              <w:rPr>
                <w:sz w:val="20"/>
                <w:szCs w:val="20"/>
                <w:color w:val="auto"/>
              </w:rPr>
            </w:pPr>
            <w:r>
              <w:rPr>
                <w:rFonts w:ascii="Arial" w:cs="Arial" w:eastAsia="Arial" w:hAnsi="Arial"/>
                <w:sz w:val="18"/>
                <w:szCs w:val="18"/>
                <w:color w:val="auto"/>
              </w:rPr>
              <w:t>1,702</w:t>
            </w:r>
          </w:p>
        </w:tc>
        <w:tc>
          <w:tcPr>
            <w:tcW w:w="134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2,184</w:t>
            </w:r>
          </w:p>
        </w:tc>
        <w:tc>
          <w:tcPr>
            <w:tcW w:w="1360" w:type="dxa"/>
            <w:vAlign w:val="bottom"/>
            <w:gridSpan w:val="2"/>
          </w:tcPr>
          <w:p>
            <w:pPr>
              <w:jc w:val="right"/>
              <w:ind w:right="132"/>
              <w:spacing w:after="0" w:line="202" w:lineRule="exact"/>
              <w:rPr>
                <w:sz w:val="20"/>
                <w:szCs w:val="20"/>
                <w:color w:val="auto"/>
              </w:rPr>
            </w:pPr>
            <w:r>
              <w:rPr>
                <w:rFonts w:ascii="Arial" w:cs="Arial" w:eastAsia="Arial" w:hAnsi="Arial"/>
                <w:sz w:val="18"/>
                <w:szCs w:val="18"/>
                <w:color w:val="auto"/>
              </w:rPr>
              <w:t>2,184</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debt</w:t>
            </w:r>
          </w:p>
        </w:tc>
        <w:tc>
          <w:tcPr>
            <w:tcW w:w="1040" w:type="dxa"/>
            <w:vAlign w:val="bottom"/>
            <w:shd w:val="clear" w:color="auto" w:fill="CCEEFF"/>
          </w:tcPr>
          <w:p>
            <w:pPr>
              <w:jc w:val="right"/>
              <w:ind w:right="98"/>
              <w:spacing w:after="0" w:line="202" w:lineRule="exact"/>
              <w:rPr>
                <w:sz w:val="20"/>
                <w:szCs w:val="20"/>
                <w:color w:val="auto"/>
              </w:rPr>
            </w:pPr>
            <w:r>
              <w:rPr>
                <w:rFonts w:ascii="Arial" w:cs="Arial" w:eastAsia="Arial" w:hAnsi="Arial"/>
                <w:sz w:val="18"/>
                <w:szCs w:val="18"/>
                <w:color w:val="auto"/>
              </w:rPr>
              <w:t>988</w:t>
            </w:r>
          </w:p>
        </w:tc>
        <w:tc>
          <w:tcPr>
            <w:tcW w:w="136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1,004</w:t>
            </w:r>
          </w:p>
        </w:tc>
        <w:tc>
          <w:tcPr>
            <w:tcW w:w="134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1,610</w:t>
            </w:r>
          </w:p>
        </w:tc>
        <w:tc>
          <w:tcPr>
            <w:tcW w:w="136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1,593</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040" w:type="dxa"/>
            <w:vAlign w:val="bottom"/>
          </w:tcPr>
          <w:p>
            <w:pPr>
              <w:jc w:val="right"/>
              <w:ind w:right="98"/>
              <w:spacing w:after="0" w:line="202" w:lineRule="exact"/>
              <w:rPr>
                <w:sz w:val="20"/>
                <w:szCs w:val="20"/>
                <w:color w:val="auto"/>
              </w:rPr>
            </w:pPr>
            <w:r>
              <w:rPr>
                <w:rFonts w:ascii="Arial" w:cs="Arial" w:eastAsia="Arial" w:hAnsi="Arial"/>
                <w:sz w:val="18"/>
                <w:szCs w:val="18"/>
                <w:color w:val="auto"/>
              </w:rPr>
              <w:t>8,276</w:t>
            </w:r>
          </w:p>
        </w:tc>
        <w:tc>
          <w:tcPr>
            <w:tcW w:w="1360" w:type="dxa"/>
            <w:vAlign w:val="bottom"/>
            <w:gridSpan w:val="2"/>
          </w:tcPr>
          <w:p>
            <w:pPr>
              <w:jc w:val="right"/>
              <w:ind w:right="132"/>
              <w:spacing w:after="0" w:line="202" w:lineRule="exact"/>
              <w:rPr>
                <w:sz w:val="20"/>
                <w:szCs w:val="20"/>
                <w:color w:val="auto"/>
              </w:rPr>
            </w:pPr>
            <w:r>
              <w:rPr>
                <w:rFonts w:ascii="Arial" w:cs="Arial" w:eastAsia="Arial" w:hAnsi="Arial"/>
                <w:sz w:val="18"/>
                <w:szCs w:val="18"/>
                <w:color w:val="auto"/>
              </w:rPr>
              <w:t>8,569</w:t>
            </w:r>
          </w:p>
        </w:tc>
        <w:tc>
          <w:tcPr>
            <w:tcW w:w="134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6,774</w:t>
            </w:r>
          </w:p>
        </w:tc>
        <w:tc>
          <w:tcPr>
            <w:tcW w:w="1360" w:type="dxa"/>
            <w:vAlign w:val="bottom"/>
            <w:gridSpan w:val="2"/>
          </w:tcPr>
          <w:p>
            <w:pPr>
              <w:jc w:val="right"/>
              <w:ind w:right="132"/>
              <w:spacing w:after="0" w:line="202" w:lineRule="exact"/>
              <w:rPr>
                <w:sz w:val="20"/>
                <w:szCs w:val="20"/>
                <w:color w:val="auto"/>
              </w:rPr>
            </w:pPr>
            <w:r>
              <w:rPr>
                <w:rFonts w:ascii="Arial" w:cs="Arial" w:eastAsia="Arial" w:hAnsi="Arial"/>
                <w:sz w:val="18"/>
                <w:szCs w:val="18"/>
                <w:color w:val="auto"/>
              </w:rPr>
              <w:t>5,918</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Liability to subsidiary trust issuing preferred securities</w:t>
            </w:r>
          </w:p>
        </w:tc>
        <w:tc>
          <w:tcPr>
            <w:tcW w:w="1040" w:type="dxa"/>
            <w:vAlign w:val="bottom"/>
            <w:shd w:val="clear" w:color="auto" w:fill="CCEEFF"/>
          </w:tcPr>
          <w:p>
            <w:pPr>
              <w:jc w:val="right"/>
              <w:ind w:right="98"/>
              <w:spacing w:after="0" w:line="202" w:lineRule="exact"/>
              <w:rPr>
                <w:sz w:val="20"/>
                <w:szCs w:val="20"/>
                <w:color w:val="auto"/>
              </w:rPr>
            </w:pPr>
            <w:r>
              <w:rPr>
                <w:rFonts w:ascii="Arial" w:cs="Arial" w:eastAsia="Arial" w:hAnsi="Arial"/>
                <w:sz w:val="18"/>
                <w:szCs w:val="18"/>
                <w:color w:val="auto"/>
              </w:rPr>
              <w:t>649</w:t>
            </w:r>
          </w:p>
        </w:tc>
        <w:tc>
          <w:tcPr>
            <w:tcW w:w="136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814</w:t>
            </w:r>
          </w:p>
        </w:tc>
        <w:tc>
          <w:tcPr>
            <w:tcW w:w="134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648</w:t>
            </w:r>
          </w:p>
        </w:tc>
        <w:tc>
          <w:tcPr>
            <w:tcW w:w="136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555</w:t>
            </w:r>
          </w:p>
        </w:tc>
      </w:tr>
    </w:tbl>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fair value amounts for Cash and cash equivalents and Accounts receivable, net approximate carrying amounts due to the short maturities of these instruments. The fair value of Short and Long-term debt, as well as our Liability to subsidiary trust issuing preferred securities, was estimated based on quoted market prices for publicly traded securities or on the current rates offered to us for debt of similar maturities. The difference between the fair value and the carrying value represents the theoretical net premium or discount we would pay or receive to retire all debt at such date.</w:t>
      </w:r>
    </w:p>
    <w:p>
      <w:pPr>
        <w:spacing w:after="0" w:line="120"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Note 14 – Employee Benefit Plans</w:t>
      </w:r>
    </w:p>
    <w:p>
      <w:pPr>
        <w:spacing w:after="0" w:line="207"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We sponsor numerous pension and other post-retirement benefit plans, primarily retiree health, in our domestic and international operations. December 31 is the measurement date for all of our other post-retirement benefit plans. Refer to Note 1 - “New Accounting Standards and Accounting Changes” section for additional information regarding recent accounting changes affecting our benefit plans.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Retiree Health</w:t>
            </w:r>
          </w:p>
        </w:tc>
        <w:tc>
          <w:tcPr>
            <w:tcW w:w="7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Benefit obligation, January 1</w:t>
            </w:r>
          </w:p>
        </w:tc>
        <w:tc>
          <w:tcPr>
            <w:tcW w:w="2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8,495</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10,458</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1,002</w:t>
            </w: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1,501</w:t>
            </w: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14</w:t>
            </w: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7"/>
                <w:szCs w:val="17"/>
                <w:color w:val="auto"/>
              </w:rPr>
            </w:pPr>
          </w:p>
        </w:tc>
        <w:tc>
          <w:tcPr>
            <w:tcW w:w="8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508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60</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84</w:t>
            </w: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31</w:t>
            </w: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Plan amendments</w:t>
            </w:r>
          </w:p>
        </w:tc>
        <w:tc>
          <w:tcPr>
            <w:tcW w:w="240" w:type="dxa"/>
            <w:vAlign w:val="bottom"/>
          </w:tcPr>
          <w:p>
            <w:pPr>
              <w:spacing w:after="0"/>
              <w:rPr>
                <w:sz w:val="17"/>
                <w:szCs w:val="17"/>
                <w:color w:val="auto"/>
              </w:rPr>
            </w:pPr>
          </w:p>
        </w:tc>
        <w:tc>
          <w:tcPr>
            <w:tcW w:w="8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(219)</w:t>
            </w: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Actuarial loss (gain)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(550)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(251)</w:t>
            </w: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7"/>
                <w:szCs w:val="17"/>
                <w:color w:val="auto"/>
              </w:rPr>
            </w:pPr>
          </w:p>
        </w:tc>
        <w:tc>
          <w:tcPr>
            <w:tcW w:w="8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exchange rate changes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373</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(1,090)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(23)</w:t>
            </w: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Curtailments</w:t>
            </w:r>
          </w:p>
        </w:tc>
        <w:tc>
          <w:tcPr>
            <w:tcW w:w="240" w:type="dxa"/>
            <w:vAlign w:val="bottom"/>
          </w:tcPr>
          <w:p>
            <w:pPr>
              <w:spacing w:after="0"/>
              <w:rPr>
                <w:sz w:val="17"/>
                <w:szCs w:val="17"/>
                <w:color w:val="auto"/>
              </w:rPr>
            </w:pPr>
          </w:p>
        </w:tc>
        <w:tc>
          <w:tcPr>
            <w:tcW w:w="8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Benefits paid/settlements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(578)</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(657)</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(135)</w:t>
            </w:r>
          </w:p>
        </w:tc>
      </w:tr>
      <w:tr>
        <w:trPr>
          <w:trHeight w:val="210"/>
        </w:trPr>
        <w:tc>
          <w:tcPr>
            <w:tcW w:w="624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Benefit obligation, December 31</w:t>
            </w:r>
          </w:p>
        </w:tc>
        <w:tc>
          <w:tcPr>
            <w:tcW w:w="2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b w:val="1"/>
                <w:bCs w:val="1"/>
                <w:color w:val="auto"/>
              </w:rPr>
              <w:t>9,194</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b w:val="1"/>
                <w:bCs w:val="1"/>
                <w:color w:val="auto"/>
              </w:rPr>
              <w:t>8,495</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b w:val="1"/>
                <w:bCs w:val="1"/>
                <w:color w:val="auto"/>
              </w:rPr>
              <w:t>1,102</w:t>
            </w: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b w:val="1"/>
                <w:bCs w:val="1"/>
                <w:color w:val="auto"/>
              </w:rPr>
              <w:t>1,002</w:t>
            </w:r>
          </w:p>
        </w:tc>
      </w:tr>
      <w:tr>
        <w:trPr>
          <w:trHeight w:val="426"/>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January 1</w:t>
            </w:r>
          </w:p>
        </w:tc>
        <w:tc>
          <w:tcPr>
            <w:tcW w:w="2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6,923</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9,805</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17"/>
                <w:szCs w:val="17"/>
                <w:color w:val="auto"/>
              </w:rPr>
            </w:pPr>
          </w:p>
        </w:tc>
        <w:tc>
          <w:tcPr>
            <w:tcW w:w="8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720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(1,527)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Employer contribution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299</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105</w:t>
            </w:r>
          </w:p>
        </w:tc>
      </w:tr>
    </w:tbl>
    <w:p>
      <w:pPr>
        <w:spacing w:after="0" w:line="152"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65</w:t>
      </w:r>
    </w:p>
    <w:p>
      <w:pPr>
        <w:sectPr>
          <w:pgSz w:w="11900" w:h="16838" w:orient="portrait"/>
          <w:cols w:equalWidth="0" w:num="1">
            <w:col w:w="11420"/>
          </w:cols>
          <w:pgMar w:left="240" w:top="255"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exchange rate changes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(1,049)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Benefits paid/settlements</w:t>
            </w:r>
          </w:p>
        </w:tc>
        <w:tc>
          <w:tcPr>
            <w:tcW w:w="260" w:type="dxa"/>
            <w:vAlign w:val="bottom"/>
          </w:tcPr>
          <w:p>
            <w:pPr>
              <w:spacing w:after="0"/>
              <w:rPr>
                <w:sz w:val="17"/>
                <w:szCs w:val="17"/>
                <w:color w:val="auto"/>
              </w:rPr>
            </w:pPr>
          </w:p>
        </w:tc>
        <w:tc>
          <w:tcPr>
            <w:tcW w:w="8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(578)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(657)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(143)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(135)</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23"/>
                <w:szCs w:val="23"/>
                <w:color w:val="auto"/>
                <w:vertAlign w:val="subscript"/>
              </w:rPr>
              <w:t>Other</w:t>
            </w:r>
            <w:r>
              <w:rPr>
                <w:rFonts w:ascii="Arial" w:cs="Arial" w:eastAsia="Arial" w:hAnsi="Arial"/>
                <w:sz w:val="9"/>
                <w:szCs w:val="9"/>
                <w:color w:val="auto"/>
              </w:rPr>
              <w:t xml:space="preserve"> (1)(3)</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17"/>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Fair value of plan assets, December 31</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7,561</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6,923</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funded status at December 31</w:t>
            </w:r>
            <w:r>
              <w:rPr>
                <w:rFonts w:ascii="Arial" w:cs="Arial" w:eastAsia="Arial" w:hAnsi="Arial"/>
                <w:sz w:val="22"/>
                <w:szCs w:val="22"/>
                <w:b w:val="1"/>
                <w:bCs w:val="1"/>
                <w:color w:val="auto"/>
                <w:vertAlign w:val="superscript"/>
              </w:rPr>
              <w:t>(2)</w:t>
            </w:r>
          </w:p>
        </w:tc>
        <w:tc>
          <w:tcPr>
            <w:tcW w:w="2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b w:val="1"/>
                <w:bCs w:val="1"/>
                <w:color w:val="auto"/>
              </w:rPr>
              <w:t>(1,633)</w:t>
            </w:r>
          </w:p>
        </w:tc>
        <w:tc>
          <w:tcPr>
            <w:tcW w:w="5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b w:val="1"/>
                <w:bCs w:val="1"/>
                <w:color w:val="auto"/>
              </w:rPr>
              <w:t>(1,572)</w:t>
            </w:r>
          </w:p>
        </w:tc>
        <w:tc>
          <w:tcPr>
            <w:tcW w:w="5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(1,102)</w:t>
            </w:r>
          </w:p>
        </w:tc>
        <w:tc>
          <w:tcPr>
            <w:tcW w:w="5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(1,002)</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8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80" w:type="dxa"/>
            <w:vAlign w:val="bottom"/>
          </w:tcPr>
          <w:p>
            <w:pPr>
              <w:spacing w:after="0"/>
              <w:rPr>
                <w:sz w:val="20"/>
                <w:szCs w:val="20"/>
                <w:color w:val="auto"/>
              </w:rPr>
            </w:pPr>
            <w:r>
              <w:rPr>
                <w:rFonts w:ascii="Arial" w:cs="Arial" w:eastAsia="Arial" w:hAnsi="Arial"/>
                <w:sz w:val="18"/>
                <w:szCs w:val="18"/>
                <w:b w:val="1"/>
                <w:bCs w:val="1"/>
                <w:color w:val="auto"/>
              </w:rPr>
              <w:t>Amounts recognized in the Consolidated Balance Sheets: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155</w:t>
            </w:r>
          </w:p>
        </w:tc>
        <w:tc>
          <w:tcPr>
            <w:tcW w:w="5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61</w:t>
            </w:r>
          </w:p>
        </w:tc>
        <w:tc>
          <w:tcPr>
            <w:tcW w:w="5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Accrued compensation and benefit costs</w:t>
            </w:r>
          </w:p>
        </w:tc>
        <w:tc>
          <w:tcPr>
            <w:tcW w:w="260" w:type="dxa"/>
            <w:vAlign w:val="bottom"/>
          </w:tcPr>
          <w:p>
            <w:pPr>
              <w:spacing w:after="0"/>
              <w:rPr>
                <w:sz w:val="17"/>
                <w:szCs w:val="17"/>
                <w:color w:val="auto"/>
              </w:rPr>
            </w:pPr>
          </w:p>
        </w:tc>
        <w:tc>
          <w:tcPr>
            <w:tcW w:w="8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(103)</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Pension and other benefit liabilities</w:t>
            </w:r>
          </w:p>
        </w:tc>
        <w:tc>
          <w:tcPr>
            <w:tcW w:w="260" w:type="dxa"/>
            <w:vAlign w:val="bottom"/>
          </w:tcPr>
          <w:p>
            <w:pPr>
              <w:spacing w:after="0"/>
              <w:rPr>
                <w:sz w:val="17"/>
                <w:szCs w:val="17"/>
                <w:color w:val="auto"/>
              </w:rPr>
            </w:pPr>
          </w:p>
        </w:tc>
        <w:tc>
          <w:tcPr>
            <w:tcW w:w="8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(1,741)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(1,585)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r>
      <w:tr>
        <w:trPr>
          <w:trHeight w:val="199"/>
        </w:trPr>
        <w:tc>
          <w:tcPr>
            <w:tcW w:w="6180" w:type="dxa"/>
            <w:vAlign w:val="bottom"/>
          </w:tcPr>
          <w:p>
            <w:pPr>
              <w:spacing w:after="0" w:line="200" w:lineRule="exact"/>
              <w:rPr>
                <w:sz w:val="20"/>
                <w:szCs w:val="20"/>
                <w:color w:val="auto"/>
              </w:rPr>
            </w:pPr>
            <w:r>
              <w:rPr>
                <w:rFonts w:ascii="Arial" w:cs="Arial" w:eastAsia="Arial" w:hAnsi="Arial"/>
                <w:sz w:val="18"/>
                <w:szCs w:val="18"/>
                <w:color w:val="auto"/>
              </w:rPr>
              <w:t>Post-retirement medical benefits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2"/>
              <w:spacing w:after="0" w:line="200" w:lineRule="exact"/>
              <w:rPr>
                <w:sz w:val="20"/>
                <w:szCs w:val="20"/>
                <w:color w:val="auto"/>
              </w:rPr>
            </w:pPr>
            <w:r>
              <w:rPr>
                <w:rFonts w:ascii="Arial" w:cs="Arial" w:eastAsia="Arial" w:hAnsi="Arial"/>
                <w:sz w:val="18"/>
                <w:szCs w:val="18"/>
                <w:color w:val="auto"/>
              </w:rPr>
              <w:t>(999)</w:t>
            </w:r>
          </w:p>
        </w:tc>
      </w:tr>
      <w:tr>
        <w:trPr>
          <w:trHeight w:val="210"/>
        </w:trPr>
        <w:tc>
          <w:tcPr>
            <w:tcW w:w="6180" w:type="dxa"/>
            <w:vAlign w:val="bottom"/>
          </w:tcPr>
          <w:p>
            <w:pPr>
              <w:spacing w:after="0"/>
              <w:rPr>
                <w:sz w:val="20"/>
                <w:szCs w:val="20"/>
                <w:color w:val="auto"/>
              </w:rPr>
            </w:pPr>
            <w:r>
              <w:rPr>
                <w:rFonts w:ascii="Arial" w:cs="Arial" w:eastAsia="Arial" w:hAnsi="Arial"/>
                <w:sz w:val="18"/>
                <w:szCs w:val="18"/>
                <w:b w:val="1"/>
                <w:bCs w:val="1"/>
                <w:color w:val="auto"/>
              </w:rPr>
              <w:t>Net Amounts Recognized</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(1,633)</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(1,572)</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(1,102)</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7"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22"/>
          <w:szCs w:val="22"/>
          <w:color w:val="auto"/>
          <w:vertAlign w:val="superscript"/>
        </w:rPr>
      </w:pPr>
      <w:r>
        <w:rPr>
          <w:rFonts w:ascii="Arial" w:cs="Arial" w:eastAsia="Arial" w:hAnsi="Arial"/>
          <w:sz w:val="14"/>
          <w:szCs w:val="14"/>
          <w:color w:val="auto"/>
        </w:rPr>
        <w:t>2008 Other reflects adjustments associated with the change in measurement dates for several European countries as required by ASC Topic 715-30-35.</w:t>
      </w:r>
    </w:p>
    <w:p>
      <w:pPr>
        <w:ind w:left="340" w:hanging="332"/>
        <w:spacing w:after="0" w:line="182" w:lineRule="auto"/>
        <w:tabs>
          <w:tab w:leader="none" w:pos="340" w:val="left"/>
        </w:tabs>
        <w:numPr>
          <w:ilvl w:val="0"/>
          <w:numId w:val="117"/>
        </w:numPr>
        <w:rPr>
          <w:rFonts w:ascii="Arial" w:cs="Arial" w:eastAsia="Arial" w:hAnsi="Arial"/>
          <w:sz w:val="17"/>
          <w:szCs w:val="17"/>
          <w:color w:val="auto"/>
          <w:vertAlign w:val="superscript"/>
        </w:rPr>
      </w:pPr>
      <w:r>
        <w:rPr>
          <w:rFonts w:ascii="Arial" w:cs="Arial" w:eastAsia="Arial" w:hAnsi="Arial"/>
          <w:sz w:val="11"/>
          <w:szCs w:val="11"/>
          <w:color w:val="auto"/>
        </w:rPr>
        <w:t>Includes under-funded and non-funded plans.</w:t>
      </w:r>
    </w:p>
    <w:p>
      <w:pPr>
        <w:ind w:left="340" w:hanging="332"/>
        <w:spacing w:after="0" w:line="188" w:lineRule="auto"/>
        <w:tabs>
          <w:tab w:leader="none" w:pos="340" w:val="left"/>
        </w:tabs>
        <w:numPr>
          <w:ilvl w:val="0"/>
          <w:numId w:val="117"/>
        </w:numPr>
        <w:rPr>
          <w:rFonts w:ascii="Arial" w:cs="Arial" w:eastAsia="Arial" w:hAnsi="Arial"/>
          <w:sz w:val="18"/>
          <w:szCs w:val="18"/>
          <w:color w:val="auto"/>
          <w:vertAlign w:val="superscript"/>
        </w:rPr>
      </w:pPr>
      <w:r>
        <w:rPr>
          <w:rFonts w:ascii="Arial" w:cs="Arial" w:eastAsia="Arial" w:hAnsi="Arial"/>
          <w:sz w:val="12"/>
          <w:szCs w:val="12"/>
          <w:color w:val="auto"/>
        </w:rPr>
        <w:t>2009 activity represents opening balance adjustment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639" w:hanging="639"/>
        <w:spacing w:after="0"/>
        <w:tabs>
          <w:tab w:leader="none" w:pos="63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p>
    <w:p>
      <w:pPr>
        <w:ind w:left="459"/>
        <w:spacing w:after="0"/>
        <w:rPr>
          <w:rFonts w:ascii="Arial" w:cs="Arial" w:eastAsia="Arial" w:hAnsi="Arial"/>
          <w:sz w:val="18"/>
          <w:szCs w:val="18"/>
          <w:color w:val="auto"/>
        </w:rPr>
      </w:pPr>
      <w:r>
        <w:rPr>
          <w:rFonts w:ascii="Arial" w:cs="Arial" w:eastAsia="Arial" w:hAnsi="Arial"/>
          <w:sz w:val="16"/>
          <w:szCs w:val="16"/>
          <w:color w:val="auto"/>
        </w:rPr>
        <w:t>(106)</w:t>
      </w:r>
    </w:p>
    <w:p>
      <w:pPr>
        <w:spacing w:after="0" w:line="18" w:lineRule="exact"/>
        <w:rPr>
          <w:rFonts w:ascii="Arial" w:cs="Arial" w:eastAsia="Arial" w:hAnsi="Arial"/>
          <w:sz w:val="18"/>
          <w:szCs w:val="18"/>
          <w:color w:val="auto"/>
        </w:rPr>
      </w:pPr>
    </w:p>
    <w:p>
      <w:pPr>
        <w:ind w:left="639"/>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459"/>
        <w:spacing w:after="0"/>
        <w:rPr>
          <w:rFonts w:ascii="Arial" w:cs="Arial" w:eastAsia="Arial" w:hAnsi="Arial"/>
          <w:sz w:val="18"/>
          <w:szCs w:val="18"/>
          <w:color w:val="auto"/>
        </w:rPr>
      </w:pPr>
      <w:r>
        <w:rPr>
          <w:rFonts w:ascii="Arial" w:cs="Arial" w:eastAsia="Arial" w:hAnsi="Arial"/>
          <w:sz w:val="16"/>
          <w:szCs w:val="16"/>
          <w:color w:val="auto"/>
        </w:rPr>
        <w:t>(896)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9525</wp:posOffset>
            </wp:positionV>
            <wp:extent cx="7029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7" w:lineRule="exact"/>
        <w:rPr>
          <w:sz w:val="20"/>
          <w:szCs w:val="20"/>
          <w:color w:val="auto"/>
        </w:rPr>
      </w:pPr>
    </w:p>
    <w:p>
      <w:pPr>
        <w:ind w:left="299" w:hanging="299"/>
        <w:spacing w:after="0"/>
        <w:tabs>
          <w:tab w:leader="none" w:pos="299"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21590</wp:posOffset>
            </wp:positionV>
            <wp:extent cx="7029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38735</wp:posOffset>
            </wp:positionV>
            <wp:extent cx="7029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847" w:lineRule="exact"/>
        <w:rPr>
          <w:sz w:val="20"/>
          <w:szCs w:val="20"/>
          <w:color w:val="auto"/>
        </w:rPr>
      </w:pPr>
    </w:p>
    <w:p>
      <w:pPr>
        <w:sectPr>
          <w:pgSz w:w="11900" w:h="16838" w:orient="portrait"/>
          <w:cols w:equalWidth="0" w:num="2">
            <w:col w:w="10040" w:space="321"/>
            <w:col w:w="1059"/>
          </w:cols>
          <w:pgMar w:left="240" w:top="284" w:right="239" w:bottom="1440" w:gutter="0" w:footer="0" w:header="0"/>
          <w:type w:val="continuous"/>
        </w:sectPr>
      </w:pPr>
    </w:p>
    <w:p>
      <w:pPr>
        <w:spacing w:after="0"/>
        <w:rPr>
          <w:sz w:val="20"/>
          <w:szCs w:val="20"/>
          <w:color w:val="auto"/>
        </w:rPr>
      </w:pPr>
      <w:r>
        <w:rPr>
          <w:rFonts w:ascii="Arial" w:cs="Arial" w:eastAsia="Arial" w:hAnsi="Arial"/>
          <w:sz w:val="18"/>
          <w:szCs w:val="18"/>
          <w:color w:val="auto"/>
        </w:rPr>
        <w:t>Benefit plans pre-tax amounts recognized in Accumulated other comprehensive (income) loss: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Pension Benefits</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Retiree Health</w:t>
            </w:r>
          </w:p>
        </w:tc>
        <w:tc>
          <w:tcPr>
            <w:tcW w:w="6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w w:val="96"/>
              </w:rPr>
              <w:t>2008</w:t>
            </w: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actuarial loss (gain)</w:t>
            </w:r>
          </w:p>
        </w:tc>
        <w:tc>
          <w:tcPr>
            <w:tcW w:w="24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1,834</w:t>
            </w:r>
          </w:p>
        </w:tc>
        <w:tc>
          <w:tcPr>
            <w:tcW w:w="5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1,818</w:t>
            </w:r>
          </w:p>
        </w:tc>
        <w:tc>
          <w:tcPr>
            <w:tcW w:w="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40</w:t>
            </w:r>
          </w:p>
        </w:tc>
        <w:tc>
          <w:tcPr>
            <w:tcW w:w="6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7"/>
              <w:spacing w:after="0" w:line="196" w:lineRule="exact"/>
              <w:rPr>
                <w:sz w:val="20"/>
                <w:szCs w:val="20"/>
                <w:color w:val="auto"/>
              </w:rPr>
            </w:pPr>
            <w:r>
              <w:rPr>
                <w:rFonts w:ascii="Arial" w:cs="Arial" w:eastAsia="Arial" w:hAnsi="Arial"/>
                <w:sz w:val="18"/>
                <w:szCs w:val="18"/>
                <w:color w:val="auto"/>
              </w:rPr>
              <w:t>(85)</w:t>
            </w:r>
          </w:p>
        </w:tc>
      </w:tr>
      <w:tr>
        <w:trPr>
          <w:trHeight w:val="210"/>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Prior service (credit) cost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(169)</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7"/>
              <w:spacing w:after="0" w:line="202" w:lineRule="exact"/>
              <w:rPr>
                <w:sz w:val="20"/>
                <w:szCs w:val="20"/>
                <w:color w:val="auto"/>
              </w:rPr>
            </w:pPr>
            <w:r>
              <w:rPr>
                <w:rFonts w:ascii="Arial" w:cs="Arial" w:eastAsia="Arial" w:hAnsi="Arial"/>
                <w:sz w:val="18"/>
                <w:szCs w:val="18"/>
                <w:color w:val="auto"/>
              </w:rPr>
              <w:t>(192)</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0"/>
              <w:spacing w:after="0" w:line="202" w:lineRule="exact"/>
              <w:rPr>
                <w:sz w:val="20"/>
                <w:szCs w:val="20"/>
                <w:color w:val="auto"/>
              </w:rPr>
            </w:pPr>
            <w:r>
              <w:rPr>
                <w:rFonts w:ascii="Arial" w:cs="Arial" w:eastAsia="Arial" w:hAnsi="Arial"/>
                <w:sz w:val="18"/>
                <w:szCs w:val="18"/>
                <w:color w:val="auto"/>
              </w:rPr>
              <w:t>(144)</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7"/>
              <w:spacing w:after="0" w:line="202" w:lineRule="exact"/>
              <w:rPr>
                <w:sz w:val="20"/>
                <w:szCs w:val="20"/>
                <w:color w:val="auto"/>
              </w:rPr>
            </w:pPr>
            <w:r>
              <w:rPr>
                <w:rFonts w:ascii="Arial" w:cs="Arial" w:eastAsia="Arial" w:hAnsi="Arial"/>
                <w:sz w:val="18"/>
                <w:szCs w:val="18"/>
                <w:color w:val="auto"/>
                <w:w w:val="99"/>
              </w:rPr>
              <w:t>(186)</w:t>
            </w: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Pre-tax Loss (Gain)</w:t>
            </w:r>
          </w:p>
        </w:tc>
        <w:tc>
          <w:tcPr>
            <w:tcW w:w="2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1,665</w:t>
            </w: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1,626</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(104)</w:t>
            </w: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b w:val="1"/>
                <w:bCs w:val="1"/>
                <w:color w:val="auto"/>
                <w:w w:val="99"/>
              </w:rPr>
              <w:t>(271)</w:t>
            </w: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all defined benefit pension plans was $8,337 and $7,902 at December 31, 2009 and 2008,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Aggregate information for pension plans with an Accumulated benefit obligation in excess of plan assets is presented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2008</w:t>
            </w: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Projected benefit obligation</w:t>
            </w:r>
          </w:p>
        </w:tc>
        <w:tc>
          <w:tcPr>
            <w:tcW w:w="26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5,134</w:t>
            </w:r>
          </w:p>
        </w:tc>
        <w:tc>
          <w:tcPr>
            <w:tcW w:w="7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5,374</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4,864</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5,051</w:t>
            </w: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3,697</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3,821</w:t>
            </w:r>
          </w:p>
        </w:tc>
      </w:tr>
    </w:tbl>
    <w:p>
      <w:pPr>
        <w:spacing w:after="0" w:line="16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domestic retirement defined benefit plans provide employees a benefit, depending on eligibility, at the greater of (i) the benefit calculated under a highest average pay and years of service formula, (ii) the benefit calculated under a formula that provides for the accumulation of salary and interest credits during an employee’s work life, or (iii) the individual account balance from the Company’s prior defined contribution plan (Transitional Retirement Account or TRA).</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66</w:t>
      </w:r>
    </w:p>
    <w:p>
      <w:pPr>
        <w:sectPr>
          <w:pgSz w:w="11900" w:h="16838" w:orient="portrait"/>
          <w:cols w:equalWidth="0" w:num="1">
            <w:col w:w="11420"/>
          </w:cols>
          <w:pgMar w:left="240" w:top="284" w:right="239" w:bottom="144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8"/>
              </w:rPr>
              <w:t>Pension Benefits</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Retiree Health</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Service cost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40" w:type="dxa"/>
            <w:vAlign w:val="bottom"/>
          </w:tcPr>
          <w:p>
            <w:pPr>
              <w:spacing w:after="0"/>
              <w:rPr>
                <w:sz w:val="17"/>
                <w:szCs w:val="17"/>
                <w:color w:val="auto"/>
              </w:rPr>
            </w:pP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209</w:t>
            </w:r>
          </w:p>
        </w:tc>
        <w:tc>
          <w:tcPr>
            <w:tcW w:w="2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2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4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Interest cost </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r>
      <w:tr>
        <w:trPr>
          <w:trHeight w:val="203"/>
        </w:trPr>
        <w:tc>
          <w:tcPr>
            <w:tcW w:w="604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22"/>
                <w:szCs w:val="22"/>
                <w:color w:val="auto"/>
                <w:vertAlign w:val="superscript"/>
              </w:rPr>
              <w:t>(2)</w:t>
            </w:r>
          </w:p>
        </w:tc>
        <w:tc>
          <w:tcPr>
            <w:tcW w:w="2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(80)</w:t>
            </w:r>
          </w:p>
        </w:tc>
        <w:tc>
          <w:tcPr>
            <w:tcW w:w="2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(668)</w:t>
            </w:r>
          </w:p>
        </w:tc>
        <w:tc>
          <w:tcPr>
            <w:tcW w:w="1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Recognized net actuarial loss</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prior service credit</w:t>
            </w:r>
          </w:p>
        </w:tc>
        <w:tc>
          <w:tcPr>
            <w:tcW w:w="2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9"/>
              </w:rPr>
              <w:t>(41)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Recognized curtailment/settlement loss</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8"/>
                <w:szCs w:val="18"/>
                <w:color w:val="auto"/>
              </w:rPr>
              <w:t>Net periodic defined benefit cost</w:t>
            </w: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Defined contribution plans</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7"/>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Total Net Periodic Benefit Costs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20" w:type="dxa"/>
            <w:vAlign w:val="bottom"/>
          </w:tcPr>
          <w:p>
            <w:pPr>
              <w:spacing w:after="0"/>
              <w:rPr>
                <w:sz w:val="18"/>
                <w:szCs w:val="18"/>
                <w:color w:val="auto"/>
              </w:rPr>
            </w:pPr>
          </w:p>
        </w:tc>
      </w:tr>
      <w:tr>
        <w:trPr>
          <w:trHeight w:val="184"/>
        </w:trPr>
        <w:tc>
          <w:tcPr>
            <w:tcW w:w="20" w:type="dxa"/>
            <w:vAlign w:val="bottom"/>
          </w:tcPr>
          <w:p>
            <w:pPr>
              <w:spacing w:after="0"/>
              <w:rPr>
                <w:sz w:val="15"/>
                <w:szCs w:val="15"/>
                <w:color w:val="auto"/>
              </w:rPr>
            </w:pPr>
          </w:p>
        </w:tc>
        <w:tc>
          <w:tcPr>
            <w:tcW w:w="602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Other Changes in Plan Assets and Benefit Obligations Recognized in</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Net actuarial loss (gain)</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7"/>
                <w:szCs w:val="17"/>
                <w:color w:val="auto"/>
              </w:rPr>
            </w:pP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1,062</w:t>
            </w:r>
          </w:p>
        </w:tc>
        <w:tc>
          <w:tcPr>
            <w:tcW w:w="2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(499)</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3"/>
              </w:rPr>
              <w:t>126</w:t>
            </w:r>
          </w:p>
        </w:tc>
        <w:tc>
          <w:tcPr>
            <w:tcW w:w="4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(114)</w:t>
            </w: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Prior service cost (credit)</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net actuarial (loss) gain</w:t>
            </w:r>
          </w:p>
        </w:tc>
        <w:tc>
          <w:tcPr>
            <w:tcW w:w="2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(108)</w:t>
            </w:r>
          </w:p>
        </w:tc>
        <w:tc>
          <w:tcPr>
            <w:tcW w:w="1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(cost) credit</w:t>
            </w: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r>
      <w:tr>
        <w:trPr>
          <w:trHeight w:val="217"/>
        </w:trPr>
        <w:tc>
          <w:tcPr>
            <w:tcW w:w="6040" w:type="dxa"/>
            <w:vAlign w:val="bottom"/>
            <w:gridSpan w:val="2"/>
          </w:tcPr>
          <w:p>
            <w:pPr>
              <w:spacing w:after="0" w:line="209" w:lineRule="exact"/>
              <w:rPr>
                <w:sz w:val="20"/>
                <w:szCs w:val="20"/>
                <w:color w:val="auto"/>
              </w:rPr>
            </w:pPr>
            <w:r>
              <w:rPr>
                <w:rFonts w:ascii="Arial" w:cs="Arial" w:eastAsia="Arial" w:hAnsi="Arial"/>
                <w:sz w:val="18"/>
                <w:szCs w:val="18"/>
                <w:b w:val="1"/>
                <w:bCs w:val="1"/>
                <w:color w:val="auto"/>
              </w:rPr>
              <w:t xml:space="preserve">Total recognized in other comprehensive income </w:t>
            </w:r>
            <w:r>
              <w:rPr>
                <w:rFonts w:ascii="Arial" w:cs="Arial" w:eastAsia="Arial" w:hAnsi="Arial"/>
                <w:sz w:val="22"/>
                <w:szCs w:val="22"/>
                <w:b w:val="1"/>
                <w:bCs w:val="1"/>
                <w:color w:val="auto"/>
                <w:vertAlign w:val="superscript"/>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1,013</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168</w:t>
            </w:r>
          </w:p>
        </w:tc>
        <w:tc>
          <w:tcPr>
            <w:tcW w:w="200" w:type="dxa"/>
            <w:vAlign w:val="bottom"/>
          </w:tcPr>
          <w:p>
            <w:pPr>
              <w:spacing w:after="0"/>
              <w:rPr>
                <w:sz w:val="18"/>
                <w:szCs w:val="18"/>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20" w:type="dxa"/>
            <w:vAlign w:val="bottom"/>
          </w:tcPr>
          <w:p>
            <w:pPr>
              <w:spacing w:after="0"/>
              <w:rPr>
                <w:sz w:val="18"/>
                <w:szCs w:val="18"/>
                <w:color w:val="auto"/>
              </w:rPr>
            </w:pPr>
          </w:p>
        </w:tc>
      </w:tr>
      <w:tr>
        <w:trPr>
          <w:trHeight w:val="184"/>
        </w:trPr>
        <w:tc>
          <w:tcPr>
            <w:tcW w:w="20" w:type="dxa"/>
            <w:vAlign w:val="bottom"/>
          </w:tcPr>
          <w:p>
            <w:pPr>
              <w:spacing w:after="0"/>
              <w:rPr>
                <w:sz w:val="15"/>
                <w:szCs w:val="15"/>
                <w:color w:val="auto"/>
              </w:rPr>
            </w:pPr>
          </w:p>
        </w:tc>
        <w:tc>
          <w:tcPr>
            <w:tcW w:w="602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Total Recognized in Net Periodic Benefit Cost and Other</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194</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right="80" w:hanging="572"/>
        <w:spacing w:after="0" w:line="182" w:lineRule="auto"/>
        <w:tabs>
          <w:tab w:leader="none" w:pos="580" w:val="left"/>
        </w:tabs>
        <w:numPr>
          <w:ilvl w:val="0"/>
          <w:numId w:val="120"/>
        </w:numPr>
        <w:rPr>
          <w:rFonts w:ascii="Arial" w:cs="Arial" w:eastAsia="Arial" w:hAnsi="Arial"/>
          <w:sz w:val="21"/>
          <w:szCs w:val="21"/>
          <w:color w:val="auto"/>
          <w:vertAlign w:val="superscript"/>
        </w:rPr>
      </w:pPr>
      <w:r>
        <w:rPr>
          <w:rFonts w:ascii="Arial" w:cs="Arial" w:eastAsia="Arial" w:hAnsi="Arial"/>
          <w:sz w:val="13"/>
          <w:szCs w:val="13"/>
          <w:color w:val="auto"/>
        </w:rPr>
        <w:t>Interest cost includes interest expense on non-TRA obligations of $390, $408 and $374 and interest expense (income) directly allocated to TRA participant accounts of $118, $(413) and $204 for the years ended December 31, 2009, 2008 and 2007, respectively.</w:t>
      </w:r>
    </w:p>
    <w:p>
      <w:pPr>
        <w:ind w:left="580" w:right="140" w:hanging="572"/>
        <w:spacing w:after="0" w:line="182" w:lineRule="auto"/>
        <w:tabs>
          <w:tab w:leader="none" w:pos="580" w:val="left"/>
        </w:tabs>
        <w:numPr>
          <w:ilvl w:val="0"/>
          <w:numId w:val="120"/>
        </w:numPr>
        <w:rPr>
          <w:rFonts w:ascii="Arial" w:cs="Arial" w:eastAsia="Arial" w:hAnsi="Arial"/>
          <w:sz w:val="21"/>
          <w:szCs w:val="21"/>
          <w:color w:val="auto"/>
          <w:vertAlign w:val="superscript"/>
        </w:rPr>
      </w:pPr>
      <w:r>
        <w:rPr>
          <w:rFonts w:ascii="Arial" w:cs="Arial" w:eastAsia="Arial" w:hAnsi="Arial"/>
          <w:sz w:val="13"/>
          <w:szCs w:val="13"/>
          <w:color w:val="auto"/>
        </w:rPr>
        <w:t>Expected return on plan assets includes expected investment income on non-TRA assets of $405, $493 and $464 and actual investment income (expense) on TRA assets of $118, $(413) and $204 for the years ended December 31, 2009, 2008 and 2007, respectively.</w:t>
      </w:r>
    </w:p>
    <w:p>
      <w:pPr>
        <w:ind w:left="580" w:right="20" w:hanging="572"/>
        <w:spacing w:after="0" w:line="191" w:lineRule="auto"/>
        <w:tabs>
          <w:tab w:leader="none" w:pos="580" w:val="left"/>
        </w:tabs>
        <w:numPr>
          <w:ilvl w:val="0"/>
          <w:numId w:val="120"/>
        </w:numPr>
        <w:rPr>
          <w:rFonts w:ascii="Arial" w:cs="Arial" w:eastAsia="Arial" w:hAnsi="Arial"/>
          <w:sz w:val="22"/>
          <w:szCs w:val="22"/>
          <w:color w:val="auto"/>
          <w:vertAlign w:val="superscript"/>
        </w:rPr>
      </w:pPr>
      <w:r>
        <w:rPr>
          <w:rFonts w:ascii="Arial" w:cs="Arial" w:eastAsia="Arial" w:hAnsi="Arial"/>
          <w:sz w:val="14"/>
          <w:szCs w:val="14"/>
          <w:color w:val="auto"/>
        </w:rPr>
        <w:t>Amount represents the pre-tax effect included within other comprehensive income. The net of tax amount and effect of translation adjustments, as well as our share of Fuji Xerox benefit plan changes is included within the Consolidated Statements of Common Shareholders’ Equity. The net after-tax loss (gain) included in other comprehensive (loss) income for the three years ended December 31, 2009 was $169, $286 and $(382),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net actuarial loss and prior service credit for the defined benefit pension plans that will be amortized from Accumulated other comprehensive loss into net periodic benefit cost over the next fiscal year are $64 and $(20), respectively. The net actuarial loss and prior service credit for the retiree health benefit plans that will be amortized from Accumulated other comprehensive loss into net periodic benefit cost over the next fiscal year are zero and $(26), respectively.</w:t>
      </w:r>
    </w:p>
    <w:p>
      <w:pPr>
        <w:spacing w:after="0" w:line="155"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Pension plan assets consist of both defined benefit plan assets and assets legally restricted to the TRA accounts. The combined investment results for these plans, along with the results for our other defined benefit plans, are shown above in the “actual return on plan assets” caption. To the extent that investment results relate to TRA, such results are charged directly to these accounts as a component of interest cost.</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Plan Amendment</w:t>
      </w:r>
    </w:p>
    <w:p>
      <w:pPr>
        <w:spacing w:after="0" w:line="18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December 2009, the UK Final Salary Pension Scheme was amended to close the plan to future accrual effective January 1, 2014. Benefits earned up to January 1, 2014 will not be affected; therefore, the amendment does not result in a material change to the projected benefit obligation at the re-measurement date, December 31, 2009. The amendment results in substantially all participants becoming inactive; therefore, the amortization period for actuarial gains and losses changes from the average remaining service period of active members (approximately 10 years) to the average remaining life expectancy of all members (approximately 27 years). As of December 31, 2009, the accumulated actuarial losses for our U.K. plan amounted to $678.</w:t>
      </w:r>
    </w:p>
    <w:p>
      <w:pPr>
        <w:spacing w:after="0" w:line="15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October 2008, we amended our domestic retiree health benefit plan to eliminate the subsidy currently paid to current and future Medicare-eligible retirees effective January 1, 2010. The amendment resulted in a net decrease of approximately $225 in the benefit obligation and a corresponding after-tax increase to equity. The amendment decreased pre-tax net retiree health benefit expense by approximately $50 in 2009 and $15 in 2008.</w:t>
      </w:r>
    </w:p>
    <w:p>
      <w:pPr>
        <w:spacing w:after="0" w:line="141"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67</w:t>
      </w:r>
    </w:p>
    <w:p>
      <w:pPr>
        <w:sectPr>
          <w:pgSz w:w="11900" w:h="16838" w:orient="portrait"/>
          <w:cols w:equalWidth="0" w:num="1">
            <w:col w:w="11420"/>
          </w:cols>
          <w:pgMar w:left="240" w:top="271" w:right="23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Current Allocation</w:t>
      </w:r>
    </w:p>
    <w:p>
      <w:pPr>
        <w:spacing w:after="0" w:line="18"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As of the 2009 and 2008 measurement dates, the global pension plan assets were $7.6 billion and $6.9 billion, respectively. These assets were invested among several asset classes. None of the investments include debt or equity securities of Xerox Corporation.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defined benefit plans assets measured at fair value at December 31, 2009 and the basis for that measurement: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6"/>
              </w:rPr>
              <w:t>Valuation Based On:</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ind w:left="40"/>
              <w:spacing w:after="0" w:line="125" w:lineRule="exact"/>
              <w:rPr>
                <w:sz w:val="20"/>
                <w:szCs w:val="20"/>
                <w:color w:val="auto"/>
              </w:rPr>
            </w:pPr>
            <w:r>
              <w:rPr>
                <w:rFonts w:ascii="Arial" w:cs="Arial" w:eastAsia="Arial" w:hAnsi="Arial"/>
                <w:sz w:val="14"/>
                <w:szCs w:val="14"/>
                <w:b w:val="1"/>
                <w:bCs w:val="1"/>
                <w:color w:val="auto"/>
                <w:w w:val="98"/>
              </w:rPr>
              <w:t>Quoted Prices in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3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Significant Other</w:t>
            </w:r>
          </w:p>
        </w:tc>
        <w:tc>
          <w:tcPr>
            <w:tcW w:w="140" w:type="dxa"/>
            <w:vAlign w:val="bottom"/>
          </w:tcPr>
          <w:p>
            <w:pPr>
              <w:spacing w:after="0"/>
              <w:rPr>
                <w:sz w:val="12"/>
                <w:szCs w:val="12"/>
                <w:color w:val="auto"/>
              </w:rPr>
            </w:pPr>
          </w:p>
        </w:tc>
        <w:tc>
          <w:tcPr>
            <w:tcW w:w="116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Class</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Identical Asset</w:t>
            </w:r>
          </w:p>
        </w:tc>
        <w:tc>
          <w:tcPr>
            <w:tcW w:w="1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140" w:type="dxa"/>
            <w:vAlign w:val="bottom"/>
          </w:tcPr>
          <w:p>
            <w:pPr>
              <w:spacing w:after="0"/>
              <w:rPr>
                <w:sz w:val="12"/>
                <w:szCs w:val="12"/>
                <w:color w:val="auto"/>
              </w:rPr>
            </w:pPr>
          </w:p>
        </w:tc>
        <w:tc>
          <w:tcPr>
            <w:tcW w:w="116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7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133"/>
              <w:spacing w:after="0"/>
              <w:rPr>
                <w:sz w:val="20"/>
                <w:szCs w:val="20"/>
                <w:color w:val="auto"/>
              </w:rPr>
            </w:pPr>
            <w:r>
              <w:rPr>
                <w:rFonts w:ascii="Arial" w:cs="Arial" w:eastAsia="Arial" w:hAnsi="Arial"/>
                <w:sz w:val="14"/>
                <w:szCs w:val="14"/>
                <w:b w:val="1"/>
                <w:bCs w:val="1"/>
                <w:color w:val="auto"/>
                <w:w w:val="98"/>
              </w:rPr>
              <w:t>(Level 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116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Inputs (Level 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December 31, 2009</w:t>
            </w:r>
          </w:p>
        </w:tc>
        <w:tc>
          <w:tcPr>
            <w:tcW w:w="160" w:type="dxa"/>
            <w:vAlign w:val="bottom"/>
          </w:tcPr>
          <w:p>
            <w:pPr>
              <w:spacing w:after="0"/>
              <w:rPr>
                <w:sz w:val="14"/>
                <w:szCs w:val="14"/>
                <w:color w:val="auto"/>
              </w:rPr>
            </w:pPr>
          </w:p>
        </w:tc>
        <w:tc>
          <w:tcPr>
            <w:tcW w:w="940" w:type="dxa"/>
            <w:vAlign w:val="bottom"/>
          </w:tcPr>
          <w:p>
            <w:pPr>
              <w:jc w:val="right"/>
              <w:ind w:right="74"/>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w:t>
            </w:r>
          </w:p>
        </w:tc>
        <w:tc>
          <w:tcPr>
            <w:tcW w:w="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748</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0"/>
        </w:trPr>
        <w:tc>
          <w:tcPr>
            <w:tcW w:w="470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U.S. Large Cap</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814</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U.S. Mid Cap</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U.S. Small Cap</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160</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International Developed</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1,292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1,785</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Emerging Markets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299</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Global Equity</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Equity Securities</w:t>
            </w:r>
          </w:p>
        </w:tc>
        <w:tc>
          <w:tcPr>
            <w:tcW w:w="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2,492</w:t>
            </w:r>
          </w:p>
        </w:tc>
        <w:tc>
          <w:tcPr>
            <w:tcW w:w="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3,101</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0"/>
        </w:trPr>
        <w:tc>
          <w:tcPr>
            <w:tcW w:w="4700" w:type="dxa"/>
            <w:vAlign w:val="bottom"/>
            <w:gridSpan w:val="3"/>
          </w:tcPr>
          <w:p>
            <w:pPr>
              <w:spacing w:after="0"/>
              <w:rPr>
                <w:sz w:val="20"/>
                <w:szCs w:val="20"/>
                <w:color w:val="auto"/>
              </w:rPr>
            </w:pPr>
            <w:r>
              <w:rPr>
                <w:rFonts w:ascii="Arial" w:cs="Arial" w:eastAsia="Arial" w:hAnsi="Arial"/>
                <w:sz w:val="18"/>
                <w:szCs w:val="18"/>
                <w:color w:val="auto"/>
              </w:rPr>
              <w:t>Debt Securities: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189</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Debt Security Issued by Government Agency</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798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912</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1,570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1,715</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Asset Backed Securities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Debt Securities</w:t>
            </w:r>
          </w:p>
        </w:tc>
        <w:tc>
          <w:tcPr>
            <w:tcW w:w="220" w:type="dxa"/>
            <w:vAlign w:val="bottom"/>
            <w:tcBorders>
              <w:bottom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2,576</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2,842</w:t>
            </w:r>
          </w:p>
        </w:tc>
        <w:tc>
          <w:tcPr>
            <w:tcW w:w="1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7"/>
        </w:trPr>
        <w:tc>
          <w:tcPr>
            <w:tcW w:w="4700" w:type="dxa"/>
            <w:vAlign w:val="bottom"/>
            <w:gridSpan w:val="3"/>
          </w:tcPr>
          <w:p>
            <w:pPr>
              <w:spacing w:after="0"/>
              <w:rPr>
                <w:sz w:val="20"/>
                <w:szCs w:val="20"/>
                <w:color w:val="auto"/>
              </w:rPr>
            </w:pPr>
            <w:r>
              <w:rPr>
                <w:rFonts w:ascii="Arial" w:cs="Arial" w:eastAsia="Arial" w:hAnsi="Arial"/>
                <w:sz w:val="18"/>
                <w:szCs w:val="18"/>
                <w:color w:val="auto"/>
              </w:rPr>
              <w:t>Common/Collective Trust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Derivatives:</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Interest Rate Contracts</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52</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Foreign Exchange Contracts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(62)</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Equity Contracts</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Credit Contracts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Other Contracts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Derivatives</w:t>
            </w:r>
          </w:p>
        </w:tc>
        <w:tc>
          <w:tcPr>
            <w:tcW w:w="220" w:type="dxa"/>
            <w:vAlign w:val="bottom"/>
            <w:tcBorders>
              <w:bottom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700" w:type="dxa"/>
            <w:vAlign w:val="bottom"/>
            <w:gridSpan w:val="3"/>
          </w:tcPr>
          <w:p>
            <w:pPr>
              <w:spacing w:after="0"/>
              <w:rPr>
                <w:sz w:val="20"/>
                <w:szCs w:val="20"/>
                <w:color w:val="auto"/>
              </w:rPr>
            </w:pPr>
            <w:r>
              <w:rPr>
                <w:rFonts w:ascii="Arial" w:cs="Arial" w:eastAsia="Arial" w:hAnsi="Arial"/>
                <w:sz w:val="18"/>
                <w:szCs w:val="18"/>
                <w:color w:val="auto"/>
              </w:rPr>
              <w:t>Hedge Funds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Real Estate</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418</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Private Equity/Venture Capital</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286</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Guaranteed Insurance Contracts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130</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0"/>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Defined Benefit Plans Assets</w:t>
            </w:r>
            <w:r>
              <w:rPr>
                <w:rFonts w:ascii="Arial" w:cs="Arial" w:eastAsia="Arial" w:hAnsi="Arial"/>
                <w:sz w:val="22"/>
                <w:szCs w:val="22"/>
                <w:b w:val="1"/>
                <w:bCs w:val="1"/>
                <w:color w:val="auto"/>
                <w:vertAlign w:val="superscript"/>
              </w:rPr>
              <w:t>(1)</w:t>
            </w:r>
          </w:p>
        </w:tc>
        <w:tc>
          <w:tcPr>
            <w:tcW w:w="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3,593</w:t>
            </w:r>
          </w:p>
        </w:tc>
        <w:tc>
          <w:tcPr>
            <w:tcW w:w="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3,282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657</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7,532</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580" w:hanging="572"/>
        <w:spacing w:after="0"/>
        <w:tabs>
          <w:tab w:leader="none" w:pos="580" w:val="left"/>
        </w:tabs>
        <w:numPr>
          <w:ilvl w:val="0"/>
          <w:numId w:val="121"/>
        </w:numPr>
        <w:rPr>
          <w:rFonts w:ascii="Arial" w:cs="Arial" w:eastAsia="Arial" w:hAnsi="Arial"/>
          <w:sz w:val="22"/>
          <w:szCs w:val="22"/>
          <w:color w:val="auto"/>
          <w:vertAlign w:val="superscript"/>
        </w:rPr>
      </w:pPr>
      <w:r>
        <w:rPr>
          <w:rFonts w:ascii="Arial" w:cs="Arial" w:eastAsia="Arial" w:hAnsi="Arial"/>
          <w:sz w:val="14"/>
          <w:szCs w:val="14"/>
          <w:color w:val="auto"/>
        </w:rPr>
        <w:t>Total fair value assets exclude $29 of other net non-financial assets (liabilities) such as due to/from broker, interest receivables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68</w:t>
      </w:r>
    </w:p>
    <w:p>
      <w:pPr>
        <w:sectPr>
          <w:pgSz w:w="11900" w:h="16838" w:orient="portrait"/>
          <w:cols w:equalWidth="0" w:num="1">
            <w:col w:w="11420"/>
          </w:cols>
          <w:pgMar w:left="240" w:top="256"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presents the defined benefit plans assets measured at fair value at December 31, 2008 and the basis for that measurement: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Valuation Based On:</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w w:val="98"/>
              </w:rPr>
              <w:t>Quoted Prices in</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36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9"/>
              </w:rPr>
              <w:t>Significant Other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w w:val="94"/>
              </w:rPr>
              <w:t>Significant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Class</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Identical Asset</w:t>
            </w:r>
          </w:p>
        </w:tc>
        <w:tc>
          <w:tcPr>
            <w:tcW w:w="3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Observable Inputs</w:t>
            </w:r>
          </w:p>
        </w:tc>
        <w:tc>
          <w:tcPr>
            <w:tcW w:w="36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5"/>
              </w:rPr>
              <w:t>Fair Value</w:t>
            </w: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53"/>
              <w:spacing w:after="0"/>
              <w:rPr>
                <w:sz w:val="20"/>
                <w:szCs w:val="20"/>
                <w:color w:val="auto"/>
              </w:rPr>
            </w:pPr>
            <w:r>
              <w:rPr>
                <w:rFonts w:ascii="Arial" w:cs="Arial" w:eastAsia="Arial" w:hAnsi="Arial"/>
                <w:sz w:val="14"/>
                <w:szCs w:val="14"/>
                <w:b w:val="1"/>
                <w:bCs w:val="1"/>
                <w:color w:val="auto"/>
                <w:w w:val="94"/>
              </w:rPr>
              <w:t>(Level 1)</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233"/>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Inputs (Level 3)</w:t>
            </w:r>
          </w:p>
        </w:tc>
        <w:tc>
          <w:tcPr>
            <w:tcW w:w="36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December 31, 2008</w:t>
            </w:r>
          </w:p>
        </w:tc>
        <w:tc>
          <w:tcPr>
            <w:tcW w:w="380" w:type="dxa"/>
            <w:vAlign w:val="bottom"/>
          </w:tcPr>
          <w:p>
            <w:pPr>
              <w:spacing w:after="0"/>
              <w:rPr>
                <w:sz w:val="14"/>
                <w:szCs w:val="14"/>
                <w:color w:val="auto"/>
              </w:rPr>
            </w:pPr>
          </w:p>
        </w:tc>
        <w:tc>
          <w:tcPr>
            <w:tcW w:w="940" w:type="dxa"/>
            <w:vAlign w:val="bottom"/>
          </w:tcPr>
          <w:p>
            <w:pPr>
              <w:jc w:val="right"/>
              <w:ind w:right="74"/>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497</w:t>
            </w:r>
          </w:p>
        </w:tc>
        <w:tc>
          <w:tcPr>
            <w:tcW w:w="36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367</w:t>
            </w: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864</w:t>
            </w:r>
          </w:p>
        </w:tc>
        <w:tc>
          <w:tcPr>
            <w:tcW w:w="380" w:type="dxa"/>
            <w:vAlign w:val="bottom"/>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14"/>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442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U.S. Large Cap</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561</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w:t>
            </w:r>
          </w:p>
        </w:tc>
        <w:tc>
          <w:tcPr>
            <w:tcW w:w="1320" w:type="dxa"/>
            <w:vAlign w:val="bottom"/>
            <w:gridSpan w:val="2"/>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U.S. Mid Cap</w:t>
            </w:r>
          </w:p>
        </w:tc>
        <w:tc>
          <w:tcPr>
            <w:tcW w:w="24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380" w:type="dxa"/>
            <w:vAlign w:val="bottom"/>
          </w:tcPr>
          <w:p>
            <w:pPr>
              <w:spacing w:after="0"/>
              <w:rPr>
                <w:sz w:val="17"/>
                <w:szCs w:val="17"/>
                <w:color w:val="auto"/>
              </w:rPr>
            </w:pPr>
          </w:p>
        </w:tc>
        <w:tc>
          <w:tcPr>
            <w:tcW w:w="9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U.S. Small Cap</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1320" w:type="dxa"/>
            <w:vAlign w:val="bottom"/>
            <w:gridSpan w:val="2"/>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International Developed</w:t>
            </w:r>
          </w:p>
        </w:tc>
        <w:tc>
          <w:tcPr>
            <w:tcW w:w="24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866</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740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1,606</w:t>
            </w:r>
          </w:p>
        </w:tc>
        <w:tc>
          <w:tcPr>
            <w:tcW w:w="1320" w:type="dxa"/>
            <w:vAlign w:val="bottom"/>
            <w:gridSpan w:val="2"/>
          </w:tcPr>
          <w:p>
            <w:pPr>
              <w:jc w:val="right"/>
              <w:ind w:right="114"/>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Emerging Markets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1320" w:type="dxa"/>
            <w:vAlign w:val="bottom"/>
            <w:gridSpan w:val="2"/>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Global Equity</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w:t>
            </w:r>
          </w:p>
        </w:tc>
        <w:tc>
          <w:tcPr>
            <w:tcW w:w="380" w:type="dxa"/>
            <w:vAlign w:val="bottom"/>
          </w:tcPr>
          <w:p>
            <w:pPr>
              <w:spacing w:after="0"/>
              <w:rPr>
                <w:sz w:val="18"/>
                <w:szCs w:val="18"/>
                <w:color w:val="auto"/>
              </w:rPr>
            </w:pPr>
          </w:p>
        </w:tc>
        <w:tc>
          <w:tcPr>
            <w:tcW w:w="94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Equity Securities</w:t>
            </w:r>
          </w:p>
        </w:tc>
        <w:tc>
          <w:tcPr>
            <w:tcW w:w="2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1,171</w:t>
            </w:r>
          </w:p>
        </w:tc>
        <w:tc>
          <w:tcPr>
            <w:tcW w:w="6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1,551</w:t>
            </w:r>
          </w:p>
        </w:tc>
        <w:tc>
          <w:tcPr>
            <w:tcW w:w="5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2,722</w:t>
            </w:r>
          </w:p>
        </w:tc>
        <w:tc>
          <w:tcPr>
            <w:tcW w:w="1320" w:type="dxa"/>
            <w:vAlign w:val="bottom"/>
            <w:gridSpan w:val="2"/>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4420" w:type="dxa"/>
            <w:vAlign w:val="bottom"/>
            <w:gridSpan w:val="3"/>
          </w:tcPr>
          <w:p>
            <w:pPr>
              <w:spacing w:after="0"/>
              <w:rPr>
                <w:sz w:val="20"/>
                <w:szCs w:val="20"/>
                <w:color w:val="auto"/>
              </w:rPr>
            </w:pPr>
            <w:r>
              <w:rPr>
                <w:rFonts w:ascii="Arial" w:cs="Arial" w:eastAsia="Arial" w:hAnsi="Arial"/>
                <w:sz w:val="18"/>
                <w:szCs w:val="18"/>
                <w:color w:val="auto"/>
              </w:rPr>
              <w:t>Debt Securities: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230</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1320" w:type="dxa"/>
            <w:vAlign w:val="bottom"/>
            <w:gridSpan w:val="2"/>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Debt Security Issued by Government Agency</w:t>
            </w:r>
          </w:p>
        </w:tc>
        <w:tc>
          <w:tcPr>
            <w:tcW w:w="24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116</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769</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885</w:t>
            </w:r>
          </w:p>
        </w:tc>
        <w:tc>
          <w:tcPr>
            <w:tcW w:w="1320" w:type="dxa"/>
            <w:vAlign w:val="bottom"/>
            <w:gridSpan w:val="2"/>
          </w:tcPr>
          <w:p>
            <w:pPr>
              <w:jc w:val="right"/>
              <w:ind w:right="114"/>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94</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1,116</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1,210</w:t>
            </w:r>
          </w:p>
        </w:tc>
        <w:tc>
          <w:tcPr>
            <w:tcW w:w="1320" w:type="dxa"/>
            <w:vAlign w:val="bottom"/>
            <w:gridSpan w:val="2"/>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Asset Backed Securities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338</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339</w:t>
            </w:r>
          </w:p>
        </w:tc>
        <w:tc>
          <w:tcPr>
            <w:tcW w:w="380" w:type="dxa"/>
            <w:vAlign w:val="bottom"/>
          </w:tcPr>
          <w:p>
            <w:pPr>
              <w:spacing w:after="0"/>
              <w:rPr>
                <w:sz w:val="18"/>
                <w:szCs w:val="18"/>
                <w:color w:val="auto"/>
              </w:rPr>
            </w:pPr>
          </w:p>
        </w:tc>
        <w:tc>
          <w:tcPr>
            <w:tcW w:w="94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Debt Securities</w:t>
            </w:r>
          </w:p>
        </w:tc>
        <w:tc>
          <w:tcPr>
            <w:tcW w:w="240" w:type="dxa"/>
            <w:vAlign w:val="bottom"/>
            <w:tcBorders>
              <w:bottom w:val="single" w:sz="8" w:color="auto"/>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215</w:t>
            </w:r>
          </w:p>
        </w:tc>
        <w:tc>
          <w:tcPr>
            <w:tcW w:w="3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2,453</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2,668</w:t>
            </w:r>
          </w:p>
        </w:tc>
        <w:tc>
          <w:tcPr>
            <w:tcW w:w="3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7"/>
        </w:trPr>
        <w:tc>
          <w:tcPr>
            <w:tcW w:w="4420" w:type="dxa"/>
            <w:vAlign w:val="bottom"/>
            <w:gridSpan w:val="3"/>
          </w:tcPr>
          <w:p>
            <w:pPr>
              <w:spacing w:after="0"/>
              <w:rPr>
                <w:sz w:val="20"/>
                <w:szCs w:val="20"/>
                <w:color w:val="auto"/>
              </w:rPr>
            </w:pPr>
            <w:r>
              <w:rPr>
                <w:rFonts w:ascii="Arial" w:cs="Arial" w:eastAsia="Arial" w:hAnsi="Arial"/>
                <w:sz w:val="18"/>
                <w:szCs w:val="18"/>
                <w:color w:val="auto"/>
              </w:rPr>
              <w:t>Common/Collective Trust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320" w:type="dxa"/>
            <w:vAlign w:val="bottom"/>
            <w:gridSpan w:val="2"/>
          </w:tcPr>
          <w:p>
            <w:pPr>
              <w:jc w:val="right"/>
              <w:ind w:right="1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Derivatives:</w:t>
            </w: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Interest Rate Contracts</w:t>
            </w:r>
          </w:p>
        </w:tc>
        <w:tc>
          <w:tcPr>
            <w:tcW w:w="24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77</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1320" w:type="dxa"/>
            <w:vAlign w:val="bottom"/>
            <w:gridSpan w:val="2"/>
          </w:tcPr>
          <w:p>
            <w:pPr>
              <w:jc w:val="right"/>
              <w:ind w:right="114"/>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Foreign Exchange Contracts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(81)</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c>
          <w:tcPr>
            <w:tcW w:w="1320" w:type="dxa"/>
            <w:vAlign w:val="bottom"/>
            <w:gridSpan w:val="2"/>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Equity Contracts</w:t>
            </w:r>
          </w:p>
        </w:tc>
        <w:tc>
          <w:tcPr>
            <w:tcW w:w="24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114</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1320" w:type="dxa"/>
            <w:vAlign w:val="bottom"/>
            <w:gridSpan w:val="2"/>
          </w:tcPr>
          <w:p>
            <w:pPr>
              <w:jc w:val="right"/>
              <w:ind w:right="114"/>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Credit Contracts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Other Contracts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94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Derivatives</w:t>
            </w:r>
          </w:p>
        </w:tc>
        <w:tc>
          <w:tcPr>
            <w:tcW w:w="2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120</w:t>
            </w:r>
          </w:p>
        </w:tc>
        <w:tc>
          <w:tcPr>
            <w:tcW w:w="5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1320" w:type="dxa"/>
            <w:vAlign w:val="bottom"/>
            <w:gridSpan w:val="2"/>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420" w:type="dxa"/>
            <w:vAlign w:val="bottom"/>
            <w:gridSpan w:val="3"/>
          </w:tcPr>
          <w:p>
            <w:pPr>
              <w:spacing w:after="0"/>
              <w:rPr>
                <w:sz w:val="20"/>
                <w:szCs w:val="20"/>
                <w:color w:val="auto"/>
              </w:rPr>
            </w:pPr>
            <w:r>
              <w:rPr>
                <w:rFonts w:ascii="Arial" w:cs="Arial" w:eastAsia="Arial" w:hAnsi="Arial"/>
                <w:sz w:val="18"/>
                <w:szCs w:val="18"/>
                <w:color w:val="auto"/>
              </w:rPr>
              <w:t>Hedge Funds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9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279</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w:t>
            </w:r>
          </w:p>
        </w:tc>
        <w:tc>
          <w:tcPr>
            <w:tcW w:w="1320" w:type="dxa"/>
            <w:vAlign w:val="bottom"/>
            <w:gridSpan w:val="2"/>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420" w:type="dxa"/>
            <w:vAlign w:val="bottom"/>
            <w:gridSpan w:val="3"/>
          </w:tcPr>
          <w:p>
            <w:pPr>
              <w:spacing w:after="0" w:line="202" w:lineRule="exact"/>
              <w:rPr>
                <w:sz w:val="20"/>
                <w:szCs w:val="20"/>
                <w:color w:val="auto"/>
              </w:rPr>
            </w:pPr>
            <w:r>
              <w:rPr>
                <w:rFonts w:ascii="Arial" w:cs="Arial" w:eastAsia="Arial" w:hAnsi="Arial"/>
                <w:sz w:val="18"/>
                <w:szCs w:val="18"/>
                <w:color w:val="auto"/>
              </w:rPr>
              <w:t>Private Equity/Venture Capital</w:t>
            </w:r>
          </w:p>
        </w:tc>
        <w:tc>
          <w:tcPr>
            <w:tcW w:w="24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331</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1320" w:type="dxa"/>
            <w:vAlign w:val="bottom"/>
            <w:gridSpan w:val="2"/>
          </w:tcPr>
          <w:p>
            <w:pPr>
              <w:jc w:val="right"/>
              <w:ind w:right="114"/>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Guaranteed Insurance Contracts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1320" w:type="dxa"/>
            <w:vAlign w:val="bottom"/>
            <w:gridSpan w:val="2"/>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42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94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Defined Benefit Plans Assets</w:t>
            </w:r>
            <w:r>
              <w:rPr>
                <w:rFonts w:ascii="Arial" w:cs="Arial" w:eastAsia="Arial" w:hAnsi="Arial"/>
                <w:sz w:val="22"/>
                <w:szCs w:val="22"/>
                <w:b w:val="1"/>
                <w:bCs w:val="1"/>
                <w:color w:val="auto"/>
                <w:vertAlign w:val="superscript"/>
              </w:rPr>
              <w:t>(1)</w:t>
            </w:r>
          </w:p>
        </w:tc>
        <w:tc>
          <w:tcPr>
            <w:tcW w:w="2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1,893</w:t>
            </w:r>
          </w:p>
        </w:tc>
        <w:tc>
          <w:tcPr>
            <w:tcW w:w="6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4,695</w:t>
            </w:r>
          </w:p>
        </w:tc>
        <w:tc>
          <w:tcPr>
            <w:tcW w:w="5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717</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7,305</w:t>
            </w:r>
          </w:p>
        </w:tc>
        <w:tc>
          <w:tcPr>
            <w:tcW w:w="1320" w:type="dxa"/>
            <w:vAlign w:val="bottom"/>
            <w:gridSpan w:val="2"/>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580" w:hanging="572"/>
        <w:spacing w:after="0"/>
        <w:tabs>
          <w:tab w:leader="none" w:pos="580" w:val="left"/>
        </w:tabs>
        <w:numPr>
          <w:ilvl w:val="0"/>
          <w:numId w:val="122"/>
        </w:numPr>
        <w:rPr>
          <w:rFonts w:ascii="Arial" w:cs="Arial" w:eastAsia="Arial" w:hAnsi="Arial"/>
          <w:sz w:val="22"/>
          <w:szCs w:val="22"/>
          <w:color w:val="auto"/>
          <w:vertAlign w:val="superscript"/>
        </w:rPr>
      </w:pPr>
      <w:r>
        <w:rPr>
          <w:rFonts w:ascii="Arial" w:cs="Arial" w:eastAsia="Arial" w:hAnsi="Arial"/>
          <w:sz w:val="14"/>
          <w:szCs w:val="14"/>
          <w:color w:val="auto"/>
        </w:rPr>
        <w:t>Total fair value assets exclude $(382) of other net non-financial assets (liabilities) such as due to/from broker, interest receivables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 roll-forward of the defined benefit plans assets measured using significant unobservable inputs (Level 3 assets):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rPr>
              <w:t>Fair Value Measurement Using Significant Unobservable Inputs (Level 3)</w:t>
            </w: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8"/>
              </w:rPr>
              <w:t>Private</w:t>
            </w:r>
          </w:p>
        </w:tc>
        <w:tc>
          <w:tcPr>
            <w:tcW w:w="380" w:type="dxa"/>
            <w:vAlign w:val="bottom"/>
          </w:tcPr>
          <w:p>
            <w:pPr>
              <w:spacing w:after="0"/>
              <w:rPr>
                <w:sz w:val="10"/>
                <w:szCs w:val="10"/>
                <w:color w:val="auto"/>
              </w:rPr>
            </w:pPr>
          </w:p>
        </w:tc>
        <w:tc>
          <w:tcPr>
            <w:tcW w:w="1580" w:type="dxa"/>
            <w:vAlign w:val="bottom"/>
            <w:gridSpan w:val="4"/>
          </w:tcPr>
          <w:p>
            <w:pPr>
              <w:jc w:val="right"/>
              <w:ind w:right="722"/>
              <w:spacing w:after="0" w:line="125" w:lineRule="exact"/>
              <w:rPr>
                <w:sz w:val="20"/>
                <w:szCs w:val="20"/>
                <w:color w:val="auto"/>
              </w:rPr>
            </w:pPr>
            <w:r>
              <w:rPr>
                <w:rFonts w:ascii="Arial" w:cs="Arial" w:eastAsia="Arial" w:hAnsi="Arial"/>
                <w:sz w:val="14"/>
                <w:szCs w:val="14"/>
                <w:b w:val="1"/>
                <w:bCs w:val="1"/>
                <w:color w:val="auto"/>
                <w:w w:val="97"/>
              </w:rPr>
              <w:t>Guaranteed</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Equity/Venture</w:t>
            </w:r>
          </w:p>
        </w:tc>
        <w:tc>
          <w:tcPr>
            <w:tcW w:w="3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Insurance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Hedge Funds</w:t>
            </w:r>
          </w:p>
        </w:tc>
        <w:tc>
          <w:tcPr>
            <w:tcW w:w="38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Real Estate</w:t>
            </w:r>
          </w:p>
        </w:tc>
        <w:tc>
          <w:tcPr>
            <w:tcW w:w="3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3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2008</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b w:val="1"/>
                <w:bCs w:val="1"/>
                <w:color w:val="auto"/>
              </w:rPr>
              <w:t>3</w:t>
            </w:r>
          </w:p>
        </w:tc>
        <w:tc>
          <w:tcPr>
            <w:tcW w:w="760" w:type="dxa"/>
            <w:vAlign w:val="bottom"/>
            <w:gridSpan w:val="2"/>
            <w:shd w:val="clear" w:color="auto" w:fill="CCEEFF"/>
          </w:tcPr>
          <w:p>
            <w:pPr>
              <w:jc w:val="right"/>
              <w:ind w:right="2"/>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rPr>
              <w:t>279</w:t>
            </w:r>
          </w:p>
        </w:tc>
        <w:tc>
          <w:tcPr>
            <w:tcW w:w="740" w:type="dxa"/>
            <w:vAlign w:val="bottom"/>
            <w:gridSpan w:val="2"/>
            <w:shd w:val="clear" w:color="auto" w:fill="CCEEFF"/>
          </w:tcPr>
          <w:p>
            <w:pPr>
              <w:jc w:val="right"/>
              <w:ind w:right="7"/>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b w:val="1"/>
                <w:bCs w:val="1"/>
                <w:color w:val="auto"/>
              </w:rPr>
              <w:t>331</w:t>
            </w:r>
          </w:p>
        </w:tc>
        <w:tc>
          <w:tcPr>
            <w:tcW w:w="1100" w:type="dxa"/>
            <w:vAlign w:val="bottom"/>
            <w:gridSpan w:val="2"/>
            <w:shd w:val="clear" w:color="auto" w:fill="CCEEFF"/>
          </w:tcPr>
          <w:p>
            <w:pPr>
              <w:jc w:val="right"/>
              <w:ind w:right="44"/>
              <w:spacing w:after="0" w:line="196" w:lineRule="exact"/>
              <w:rPr>
                <w:sz w:val="20"/>
                <w:szCs w:val="20"/>
                <w:color w:val="auto"/>
              </w:rPr>
            </w:pPr>
            <w:r>
              <w:rPr>
                <w:rFonts w:ascii="Arial" w:cs="Arial" w:eastAsia="Arial" w:hAnsi="Arial"/>
                <w:sz w:val="18"/>
                <w:szCs w:val="18"/>
                <w:b w:val="1"/>
                <w:bCs w:val="1"/>
                <w:color w:val="auto"/>
              </w:rPr>
              <w:t>$104</w:t>
            </w:r>
          </w:p>
        </w:tc>
        <w:tc>
          <w:tcPr>
            <w:tcW w:w="860" w:type="dxa"/>
            <w:vAlign w:val="bottom"/>
            <w:gridSpan w:val="3"/>
            <w:shd w:val="clear" w:color="auto" w:fill="CCEEFF"/>
          </w:tcPr>
          <w:p>
            <w:pPr>
              <w:jc w:val="right"/>
              <w:ind w:right="22"/>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42"/>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3"/>
              </w:rPr>
              <w:t>717</w:t>
            </w: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Net Payments, Purchases and Sales</w:t>
            </w:r>
          </w:p>
        </w:tc>
        <w:tc>
          <w:tcPr>
            <w:tcW w:w="360" w:type="dxa"/>
            <w:vAlign w:val="bottom"/>
          </w:tcPr>
          <w:p>
            <w:pPr>
              <w:spacing w:after="0"/>
              <w:rPr>
                <w:sz w:val="17"/>
                <w:szCs w:val="17"/>
                <w:color w:val="auto"/>
              </w:rPr>
            </w:pPr>
          </w:p>
        </w:tc>
        <w:tc>
          <w:tcPr>
            <w:tcW w:w="500" w:type="dxa"/>
            <w:vAlign w:val="bottom"/>
          </w:tcPr>
          <w:p>
            <w:pPr>
              <w:ind w:left="200"/>
              <w:spacing w:after="0" w:line="202"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44"/>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Transfers In (Out)</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
              <w:spacing w:after="0" w:line="202" w:lineRule="exact"/>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Realized Gains (Losses)</w:t>
            </w:r>
          </w:p>
        </w:tc>
        <w:tc>
          <w:tcPr>
            <w:tcW w:w="360" w:type="dxa"/>
            <w:vAlign w:val="bottom"/>
          </w:tcPr>
          <w:p>
            <w:pPr>
              <w:spacing w:after="0"/>
              <w:rPr>
                <w:sz w:val="17"/>
                <w:szCs w:val="17"/>
                <w:color w:val="auto"/>
              </w:rPr>
            </w:pPr>
          </w:p>
        </w:tc>
        <w:tc>
          <w:tcPr>
            <w:tcW w:w="5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44"/>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Gains (Losses)</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(69)</w:t>
            </w:r>
          </w:p>
        </w:tc>
        <w:tc>
          <w:tcPr>
            <w:tcW w:w="1100" w:type="dxa"/>
            <w:vAlign w:val="bottom"/>
            <w:gridSpan w:val="2"/>
            <w:shd w:val="clear" w:color="auto" w:fill="CCEEFF"/>
          </w:tcPr>
          <w:p>
            <w:pPr>
              <w:jc w:val="right"/>
              <w:ind w:right="44"/>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11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r>
      <w:tr>
        <w:trPr>
          <w:trHeight w:val="210"/>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Currency Translation</w:t>
            </w: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20" w:type="dxa"/>
            <w:vAlign w:val="bottom"/>
            <w:tcBorders>
              <w:bottom w:val="single" w:sz="8" w:color="auto"/>
            </w:tcBorders>
          </w:tcPr>
          <w:p>
            <w:pPr>
              <w:jc w:val="right"/>
              <w:ind w:right="44"/>
              <w:spacing w:after="0" w:line="202" w:lineRule="exact"/>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December 31, 2009</w:t>
            </w: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4</w:t>
            </w:r>
          </w:p>
        </w:tc>
        <w:tc>
          <w:tcPr>
            <w:tcW w:w="3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237</w:t>
            </w:r>
          </w:p>
        </w:tc>
        <w:tc>
          <w:tcPr>
            <w:tcW w:w="3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7"/>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b w:val="1"/>
                <w:bCs w:val="1"/>
                <w:color w:val="auto"/>
              </w:rPr>
              <w:t>286</w:t>
            </w:r>
          </w:p>
        </w:tc>
        <w:tc>
          <w:tcPr>
            <w:tcW w:w="3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4"/>
              <w:spacing w:after="0" w:line="202" w:lineRule="exact"/>
              <w:rPr>
                <w:sz w:val="20"/>
                <w:szCs w:val="20"/>
                <w:color w:val="auto"/>
              </w:rPr>
            </w:pPr>
            <w:r>
              <w:rPr>
                <w:rFonts w:ascii="Arial" w:cs="Arial" w:eastAsia="Arial" w:hAnsi="Arial"/>
                <w:sz w:val="18"/>
                <w:szCs w:val="18"/>
                <w:b w:val="1"/>
                <w:bCs w:val="1"/>
                <w:color w:val="auto"/>
              </w:rPr>
              <w:t>$130</w:t>
            </w: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42"/>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3"/>
              </w:rPr>
              <w:t>657</w:t>
            </w: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gridSpan w:val="6"/>
          </w:tcPr>
          <w:p>
            <w:pPr>
              <w:jc w:val="right"/>
              <w:spacing w:after="0"/>
              <w:rPr>
                <w:sz w:val="20"/>
                <w:szCs w:val="20"/>
                <w:color w:val="auto"/>
              </w:rPr>
            </w:pPr>
            <w:r>
              <w:rPr>
                <w:rFonts w:ascii="Arial" w:cs="Arial" w:eastAsia="Arial" w:hAnsi="Arial"/>
                <w:sz w:val="18"/>
                <w:szCs w:val="18"/>
                <w:color w:val="1269BC"/>
                <w:w w:val="97"/>
              </w:rPr>
              <w:t>Xerox 2009 Annual Report</w:t>
            </w:r>
          </w:p>
        </w:tc>
        <w:tc>
          <w:tcPr>
            <w:tcW w:w="340" w:type="dxa"/>
            <w:vAlign w:val="bottom"/>
          </w:tcPr>
          <w:p>
            <w:pPr>
              <w:jc w:val="right"/>
              <w:spacing w:after="0"/>
              <w:rPr>
                <w:sz w:val="20"/>
                <w:szCs w:val="20"/>
                <w:color w:val="auto"/>
              </w:rPr>
            </w:pPr>
            <w:r>
              <w:rPr>
                <w:rFonts w:ascii="Arial" w:cs="Arial" w:eastAsia="Arial" w:hAnsi="Arial"/>
                <w:sz w:val="18"/>
                <w:szCs w:val="18"/>
                <w:color w:val="1269BC"/>
              </w:rPr>
              <w:t>69</w:t>
            </w:r>
          </w:p>
        </w:tc>
      </w:tr>
    </w:tbl>
    <w:p>
      <w:pPr>
        <w:sectPr>
          <w:pgSz w:w="11900" w:h="16838" w:orient="portrait"/>
          <w:cols w:equalWidth="0" w:num="1">
            <w:col w:w="11420"/>
          </w:cols>
          <w:pgMar w:left="240" w:top="291" w:right="23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pension plan assets at December 31, 2009 were as follows: U.S. $3.1 billion; U.K. $2.7 billion; Canada $0.5 billion and Other $1.3 billion. Our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benefit obligations at December 31, 2009 were as follows: U.S. $4.4 billion; U.K. $2.7 billion; Canada $0.6 billion and Other $1.5 billion.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Investment Strategy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target asset allocations for our worldwide plans for 2009 and 2008 were: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80" w:type="dxa"/>
            <w:vAlign w:val="bottom"/>
          </w:tcPr>
          <w:p>
            <w:pPr>
              <w:spacing w:after="0"/>
              <w:rPr>
                <w:sz w:val="14"/>
                <w:szCs w:val="14"/>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2008</w:t>
            </w: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Equity investments</w:t>
            </w:r>
          </w:p>
        </w:tc>
        <w:tc>
          <w:tcPr>
            <w:tcW w:w="1240" w:type="dxa"/>
            <w:vAlign w:val="bottom"/>
            <w:shd w:val="clear" w:color="auto" w:fill="CCEEFF"/>
          </w:tcPr>
          <w:p>
            <w:pPr>
              <w:jc w:val="right"/>
              <w:ind w:right="315"/>
              <w:spacing w:after="0" w:line="196" w:lineRule="exact"/>
              <w:rPr>
                <w:sz w:val="20"/>
                <w:szCs w:val="20"/>
                <w:color w:val="auto"/>
              </w:rPr>
            </w:pPr>
            <w:r>
              <w:rPr>
                <w:rFonts w:ascii="Arial" w:cs="Arial" w:eastAsia="Arial" w:hAnsi="Arial"/>
                <w:sz w:val="18"/>
                <w:szCs w:val="18"/>
                <w:color w:val="auto"/>
              </w:rPr>
              <w:t>41%</w:t>
            </w:r>
          </w:p>
        </w:tc>
        <w:tc>
          <w:tcPr>
            <w:tcW w:w="1460" w:type="dxa"/>
            <w:vAlign w:val="bottom"/>
            <w:gridSpan w:val="2"/>
            <w:shd w:val="clear" w:color="auto" w:fill="CCEEFF"/>
          </w:tcPr>
          <w:p>
            <w:pPr>
              <w:jc w:val="right"/>
              <w:ind w:right="302"/>
              <w:spacing w:after="0" w:line="196" w:lineRule="exact"/>
              <w:rPr>
                <w:sz w:val="20"/>
                <w:szCs w:val="20"/>
                <w:color w:val="auto"/>
              </w:rPr>
            </w:pPr>
            <w:r>
              <w:rPr>
                <w:rFonts w:ascii="Arial" w:cs="Arial" w:eastAsia="Arial" w:hAnsi="Arial"/>
                <w:sz w:val="18"/>
                <w:szCs w:val="18"/>
                <w:color w:val="auto"/>
              </w:rPr>
              <w:t>47%</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Fixed income investments</w:t>
            </w:r>
          </w:p>
        </w:tc>
        <w:tc>
          <w:tcPr>
            <w:tcW w:w="1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45%</w:t>
            </w:r>
          </w:p>
        </w:tc>
        <w:tc>
          <w:tcPr>
            <w:tcW w:w="1460" w:type="dxa"/>
            <w:vAlign w:val="bottom"/>
            <w:gridSpan w:val="2"/>
          </w:tcPr>
          <w:p>
            <w:pPr>
              <w:jc w:val="right"/>
              <w:ind w:right="302"/>
              <w:spacing w:after="0" w:line="202" w:lineRule="exact"/>
              <w:rPr>
                <w:sz w:val="20"/>
                <w:szCs w:val="20"/>
                <w:color w:val="auto"/>
              </w:rPr>
            </w:pPr>
            <w:r>
              <w:rPr>
                <w:rFonts w:ascii="Arial" w:cs="Arial" w:eastAsia="Arial" w:hAnsi="Arial"/>
                <w:sz w:val="18"/>
                <w:szCs w:val="18"/>
                <w:color w:val="auto"/>
              </w:rPr>
              <w:t>42%</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w:t>
            </w:r>
          </w:p>
        </w:tc>
        <w:tc>
          <w:tcPr>
            <w:tcW w:w="1240" w:type="dxa"/>
            <w:vAlign w:val="bottom"/>
            <w:shd w:val="clear" w:color="auto" w:fill="CCEEFF"/>
          </w:tcPr>
          <w:p>
            <w:pPr>
              <w:jc w:val="right"/>
              <w:ind w:right="315"/>
              <w:spacing w:after="0" w:line="202" w:lineRule="exact"/>
              <w:rPr>
                <w:sz w:val="20"/>
                <w:szCs w:val="20"/>
                <w:color w:val="auto"/>
              </w:rPr>
            </w:pPr>
            <w:r>
              <w:rPr>
                <w:rFonts w:ascii="Arial" w:cs="Arial" w:eastAsia="Arial" w:hAnsi="Arial"/>
                <w:sz w:val="18"/>
                <w:szCs w:val="18"/>
                <w:color w:val="auto"/>
              </w:rPr>
              <w:t>7%</w:t>
            </w:r>
          </w:p>
        </w:tc>
        <w:tc>
          <w:tcPr>
            <w:tcW w:w="1460" w:type="dxa"/>
            <w:vAlign w:val="bottom"/>
            <w:gridSpan w:val="2"/>
            <w:shd w:val="clear" w:color="auto" w:fill="CCEEFF"/>
          </w:tcPr>
          <w:p>
            <w:pPr>
              <w:jc w:val="right"/>
              <w:ind w:right="302"/>
              <w:spacing w:after="0" w:line="202" w:lineRule="exact"/>
              <w:rPr>
                <w:sz w:val="20"/>
                <w:szCs w:val="20"/>
                <w:color w:val="auto"/>
              </w:rPr>
            </w:pPr>
            <w:r>
              <w:rPr>
                <w:rFonts w:ascii="Arial" w:cs="Arial" w:eastAsia="Arial" w:hAnsi="Arial"/>
                <w:sz w:val="18"/>
                <w:szCs w:val="18"/>
                <w:color w:val="auto"/>
              </w:rPr>
              <w:t>7%</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Private equity</w:t>
            </w:r>
          </w:p>
        </w:tc>
        <w:tc>
          <w:tcPr>
            <w:tcW w:w="1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4%</w:t>
            </w:r>
          </w:p>
        </w:tc>
        <w:tc>
          <w:tcPr>
            <w:tcW w:w="1460" w:type="dxa"/>
            <w:vAlign w:val="bottom"/>
            <w:gridSpan w:val="2"/>
          </w:tcPr>
          <w:p>
            <w:pPr>
              <w:jc w:val="right"/>
              <w:ind w:right="302"/>
              <w:spacing w:after="0" w:line="202" w:lineRule="exact"/>
              <w:rPr>
                <w:sz w:val="20"/>
                <w:szCs w:val="20"/>
                <w:color w:val="auto"/>
              </w:rPr>
            </w:pPr>
            <w:r>
              <w:rPr>
                <w:rFonts w:ascii="Arial" w:cs="Arial" w:eastAsia="Arial" w:hAnsi="Arial"/>
                <w:sz w:val="18"/>
                <w:szCs w:val="18"/>
                <w:color w:val="auto"/>
              </w:rPr>
              <w:t>3%</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shd w:val="clear" w:color="auto" w:fill="CCEEFF"/>
          </w:tcPr>
          <w:p>
            <w:pPr>
              <w:jc w:val="right"/>
              <w:ind w:right="315"/>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02"/>
              <w:spacing w:after="0" w:line="202" w:lineRule="exact"/>
              <w:rPr>
                <w:sz w:val="20"/>
                <w:szCs w:val="20"/>
                <w:color w:val="auto"/>
              </w:rPr>
            </w:pPr>
            <w:r>
              <w:rPr>
                <w:rFonts w:ascii="Arial" w:cs="Arial" w:eastAsia="Arial" w:hAnsi="Arial"/>
                <w:sz w:val="18"/>
                <w:szCs w:val="18"/>
                <w:color w:val="auto"/>
              </w:rPr>
              <w:t>1%</w:t>
            </w: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Total Investment Strategy</w:t>
            </w:r>
          </w:p>
        </w:tc>
        <w:tc>
          <w:tcPr>
            <w:tcW w:w="1240" w:type="dxa"/>
            <w:vAlign w:val="bottom"/>
          </w:tcPr>
          <w:p>
            <w:pPr>
              <w:jc w:val="right"/>
              <w:ind w:right="315"/>
              <w:spacing w:after="0"/>
              <w:rPr>
                <w:sz w:val="20"/>
                <w:szCs w:val="20"/>
                <w:color w:val="auto"/>
              </w:rPr>
            </w:pPr>
            <w:r>
              <w:rPr>
                <w:rFonts w:ascii="Arial" w:cs="Arial" w:eastAsia="Arial" w:hAnsi="Arial"/>
                <w:sz w:val="18"/>
                <w:szCs w:val="18"/>
                <w:color w:val="auto"/>
              </w:rPr>
              <w:t>100%</w:t>
            </w:r>
          </w:p>
        </w:tc>
        <w:tc>
          <w:tcPr>
            <w:tcW w:w="1460" w:type="dxa"/>
            <w:vAlign w:val="bottom"/>
            <w:gridSpan w:val="2"/>
          </w:tcPr>
          <w:p>
            <w:pPr>
              <w:jc w:val="right"/>
              <w:ind w:right="302"/>
              <w:spacing w:after="0"/>
              <w:rPr>
                <w:sz w:val="20"/>
                <w:szCs w:val="20"/>
                <w:color w:val="auto"/>
              </w:rPr>
            </w:pPr>
            <w:r>
              <w:rPr>
                <w:rFonts w:ascii="Arial" w:cs="Arial" w:eastAsia="Arial" w:hAnsi="Arial"/>
                <w:sz w:val="18"/>
                <w:szCs w:val="18"/>
                <w:color w:val="auto"/>
              </w:rPr>
              <w:t>100%</w:t>
            </w:r>
          </w:p>
        </w:tc>
      </w:tr>
      <w:tr>
        <w:trPr>
          <w:trHeight w:val="20"/>
        </w:trPr>
        <w:tc>
          <w:tcPr>
            <w:tcW w:w="5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employ a total return investment approach whereby a mix of equities and fixed income investments are used to maximize the long-term return of plan assets for a prudent level of risk. The intent of this strategy is to minimize plan expenses by exceeding the interest growth in long-term plan liabilities. Risk tolerance is established through careful consideration of plan liabilities, plan funded status and corporate financial condition. This consideration involves the use of long-term measures that address both return and risk. The investment portfolio contains a diversified blend of equity and fixed income investments. Furthermore, equity investments are diversified across U.S. and non-U.S. stocks, as well as growth, value and small and large capitalizations. Other assets such as real estate, private equity, and hedge funds are used to improve portfolio diversification. Derivatives may be used to hedge market exposure in an efficient and timely manner; however, derivatives may not be used to leverage the portfolio beyond the market value of the underlying investments. Investment risks and returns are measured and monitored on an ongoing basis through annual liability measurements and quarterly investment portfolio reviews.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Expected Long-term Rate of Return</w:t>
      </w:r>
    </w:p>
    <w:p>
      <w:pPr>
        <w:spacing w:after="0" w:line="18"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We employ a “building block” approach in determining the long-term rate of return for plan assets. Historical markets are studied and long-term relationships between equities and fixed income are assessed. Current market factors such as inflation and interest rates are evaluated before long-term capital market assumptions are determined. The long-term portfolio return is established giving consideration to investment diversification and rebalancing. Peer data and historical returns are reviewed periodically to assess reasonableness and appropriateness.</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Contributions</w:t>
      </w:r>
    </w:p>
    <w:p>
      <w:pPr>
        <w:spacing w:after="0" w:line="18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2009 contributions for our worldwide benefit plans were $122 for pensions and $107 for our retiree health. In 2010 we expect to make contributions of approximately $260 to our worldwide defined benefit pension plans and $103 to our retiree health benefit plans in 2010. Once the January 1, 2010 actuarial valuations are finalized for our U.S. qualified pension plans, we will reassess the need for additional contributions for these plans. No additional contributions were made in 2009, due to the ERISA funded status of our U.S. qualified pension plans and the availability of a credit balance that had resulted from funding in prior periods in excess of minimum requirements. In 2008, we made additional contributions above what was disclosed in the 2007 Annual Report of $165 to our U.S. qualified pension plans.</w:t>
      </w:r>
    </w:p>
    <w:p>
      <w:pPr>
        <w:spacing w:after="0" w:line="14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70</w:t>
      </w:r>
    </w:p>
    <w:p>
      <w:pPr>
        <w:sectPr>
          <w:pgSz w:w="11900" w:h="16838" w:orient="portrait"/>
          <w:cols w:equalWidth="0" w:num="1">
            <w:col w:w="11420"/>
          </w:cols>
          <w:pgMar w:left="240" w:top="291"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Estimated Future Benefit Payments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during the following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57"/>
              <w:spacing w:after="0"/>
              <w:rPr>
                <w:sz w:val="20"/>
                <w:szCs w:val="20"/>
                <w:color w:val="auto"/>
              </w:rPr>
            </w:pPr>
            <w:r>
              <w:rPr>
                <w:rFonts w:ascii="Arial" w:cs="Arial" w:eastAsia="Arial" w:hAnsi="Arial"/>
                <w:sz w:val="14"/>
                <w:szCs w:val="14"/>
                <w:b w:val="1"/>
                <w:bCs w:val="1"/>
                <w:color w:val="auto"/>
              </w:rPr>
              <w:t>Pension</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17"/>
              <w:spacing w:after="0"/>
              <w:rPr>
                <w:sz w:val="20"/>
                <w:szCs w:val="20"/>
                <w:color w:val="auto"/>
              </w:rPr>
            </w:pPr>
            <w:r>
              <w:rPr>
                <w:rFonts w:ascii="Arial" w:cs="Arial" w:eastAsia="Arial" w:hAnsi="Arial"/>
                <w:sz w:val="14"/>
                <w:szCs w:val="14"/>
                <w:b w:val="1"/>
                <w:bCs w:val="1"/>
                <w:color w:val="auto"/>
              </w:rPr>
              <w:t>Retiree</w:t>
            </w:r>
          </w:p>
        </w:tc>
      </w:tr>
      <w:tr>
        <w:trPr>
          <w:trHeight w:val="165"/>
        </w:trPr>
        <w:tc>
          <w:tcPr>
            <w:tcW w:w="7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Benefits</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Health</w:t>
            </w: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721</w:t>
            </w:r>
          </w:p>
        </w:tc>
        <w:tc>
          <w:tcPr>
            <w:tcW w:w="5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640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679</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677</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r>
      <w:tr>
        <w:trPr>
          <w:trHeight w:val="214"/>
        </w:trPr>
        <w:tc>
          <w:tcPr>
            <w:tcW w:w="7520" w:type="dxa"/>
            <w:vAlign w:val="bottom"/>
          </w:tcPr>
          <w:p>
            <w:pPr>
              <w:spacing w:after="0"/>
              <w:rPr>
                <w:sz w:val="20"/>
                <w:szCs w:val="20"/>
                <w:color w:val="auto"/>
              </w:rPr>
            </w:pPr>
            <w:r>
              <w:rPr>
                <w:rFonts w:ascii="Arial" w:cs="Arial" w:eastAsia="Arial" w:hAnsi="Arial"/>
                <w:sz w:val="18"/>
                <w:szCs w:val="18"/>
                <w:color w:val="auto"/>
              </w:rPr>
              <w:t>Years 2015-2019</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benefit obligations at the plan measurement dates: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5"/>
              </w:rPr>
              <w:t>Pension Benefits</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5"/>
              </w:rPr>
              <w:t>Retiree Health</w:t>
            </w:r>
          </w:p>
        </w:tc>
        <w:tc>
          <w:tcPr>
            <w:tcW w:w="600" w:type="dxa"/>
            <w:vAlign w:val="bottom"/>
            <w:tcBorders>
              <w:bottom w:val="single" w:sz="8" w:color="auto"/>
            </w:tcBorders>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right"/>
              <w:ind w:right="89"/>
              <w:spacing w:after="0" w:line="142" w:lineRule="exact"/>
              <w:rPr>
                <w:sz w:val="20"/>
                <w:szCs w:val="20"/>
                <w:color w:val="auto"/>
              </w:rPr>
            </w:pPr>
            <w:r>
              <w:rPr>
                <w:rFonts w:ascii="Arial" w:cs="Arial" w:eastAsia="Arial" w:hAnsi="Arial"/>
                <w:sz w:val="14"/>
                <w:szCs w:val="14"/>
                <w:b w:val="1"/>
                <w:bCs w:val="1"/>
                <w:color w:val="auto"/>
              </w:rPr>
              <w:t>2007</w:t>
            </w: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w:t>
            </w:r>
          </w:p>
        </w:tc>
        <w:tc>
          <w:tcPr>
            <w:tcW w:w="8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w:t>
            </w:r>
          </w:p>
        </w:tc>
      </w:tr>
      <w:tr>
        <w:trPr>
          <w:trHeight w:val="384"/>
        </w:trPr>
        <w:tc>
          <w:tcPr>
            <w:tcW w:w="65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660" w:type="dxa"/>
            <w:vAlign w:val="bottom"/>
          </w:tcPr>
          <w:p>
            <w:pPr>
              <w:jc w:val="right"/>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 xml:space="preserve"> (1)</w:t>
            </w:r>
          </w:p>
        </w:tc>
        <w:tc>
          <w:tcPr>
            <w:tcW w:w="200" w:type="dxa"/>
            <w:vAlign w:val="bottom"/>
          </w:tcPr>
          <w:p>
            <w:pPr>
              <w:spacing w:after="0"/>
              <w:rPr>
                <w:sz w:val="24"/>
                <w:szCs w:val="24"/>
                <w:color w:val="auto"/>
              </w:rPr>
            </w:pPr>
          </w:p>
        </w:tc>
        <w:tc>
          <w:tcPr>
            <w:tcW w:w="880" w:type="dxa"/>
            <w:vAlign w:val="bottom"/>
            <w:gridSpan w:val="2"/>
          </w:tcPr>
          <w:p>
            <w:pPr>
              <w:ind w:left="30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 xml:space="preserve"> (1)</w:t>
            </w:r>
          </w:p>
        </w:tc>
        <w:tc>
          <w:tcPr>
            <w:tcW w:w="600" w:type="dxa"/>
            <w:vAlign w:val="bottom"/>
          </w:tcPr>
          <w:p>
            <w:pPr>
              <w:jc w:val="right"/>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 xml:space="preserve"> (1)</w:t>
            </w:r>
          </w:p>
        </w:tc>
      </w:tr>
    </w:tbl>
    <w:p>
      <w:pPr>
        <w:ind w:left="580" w:hanging="572"/>
        <w:spacing w:after="0" w:line="198" w:lineRule="auto"/>
        <w:tabs>
          <w:tab w:leader="none" w:pos="580" w:val="left"/>
        </w:tabs>
        <w:numPr>
          <w:ilvl w:val="0"/>
          <w:numId w:val="123"/>
        </w:numPr>
        <w:rPr>
          <w:rFonts w:ascii="Arial" w:cs="Arial" w:eastAsia="Arial" w:hAnsi="Arial"/>
          <w:sz w:val="22"/>
          <w:szCs w:val="22"/>
          <w:color w:val="auto"/>
          <w:vertAlign w:val="superscript"/>
        </w:rPr>
      </w:pPr>
      <w:r>
        <w:rPr>
          <w:rFonts w:ascii="Arial" w:cs="Arial" w:eastAsia="Arial" w:hAnsi="Arial"/>
          <w:sz w:val="14"/>
          <w:szCs w:val="14"/>
          <w:color w:val="auto"/>
        </w:rPr>
        <w:t>Rate of compensation increase is not applicable to the retiree health benefits as compensation levels do not impact earned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8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for years ended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Pension Benefits</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4"/>
                <w:szCs w:val="14"/>
                <w:b w:val="1"/>
                <w:bCs w:val="1"/>
                <w:color w:val="auto"/>
              </w:rPr>
              <w:t>Retiree Health</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6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64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ind w:right="14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64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2007</w:t>
            </w: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68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5.7%</w:t>
            </w:r>
          </w:p>
        </w:tc>
        <w:tc>
          <w:tcPr>
            <w:tcW w:w="900" w:type="dxa"/>
            <w:vAlign w:val="bottom"/>
            <w:gridSpan w:val="2"/>
            <w:shd w:val="clear" w:color="auto" w:fill="CCEEFF"/>
          </w:tcPr>
          <w:p>
            <w:pPr>
              <w:ind w:left="400"/>
              <w:spacing w:after="0" w:line="196" w:lineRule="exact"/>
              <w:rPr>
                <w:sz w:val="20"/>
                <w:szCs w:val="20"/>
                <w:color w:val="auto"/>
              </w:rPr>
            </w:pPr>
            <w:r>
              <w:rPr>
                <w:rFonts w:ascii="Arial" w:cs="Arial" w:eastAsia="Arial" w:hAnsi="Arial"/>
                <w:sz w:val="18"/>
                <w:szCs w:val="18"/>
                <w:color w:val="auto"/>
              </w:rPr>
              <w:t>6.3%</w:t>
            </w:r>
          </w:p>
        </w:tc>
        <w:tc>
          <w:tcPr>
            <w:tcW w:w="100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5.9%</w:t>
            </w:r>
          </w:p>
        </w:tc>
        <w:tc>
          <w:tcPr>
            <w:tcW w:w="70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5.3%</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86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6.3%</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6.2%</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7.3%</w:t>
            </w:r>
          </w:p>
        </w:tc>
        <w:tc>
          <w:tcPr>
            <w:tcW w:w="90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7.4%</w:t>
            </w:r>
          </w:p>
        </w:tc>
        <w:tc>
          <w:tcPr>
            <w:tcW w:w="10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7.6%</w:t>
            </w:r>
          </w:p>
        </w:tc>
        <w:tc>
          <w:tcPr>
            <w:tcW w:w="7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7.6%</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(1)</w:t>
            </w:r>
          </w:p>
        </w:tc>
        <w:tc>
          <w:tcPr>
            <w:tcW w:w="220" w:type="dxa"/>
            <w:vAlign w:val="bottom"/>
          </w:tcPr>
          <w:p>
            <w:pPr>
              <w:spacing w:after="0"/>
              <w:rPr>
                <w:sz w:val="17"/>
                <w:szCs w:val="17"/>
                <w:color w:val="auto"/>
              </w:rPr>
            </w:pPr>
          </w:p>
        </w:tc>
        <w:tc>
          <w:tcPr>
            <w:tcW w:w="640" w:type="dxa"/>
            <w:vAlign w:val="bottom"/>
          </w:tcPr>
          <w:p>
            <w:pPr>
              <w:jc w:val="right"/>
              <w:ind w:right="3"/>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(1)</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(1)</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(1)</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Rate of compensation increase</w:t>
            </w:r>
          </w:p>
        </w:tc>
        <w:tc>
          <w:tcPr>
            <w:tcW w:w="6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3.6%</w:t>
            </w:r>
          </w:p>
        </w:tc>
        <w:tc>
          <w:tcPr>
            <w:tcW w:w="9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3.9%</w:t>
            </w:r>
          </w:p>
        </w:tc>
        <w:tc>
          <w:tcPr>
            <w:tcW w:w="10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4.1%</w:t>
            </w:r>
          </w:p>
        </w:tc>
        <w:tc>
          <w:tcPr>
            <w:tcW w:w="70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(2)</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(2)</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(2)</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 w:lineRule="exact"/>
        <w:rPr>
          <w:sz w:val="20"/>
          <w:szCs w:val="20"/>
          <w:color w:val="auto"/>
        </w:rPr>
      </w:pPr>
    </w:p>
    <w:p>
      <w:pPr>
        <w:ind w:left="580" w:hanging="572"/>
        <w:spacing w:after="0"/>
        <w:tabs>
          <w:tab w:leader="none" w:pos="580" w:val="left"/>
        </w:tabs>
        <w:numPr>
          <w:ilvl w:val="0"/>
          <w:numId w:val="124"/>
        </w:numPr>
        <w:rPr>
          <w:rFonts w:ascii="Arial" w:cs="Arial" w:eastAsia="Arial" w:hAnsi="Arial"/>
          <w:sz w:val="22"/>
          <w:szCs w:val="22"/>
          <w:color w:val="auto"/>
          <w:vertAlign w:val="superscript"/>
        </w:rPr>
      </w:pPr>
      <w:r>
        <w:rPr>
          <w:rFonts w:ascii="Arial" w:cs="Arial" w:eastAsia="Arial" w:hAnsi="Arial"/>
          <w:sz w:val="14"/>
          <w:szCs w:val="14"/>
          <w:color w:val="auto"/>
        </w:rPr>
        <w:t>Expected return on plan assets is not applicable to retiree health benefits as these plans are not funded.</w:t>
      </w:r>
    </w:p>
    <w:p>
      <w:pPr>
        <w:ind w:left="580" w:hanging="572"/>
        <w:spacing w:after="0" w:line="188" w:lineRule="auto"/>
        <w:tabs>
          <w:tab w:leader="none" w:pos="580" w:val="left"/>
        </w:tabs>
        <w:numPr>
          <w:ilvl w:val="0"/>
          <w:numId w:val="124"/>
        </w:numPr>
        <w:rPr>
          <w:rFonts w:ascii="Arial" w:cs="Arial" w:eastAsia="Arial" w:hAnsi="Arial"/>
          <w:sz w:val="18"/>
          <w:szCs w:val="18"/>
          <w:color w:val="auto"/>
          <w:vertAlign w:val="superscript"/>
        </w:rPr>
      </w:pPr>
      <w:r>
        <w:rPr>
          <w:rFonts w:ascii="Arial" w:cs="Arial" w:eastAsia="Arial" w:hAnsi="Arial"/>
          <w:sz w:val="12"/>
          <w:szCs w:val="12"/>
          <w:color w:val="auto"/>
        </w:rPr>
        <w:t>Rate of compensation increase is not applicable to retiree health benefits as compensation levels do not impact earned benefits.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Assumed health care cost trend rates at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80" w:type="dxa"/>
            <w:vAlign w:val="bottom"/>
          </w:tcPr>
          <w:p>
            <w:pPr>
              <w:spacing w:after="0"/>
              <w:rPr>
                <w:sz w:val="14"/>
                <w:szCs w:val="14"/>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2008</w:t>
            </w: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Health care cost trend rate assumed for next year</w:t>
            </w:r>
          </w:p>
        </w:tc>
        <w:tc>
          <w:tcPr>
            <w:tcW w:w="1060" w:type="dxa"/>
            <w:vAlign w:val="bottom"/>
            <w:shd w:val="clear" w:color="auto" w:fill="CCEEFF"/>
          </w:tcPr>
          <w:p>
            <w:pPr>
              <w:jc w:val="right"/>
              <w:ind w:right="117"/>
              <w:spacing w:after="0" w:line="196" w:lineRule="exact"/>
              <w:rPr>
                <w:sz w:val="20"/>
                <w:szCs w:val="20"/>
                <w:color w:val="auto"/>
              </w:rPr>
            </w:pPr>
            <w:r>
              <w:rPr>
                <w:rFonts w:ascii="Arial" w:cs="Arial" w:eastAsia="Arial" w:hAnsi="Arial"/>
                <w:sz w:val="18"/>
                <w:szCs w:val="18"/>
                <w:color w:val="auto"/>
              </w:rPr>
              <w:t>9.8%</w:t>
            </w:r>
          </w:p>
        </w:tc>
        <w:tc>
          <w:tcPr>
            <w:tcW w:w="1580" w:type="dxa"/>
            <w:vAlign w:val="bottom"/>
            <w:gridSpan w:val="2"/>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9.4%</w:t>
            </w:r>
          </w:p>
        </w:tc>
      </w:tr>
      <w:tr>
        <w:trPr>
          <w:trHeight w:val="203"/>
        </w:trPr>
        <w:tc>
          <w:tcPr>
            <w:tcW w:w="8780" w:type="dxa"/>
            <w:vAlign w:val="bottom"/>
          </w:tcPr>
          <w:p>
            <w:pPr>
              <w:spacing w:after="0" w:line="202" w:lineRule="exact"/>
              <w:rPr>
                <w:sz w:val="20"/>
                <w:szCs w:val="20"/>
                <w:color w:val="auto"/>
              </w:rPr>
            </w:pPr>
            <w:r>
              <w:rPr>
                <w:rFonts w:ascii="Arial" w:cs="Arial" w:eastAsia="Arial" w:hAnsi="Arial"/>
                <w:sz w:val="18"/>
                <w:szCs w:val="18"/>
                <w:color w:val="auto"/>
              </w:rPr>
              <w:t>Rate to which the cost trend rate is assumed to decline (the ultimate trend rate)</w:t>
            </w:r>
          </w:p>
        </w:tc>
        <w:tc>
          <w:tcPr>
            <w:tcW w:w="106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4.9%</w:t>
            </w:r>
          </w:p>
        </w:tc>
        <w:tc>
          <w:tcPr>
            <w:tcW w:w="1580" w:type="dxa"/>
            <w:vAlign w:val="bottom"/>
            <w:gridSpan w:val="2"/>
          </w:tcPr>
          <w:p>
            <w:pPr>
              <w:jc w:val="right"/>
              <w:ind w:right="132"/>
              <w:spacing w:after="0" w:line="202" w:lineRule="exact"/>
              <w:rPr>
                <w:sz w:val="20"/>
                <w:szCs w:val="20"/>
                <w:color w:val="auto"/>
              </w:rPr>
            </w:pPr>
            <w:r>
              <w:rPr>
                <w:rFonts w:ascii="Arial" w:cs="Arial" w:eastAsia="Arial" w:hAnsi="Arial"/>
                <w:sz w:val="18"/>
                <w:szCs w:val="18"/>
                <w:color w:val="auto"/>
              </w:rPr>
              <w:t>5.0%</w:t>
            </w: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that the rate reaches the ultimate trend rate</w:t>
            </w:r>
          </w:p>
        </w:tc>
        <w:tc>
          <w:tcPr>
            <w:tcW w:w="1060" w:type="dxa"/>
            <w:vAlign w:val="bottom"/>
            <w:shd w:val="clear" w:color="auto" w:fill="CCEEFF"/>
          </w:tcPr>
          <w:p>
            <w:pPr>
              <w:jc w:val="right"/>
              <w:ind w:right="157"/>
              <w:spacing w:after="0" w:line="202" w:lineRule="exact"/>
              <w:rPr>
                <w:sz w:val="20"/>
                <w:szCs w:val="20"/>
                <w:color w:val="auto"/>
              </w:rPr>
            </w:pPr>
            <w:r>
              <w:rPr>
                <w:rFonts w:ascii="Arial" w:cs="Arial" w:eastAsia="Arial" w:hAnsi="Arial"/>
                <w:sz w:val="18"/>
                <w:szCs w:val="18"/>
                <w:color w:val="auto"/>
              </w:rPr>
              <w:t>2017</w:t>
            </w:r>
          </w:p>
        </w:tc>
        <w:tc>
          <w:tcPr>
            <w:tcW w:w="1580" w:type="dxa"/>
            <w:vAlign w:val="bottom"/>
            <w:gridSpan w:val="2"/>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2013</w:t>
            </w:r>
          </w:p>
        </w:tc>
      </w:tr>
    </w:tbl>
    <w:p>
      <w:pPr>
        <w:spacing w:after="0" w:line="16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one-percentage-point change in assumed health care cost trend rates would have the following effects:</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71</w:t>
      </w:r>
    </w:p>
    <w:p>
      <w:pPr>
        <w:sectPr>
          <w:pgSz w:w="11900" w:h="16838" w:orient="portrait"/>
          <w:cols w:equalWidth="0" w:num="1">
            <w:col w:w="11420"/>
          </w:cols>
          <w:pgMar w:left="240" w:top="270"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65"/>
        </w:trPr>
        <w:tc>
          <w:tcPr>
            <w:tcW w:w="734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1% increase</w:t>
            </w:r>
          </w:p>
        </w:tc>
        <w:tc>
          <w:tcPr>
            <w:tcW w:w="9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1% decrease</w:t>
            </w:r>
          </w:p>
        </w:tc>
      </w:tr>
      <w:tr>
        <w:trPr>
          <w:trHeight w:val="196"/>
        </w:trPr>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on total service and interest cost components</w:t>
            </w:r>
          </w:p>
        </w:tc>
        <w:tc>
          <w:tcPr>
            <w:tcW w:w="500" w:type="dxa"/>
            <w:vAlign w:val="bottom"/>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(4)</w:t>
            </w:r>
          </w:p>
        </w:tc>
      </w:tr>
      <w:tr>
        <w:trPr>
          <w:trHeight w:val="214"/>
        </w:trPr>
        <w:tc>
          <w:tcPr>
            <w:tcW w:w="734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50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71</w:t>
            </w:r>
          </w:p>
        </w:tc>
        <w:tc>
          <w:tcPr>
            <w:tcW w:w="1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(61)</w:t>
            </w:r>
          </w:p>
        </w:tc>
      </w:tr>
    </w:tbl>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1269BC"/>
        </w:rPr>
        <w:t>Note 15 – Income and Other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for the three years ended December 31, 2009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Domestic income (loss)</w:t>
            </w:r>
          </w:p>
        </w:tc>
        <w:tc>
          <w:tcPr>
            <w:tcW w:w="26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691</w:t>
            </w:r>
          </w:p>
        </w:tc>
        <w:tc>
          <w:tcPr>
            <w:tcW w:w="20" w:type="dxa"/>
            <w:vAlign w:val="bottom"/>
          </w:tcPr>
          <w:p>
            <w:pPr>
              <w:spacing w:after="0"/>
              <w:rPr>
                <w:sz w:val="17"/>
                <w:szCs w:val="17"/>
                <w:color w:val="auto"/>
              </w:rPr>
            </w:pPr>
          </w:p>
        </w:tc>
      </w:tr>
      <w:tr>
        <w:trPr>
          <w:trHeight w:val="210"/>
        </w:trPr>
        <w:tc>
          <w:tcPr>
            <w:tcW w:w="7680" w:type="dxa"/>
            <w:vAlign w:val="bottom"/>
            <w:gridSpan w:val="2"/>
          </w:tcPr>
          <w:p>
            <w:pPr>
              <w:spacing w:after="0" w:line="202" w:lineRule="exact"/>
              <w:rPr>
                <w:sz w:val="20"/>
                <w:szCs w:val="20"/>
                <w:color w:val="auto"/>
              </w:rPr>
            </w:pPr>
            <w:r>
              <w:rPr>
                <w:rFonts w:ascii="Arial" w:cs="Arial" w:eastAsia="Arial" w:hAnsi="Arial"/>
                <w:sz w:val="18"/>
                <w:szCs w:val="18"/>
                <w:color w:val="auto"/>
              </w:rPr>
              <w:t>Foreign income</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777</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627</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(79)</w:t>
            </w:r>
          </w:p>
        </w:tc>
        <w:tc>
          <w:tcPr>
            <w:tcW w:w="5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$ 1,468</w:t>
            </w:r>
          </w:p>
        </w:tc>
        <w:tc>
          <w:tcPr>
            <w:tcW w:w="20" w:type="dxa"/>
            <w:vAlign w:val="bottom"/>
          </w:tcPr>
          <w:p>
            <w:pPr>
              <w:spacing w:after="0"/>
              <w:rPr>
                <w:sz w:val="17"/>
                <w:szCs w:val="17"/>
                <w:color w:val="auto"/>
              </w:rPr>
            </w:pPr>
          </w:p>
        </w:tc>
      </w:tr>
      <w:tr>
        <w:trPr>
          <w:trHeight w:val="20"/>
        </w:trPr>
        <w:tc>
          <w:tcPr>
            <w:tcW w:w="76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0"/>
        </w:trPr>
        <w:tc>
          <w:tcPr>
            <w:tcW w:w="7840" w:type="dxa"/>
            <w:vAlign w:val="bottom"/>
            <w:gridSpan w:val="3"/>
          </w:tcPr>
          <w:p>
            <w:pPr>
              <w:spacing w:after="0"/>
              <w:rPr>
                <w:sz w:val="20"/>
                <w:szCs w:val="20"/>
                <w:color w:val="auto"/>
              </w:rPr>
            </w:pPr>
            <w:r>
              <w:rPr>
                <w:rFonts w:ascii="Arial" w:cs="Arial" w:eastAsia="Arial" w:hAnsi="Arial"/>
                <w:sz w:val="18"/>
                <w:szCs w:val="18"/>
                <w:color w:val="auto"/>
                <w:w w:val="98"/>
              </w:rPr>
              <w:t>Provisions (benefits) for income taxes for the three years ended December 31, 2009 was as follows:</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2008</w:t>
            </w:r>
          </w:p>
        </w:tc>
        <w:tc>
          <w:tcPr>
            <w:tcW w:w="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Federal income taxes</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Current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(50)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(26)</w:t>
            </w:r>
          </w:p>
        </w:tc>
        <w:tc>
          <w:tcPr>
            <w:tcW w:w="38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w:t>
            </w:r>
          </w:p>
        </w:tc>
      </w:tr>
      <w:tr>
        <w:trPr>
          <w:trHeight w:val="203"/>
        </w:trPr>
        <w:tc>
          <w:tcPr>
            <w:tcW w:w="20" w:type="dxa"/>
            <w:vAlign w:val="bottom"/>
          </w:tcPr>
          <w:p>
            <w:pPr>
              <w:spacing w:after="0"/>
              <w:rPr>
                <w:sz w:val="17"/>
                <w:szCs w:val="17"/>
                <w:color w:val="auto"/>
              </w:rPr>
            </w:pPr>
          </w:p>
        </w:tc>
        <w:tc>
          <w:tcPr>
            <w:tcW w:w="78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(285)</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r>
      <w:tr>
        <w:trPr>
          <w:trHeight w:val="203"/>
        </w:trPr>
        <w:tc>
          <w:tcPr>
            <w:tcW w:w="7840" w:type="dxa"/>
            <w:vAlign w:val="bottom"/>
            <w:gridSpan w:val="3"/>
          </w:tcPr>
          <w:p>
            <w:pPr>
              <w:spacing w:after="0" w:line="202" w:lineRule="exact"/>
              <w:rPr>
                <w:sz w:val="20"/>
                <w:szCs w:val="20"/>
                <w:color w:val="auto"/>
              </w:rPr>
            </w:pPr>
            <w:r>
              <w:rPr>
                <w:rFonts w:ascii="Arial" w:cs="Arial" w:eastAsia="Arial" w:hAnsi="Arial"/>
                <w:sz w:val="18"/>
                <w:szCs w:val="18"/>
                <w:color w:val="auto"/>
              </w:rPr>
              <w:t>Foreign income taxes</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Current</w:t>
            </w: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17"/>
                <w:szCs w:val="17"/>
                <w:color w:val="auto"/>
              </w:rPr>
            </w:pPr>
          </w:p>
        </w:tc>
        <w:tc>
          <w:tcPr>
            <w:tcW w:w="114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4</w:t>
            </w:r>
          </w:p>
        </w:tc>
        <w:tc>
          <w:tcPr>
            <w:tcW w:w="38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120</w:t>
            </w:r>
          </w:p>
        </w:tc>
      </w:tr>
      <w:tr>
        <w:trPr>
          <w:trHeight w:val="203"/>
        </w:trPr>
        <w:tc>
          <w:tcPr>
            <w:tcW w:w="20" w:type="dxa"/>
            <w:vAlign w:val="bottom"/>
          </w:tcPr>
          <w:p>
            <w:pPr>
              <w:spacing w:after="0"/>
              <w:rPr>
                <w:sz w:val="17"/>
                <w:szCs w:val="17"/>
                <w:color w:val="auto"/>
              </w:rPr>
            </w:pPr>
          </w:p>
        </w:tc>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State income taxes</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Current</w:t>
            </w:r>
          </w:p>
        </w:tc>
        <w:tc>
          <w:tcPr>
            <w:tcW w:w="260" w:type="dxa"/>
            <w:vAlign w:val="bottom"/>
          </w:tcPr>
          <w:p>
            <w:pPr>
              <w:spacing w:after="0"/>
              <w:rPr>
                <w:sz w:val="17"/>
                <w:szCs w:val="17"/>
                <w:color w:val="auto"/>
              </w:rPr>
            </w:pPr>
          </w:p>
        </w:tc>
        <w:tc>
          <w:tcPr>
            <w:tcW w:w="114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r>
      <w:tr>
        <w:trPr>
          <w:trHeight w:val="203"/>
        </w:trPr>
        <w:tc>
          <w:tcPr>
            <w:tcW w:w="20" w:type="dxa"/>
            <w:vAlign w:val="bottom"/>
          </w:tcPr>
          <w:p>
            <w:pPr>
              <w:spacing w:after="0"/>
              <w:rPr>
                <w:sz w:val="17"/>
                <w:szCs w:val="17"/>
                <w:color w:val="auto"/>
              </w:rPr>
            </w:pPr>
          </w:p>
        </w:tc>
        <w:tc>
          <w:tcPr>
            <w:tcW w:w="78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w:t>
            </w: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r>
      <w:tr>
        <w:trPr>
          <w:trHeight w:val="210"/>
        </w:trPr>
        <w:tc>
          <w:tcPr>
            <w:tcW w:w="7840" w:type="dxa"/>
            <w:vAlign w:val="bottom"/>
            <w:gridSpan w:val="3"/>
          </w:tcPr>
          <w:p>
            <w:pPr>
              <w:spacing w:after="0"/>
              <w:rPr>
                <w:sz w:val="20"/>
                <w:szCs w:val="20"/>
                <w:color w:val="auto"/>
              </w:rPr>
            </w:pPr>
            <w:r>
              <w:rPr>
                <w:rFonts w:ascii="Arial" w:cs="Arial" w:eastAsia="Arial" w:hAnsi="Arial"/>
                <w:sz w:val="18"/>
                <w:szCs w:val="18"/>
                <w:b w:val="1"/>
                <w:bCs w:val="1"/>
                <w:color w:val="auto"/>
              </w:rPr>
              <w:t>Total Provision (Benefits)</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(231)</w:t>
            </w:r>
          </w:p>
        </w:tc>
        <w:tc>
          <w:tcPr>
            <w:tcW w:w="5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 reconciliation of the U.S. federal statutory income tax rate to the consolidated effective income tax rate for the three years ended December 31, 2009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80" w:type="dxa"/>
            <w:vAlign w:val="bottom"/>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2007</w:t>
            </w:r>
          </w:p>
        </w:tc>
      </w:tr>
      <w:tr>
        <w:trPr>
          <w:trHeight w:val="196"/>
        </w:trPr>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 federal statutory income tax rate</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w:t>
            </w:r>
          </w:p>
        </w:tc>
        <w:tc>
          <w:tcPr>
            <w:tcW w:w="1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35.0%</w:t>
            </w: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Nondeductible expenses</w:t>
            </w:r>
          </w:p>
        </w:tc>
        <w:tc>
          <w:tcPr>
            <w:tcW w:w="13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3.2</w:t>
            </w: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(19.5)</w:t>
            </w:r>
          </w:p>
        </w:tc>
        <w:tc>
          <w:tcPr>
            <w:tcW w:w="1180" w:type="dxa"/>
            <w:vAlign w:val="bottom"/>
            <w:gridSpan w:val="2"/>
          </w:tcPr>
          <w:p>
            <w:pPr>
              <w:jc w:val="right"/>
              <w:ind w:right="62"/>
              <w:spacing w:after="0" w:line="202" w:lineRule="exact"/>
              <w:rPr>
                <w:sz w:val="20"/>
                <w:szCs w:val="20"/>
                <w:color w:val="auto"/>
              </w:rPr>
            </w:pPr>
            <w:r>
              <w:rPr>
                <w:rFonts w:ascii="Arial" w:cs="Arial" w:eastAsia="Arial" w:hAnsi="Arial"/>
                <w:sz w:val="18"/>
                <w:szCs w:val="18"/>
                <w:color w:val="auto"/>
              </w:rPr>
              <w:t>0.9</w:t>
            </w: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tax law changes</w:t>
            </w:r>
          </w:p>
        </w:tc>
        <w:tc>
          <w:tcPr>
            <w:tcW w:w="13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16.1</w:t>
            </w:r>
          </w:p>
        </w:tc>
        <w:tc>
          <w:tcPr>
            <w:tcW w:w="1180" w:type="dxa"/>
            <w:vAlign w:val="bottom"/>
            <w:gridSpan w:val="2"/>
            <w:shd w:val="clear" w:color="auto" w:fill="CCEEFF"/>
          </w:tcPr>
          <w:p>
            <w:pPr>
              <w:jc w:val="right"/>
              <w:ind w:right="62"/>
              <w:spacing w:after="0" w:line="202" w:lineRule="exact"/>
              <w:rPr>
                <w:sz w:val="20"/>
                <w:szCs w:val="20"/>
                <w:color w:val="auto"/>
              </w:rPr>
            </w:pPr>
            <w:r>
              <w:rPr>
                <w:rFonts w:ascii="Arial" w:cs="Arial" w:eastAsia="Arial" w:hAnsi="Arial"/>
                <w:sz w:val="18"/>
                <w:szCs w:val="18"/>
                <w:color w:val="auto"/>
              </w:rPr>
              <w:t>1.1</w:t>
            </w: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 for deferred tax assets</w:t>
            </w:r>
          </w:p>
        </w:tc>
        <w:tc>
          <w:tcPr>
            <w:tcW w:w="13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(1.7)</w:t>
            </w: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(21.0)</w:t>
            </w:r>
          </w:p>
        </w:tc>
        <w:tc>
          <w:tcPr>
            <w:tcW w:w="1180" w:type="dxa"/>
            <w:vAlign w:val="bottom"/>
            <w:gridSpan w:val="2"/>
          </w:tcPr>
          <w:p>
            <w:pPr>
              <w:jc w:val="right"/>
              <w:ind w:right="62"/>
              <w:spacing w:after="0" w:line="202" w:lineRule="exact"/>
              <w:rPr>
                <w:sz w:val="20"/>
                <w:szCs w:val="20"/>
                <w:color w:val="auto"/>
              </w:rPr>
            </w:pPr>
            <w:r>
              <w:rPr>
                <w:rFonts w:ascii="Arial" w:cs="Arial" w:eastAsia="Arial" w:hAnsi="Arial"/>
                <w:sz w:val="18"/>
                <w:szCs w:val="18"/>
                <w:color w:val="auto"/>
              </w:rPr>
              <w:t>0.9</w:t>
            </w: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13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(0.2)</w:t>
            </w:r>
          </w:p>
        </w:tc>
        <w:tc>
          <w:tcPr>
            <w:tcW w:w="7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36.7</w:t>
            </w:r>
          </w:p>
        </w:tc>
        <w:tc>
          <w:tcPr>
            <w:tcW w:w="1180" w:type="dxa"/>
            <w:vAlign w:val="bottom"/>
            <w:gridSpan w:val="2"/>
            <w:shd w:val="clear" w:color="auto" w:fill="CCEEFF"/>
          </w:tcPr>
          <w:p>
            <w:pPr>
              <w:jc w:val="right"/>
              <w:ind w:right="62"/>
              <w:spacing w:after="0" w:line="202" w:lineRule="exact"/>
              <w:rPr>
                <w:sz w:val="20"/>
                <w:szCs w:val="20"/>
                <w:color w:val="auto"/>
              </w:rPr>
            </w:pPr>
            <w:r>
              <w:rPr>
                <w:rFonts w:ascii="Arial" w:cs="Arial" w:eastAsia="Arial" w:hAnsi="Arial"/>
                <w:sz w:val="18"/>
                <w:szCs w:val="18"/>
                <w:color w:val="auto"/>
              </w:rPr>
              <w:t>1.2</w:t>
            </w: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Audit and other tax return adjustments</w:t>
            </w:r>
          </w:p>
        </w:tc>
        <w:tc>
          <w:tcPr>
            <w:tcW w:w="13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(8.7)</w:t>
            </w: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84.4</w:t>
            </w:r>
          </w:p>
        </w:tc>
        <w:tc>
          <w:tcPr>
            <w:tcW w:w="1180" w:type="dxa"/>
            <w:vAlign w:val="bottom"/>
            <w:gridSpan w:val="2"/>
          </w:tcPr>
          <w:p>
            <w:pPr>
              <w:jc w:val="right"/>
              <w:ind w:right="22"/>
              <w:spacing w:after="0" w:line="202" w:lineRule="exact"/>
              <w:rPr>
                <w:sz w:val="20"/>
                <w:szCs w:val="20"/>
                <w:color w:val="auto"/>
              </w:rPr>
            </w:pPr>
            <w:r>
              <w:rPr>
                <w:rFonts w:ascii="Arial" w:cs="Arial" w:eastAsia="Arial" w:hAnsi="Arial"/>
                <w:sz w:val="18"/>
                <w:szCs w:val="18"/>
                <w:color w:val="auto"/>
              </w:rPr>
              <w:t>(4.1)</w:t>
            </w: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Tax-exempt income</w:t>
            </w:r>
          </w:p>
        </w:tc>
        <w:tc>
          <w:tcPr>
            <w:tcW w:w="13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(0.5)</w:t>
            </w:r>
          </w:p>
        </w:tc>
        <w:tc>
          <w:tcPr>
            <w:tcW w:w="7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8.5</w:t>
            </w:r>
          </w:p>
        </w:tc>
        <w:tc>
          <w:tcPr>
            <w:tcW w:w="1180" w:type="dxa"/>
            <w:vAlign w:val="bottom"/>
            <w:gridSpan w:val="2"/>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(0.6)</w:t>
            </w: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Other foreign, including earnings taxed at different rates</w:t>
            </w:r>
          </w:p>
        </w:tc>
        <w:tc>
          <w:tcPr>
            <w:tcW w:w="13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(3.7)</w:t>
            </w: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148.9</w:t>
            </w:r>
          </w:p>
        </w:tc>
        <w:tc>
          <w:tcPr>
            <w:tcW w:w="1180" w:type="dxa"/>
            <w:vAlign w:val="bottom"/>
            <w:gridSpan w:val="2"/>
          </w:tcPr>
          <w:p>
            <w:pPr>
              <w:jc w:val="right"/>
              <w:ind w:right="22"/>
              <w:spacing w:after="0" w:line="202" w:lineRule="exact"/>
              <w:rPr>
                <w:sz w:val="20"/>
                <w:szCs w:val="20"/>
                <w:color w:val="auto"/>
              </w:rPr>
            </w:pPr>
            <w:r>
              <w:rPr>
                <w:rFonts w:ascii="Arial" w:cs="Arial" w:eastAsia="Arial" w:hAnsi="Arial"/>
                <w:sz w:val="18"/>
                <w:szCs w:val="18"/>
                <w:color w:val="auto"/>
              </w:rPr>
              <w:t>(7.3)</w:t>
            </w: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0.8</w:t>
            </w:r>
          </w:p>
        </w:tc>
        <w:tc>
          <w:tcPr>
            <w:tcW w:w="7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3.3</w:t>
            </w:r>
          </w:p>
        </w:tc>
        <w:tc>
          <w:tcPr>
            <w:tcW w:w="1180" w:type="dxa"/>
            <w:vAlign w:val="bottom"/>
            <w:gridSpan w:val="2"/>
            <w:shd w:val="clear" w:color="auto" w:fill="CCEEFF"/>
          </w:tcPr>
          <w:p>
            <w:pPr>
              <w:jc w:val="right"/>
              <w:ind w:right="62"/>
              <w:spacing w:after="0" w:line="202" w:lineRule="exact"/>
              <w:rPr>
                <w:sz w:val="20"/>
                <w:szCs w:val="20"/>
                <w:color w:val="auto"/>
              </w:rPr>
            </w:pPr>
            <w:r>
              <w:rPr>
                <w:rFonts w:ascii="Arial" w:cs="Arial" w:eastAsia="Arial" w:hAnsi="Arial"/>
                <w:sz w:val="18"/>
                <w:szCs w:val="18"/>
                <w:color w:val="auto"/>
              </w:rPr>
              <w:t>0.1</w:t>
            </w:r>
          </w:p>
        </w:tc>
      </w:tr>
      <w:tr>
        <w:trPr>
          <w:trHeight w:val="210"/>
        </w:trPr>
        <w:tc>
          <w:tcPr>
            <w:tcW w:w="8180" w:type="dxa"/>
            <w:vAlign w:val="bottom"/>
          </w:tcPr>
          <w:p>
            <w:pPr>
              <w:spacing w:after="0"/>
              <w:rPr>
                <w:sz w:val="20"/>
                <w:szCs w:val="20"/>
                <w:color w:val="auto"/>
              </w:rPr>
            </w:pPr>
            <w:r>
              <w:rPr>
                <w:rFonts w:ascii="Arial" w:cs="Arial" w:eastAsia="Arial" w:hAnsi="Arial"/>
                <w:sz w:val="18"/>
                <w:szCs w:val="18"/>
                <w:b w:val="1"/>
                <w:bCs w:val="1"/>
                <w:color w:val="auto"/>
              </w:rPr>
              <w:t>Effective Income Tax Rate</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w:t>
            </w:r>
          </w:p>
        </w:tc>
        <w:tc>
          <w:tcPr>
            <w:tcW w:w="4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292.4%</w:t>
            </w:r>
          </w:p>
        </w:tc>
        <w:tc>
          <w:tcPr>
            <w:tcW w:w="4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On a consolidated basis, we paid a total of $78, $194, and $104 in income taxes to federal, foreign and state jurisdictions during the three years ended December 31, 2009, 2008 and 2007, respectively.</w:t>
      </w:r>
    </w:p>
    <w:p>
      <w:pPr>
        <w:spacing w:after="0" w:line="141"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72</w:t>
      </w:r>
    </w:p>
    <w:p>
      <w:pPr>
        <w:sectPr>
          <w:pgSz w:w="11900" w:h="16838" w:orient="portrait"/>
          <w:cols w:equalWidth="0" w:num="1">
            <w:col w:w="11420"/>
          </w:cols>
          <w:pgMar w:left="240" w:top="272"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Total income tax expense (benefit) for the three years ended December 31, 2009 was allocated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2007</w:t>
            </w: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Pre-tax income</w:t>
            </w:r>
          </w:p>
        </w:tc>
        <w:tc>
          <w:tcPr>
            <w:tcW w:w="200" w:type="dxa"/>
            <w:vAlign w:val="bottom"/>
            <w:gridSpan w:val="2"/>
            <w:shd w:val="clear" w:color="auto" w:fill="CCEEFF"/>
          </w:tcPr>
          <w:p>
            <w:pPr>
              <w:jc w:val="right"/>
              <w:ind w:right="23"/>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152</w:t>
            </w:r>
          </w:p>
        </w:tc>
        <w:tc>
          <w:tcPr>
            <w:tcW w:w="50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(231)</w:t>
            </w:r>
          </w:p>
        </w:tc>
        <w:tc>
          <w:tcPr>
            <w:tcW w:w="50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400</w:t>
            </w:r>
          </w:p>
        </w:tc>
      </w:tr>
      <w:tr>
        <w:trPr>
          <w:trHeight w:val="203"/>
        </w:trPr>
        <w:tc>
          <w:tcPr>
            <w:tcW w:w="7420" w:type="dxa"/>
            <w:vAlign w:val="bottom"/>
          </w:tcPr>
          <w:p>
            <w:pPr>
              <w:spacing w:after="0" w:line="202" w:lineRule="exact"/>
              <w:rPr>
                <w:sz w:val="20"/>
                <w:szCs w:val="20"/>
                <w:color w:val="auto"/>
              </w:rPr>
            </w:pPr>
            <w:r>
              <w:rPr>
                <w:rFonts w:ascii="Arial" w:cs="Arial" w:eastAsia="Arial" w:hAnsi="Arial"/>
                <w:sz w:val="18"/>
                <w:szCs w:val="18"/>
                <w:color w:val="auto"/>
              </w:rPr>
              <w:t>Common shareholders’ equity:</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defined benefit plans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222</w:t>
            </w:r>
          </w:p>
        </w:tc>
      </w:tr>
      <w:tr>
        <w:trPr>
          <w:trHeight w:val="203"/>
        </w:trPr>
        <w:tc>
          <w:tcPr>
            <w:tcW w:w="7420" w:type="dxa"/>
            <w:vAlign w:val="bottom"/>
          </w:tcPr>
          <w:p>
            <w:pPr>
              <w:ind w:left="440"/>
              <w:spacing w:after="0" w:line="202" w:lineRule="exact"/>
              <w:rPr>
                <w:sz w:val="20"/>
                <w:szCs w:val="20"/>
                <w:color w:val="auto"/>
              </w:rPr>
            </w:pPr>
            <w:r>
              <w:rPr>
                <w:rFonts w:ascii="Arial" w:cs="Arial" w:eastAsia="Arial" w:hAnsi="Arial"/>
                <w:sz w:val="18"/>
                <w:szCs w:val="18"/>
                <w:color w:val="auto"/>
              </w:rPr>
              <w:t>Stock option and incentive plans, net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74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Translation adjustments and other</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24</w:t>
            </w:r>
          </w:p>
        </w:tc>
      </w:tr>
      <w:tr>
        <w:trPr>
          <w:trHeight w:val="210"/>
        </w:trPr>
        <w:tc>
          <w:tcPr>
            <w:tcW w:w="7420" w:type="dxa"/>
            <w:vAlign w:val="bottom"/>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624</w:t>
            </w: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Unrecognized Tax Benefits and Audit Resolutions</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Due to the extensive geographical scope of our operations, we are subject to ongoing tax examinations in numerous jurisdictions. Accordingly, we may record incremental tax expense based upon the more-likely-than-not outcomes of any uncertain tax positions. In addition, when applicable, we adjust the previously recorded tax expense to reflect examination results when the position is effectively settled. Our ongoing assessments of the more-likely-than-not outcomes of the examinations and related tax positions require judgment and can increase or decrease our effective tax rate, as well as impact our operating results. The specific timing of when the resolution of each tax position will be reached is uncertain. As of December 31, 2009, we do not believe that there are any positions for which it is reasonably possible that the total amount of unrecognized tax benefits will significantly increase or decrease within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Unrecognized Tax Benefits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January 1</w:t>
            </w:r>
          </w:p>
        </w:tc>
        <w:tc>
          <w:tcPr>
            <w:tcW w:w="2420" w:type="dxa"/>
            <w:vAlign w:val="bottom"/>
            <w:gridSpan w:val="2"/>
            <w:shd w:val="clear" w:color="auto" w:fill="CCEEFF"/>
          </w:tcPr>
          <w:p>
            <w:pPr>
              <w:jc w:val="right"/>
              <w:ind w:right="652"/>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170</w:t>
            </w:r>
          </w:p>
        </w:tc>
        <w:tc>
          <w:tcPr>
            <w:tcW w:w="28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303</w:t>
            </w:r>
          </w:p>
        </w:tc>
        <w:tc>
          <w:tcPr>
            <w:tcW w:w="28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Additions from acquisitions</w:t>
            </w:r>
          </w:p>
        </w:tc>
        <w:tc>
          <w:tcPr>
            <w:tcW w:w="1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related to current year</w:t>
            </w:r>
          </w:p>
        </w:tc>
        <w:tc>
          <w:tcPr>
            <w:tcW w:w="1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Additions related to prior years positions</w:t>
            </w:r>
          </w:p>
        </w:tc>
        <w:tc>
          <w:tcPr>
            <w:tcW w:w="1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7"/>
                <w:szCs w:val="17"/>
                <w:color w:val="auto"/>
              </w:rPr>
            </w:pP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w:t>
            </w:r>
          </w:p>
        </w:tc>
        <w:tc>
          <w:tcPr>
            <w:tcW w:w="2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Reductions related to prior years positions</w:t>
            </w:r>
          </w:p>
        </w:tc>
        <w:tc>
          <w:tcPr>
            <w:tcW w:w="1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Settlements with taxing authorities </w:t>
            </w:r>
            <w:r>
              <w:rPr>
                <w:rFonts w:ascii="Arial" w:cs="Arial" w:eastAsia="Arial" w:hAnsi="Arial"/>
                <w:sz w:val="22"/>
                <w:szCs w:val="22"/>
                <w:color w:val="auto"/>
                <w:vertAlign w:val="superscript"/>
              </w:rPr>
              <w:t>(1)</w:t>
            </w:r>
          </w:p>
        </w:tc>
        <w:tc>
          <w:tcPr>
            <w:tcW w:w="1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(28)</w:t>
            </w:r>
          </w:p>
        </w:tc>
        <w:tc>
          <w:tcPr>
            <w:tcW w:w="2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Reductions related to lapse of statute of limitations</w:t>
            </w:r>
          </w:p>
        </w:tc>
        <w:tc>
          <w:tcPr>
            <w:tcW w:w="1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Currency</w:t>
            </w:r>
          </w:p>
        </w:tc>
        <w:tc>
          <w:tcPr>
            <w:tcW w:w="1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w:t>
            </w:r>
          </w:p>
        </w:tc>
        <w:tc>
          <w:tcPr>
            <w:tcW w:w="280" w:type="dxa"/>
            <w:vAlign w:val="bottom"/>
          </w:tcPr>
          <w:p>
            <w:pPr>
              <w:spacing w:after="0"/>
              <w:rPr>
                <w:sz w:val="17"/>
                <w:szCs w:val="17"/>
                <w:color w:val="auto"/>
              </w:rPr>
            </w:pP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(20)</w:t>
            </w:r>
          </w:p>
        </w:tc>
        <w:tc>
          <w:tcPr>
            <w:tcW w:w="2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w:t>
            </w:r>
          </w:p>
        </w:tc>
        <w:tc>
          <w:tcPr>
            <w:tcW w:w="2420" w:type="dxa"/>
            <w:vAlign w:val="bottom"/>
            <w:gridSpan w:val="2"/>
            <w:shd w:val="clear" w:color="auto" w:fill="CCEEFF"/>
          </w:tcPr>
          <w:p>
            <w:pPr>
              <w:jc w:val="right"/>
              <w:ind w:right="652"/>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148</w:t>
            </w:r>
          </w:p>
        </w:tc>
        <w:tc>
          <w:tcPr>
            <w:tcW w:w="2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170</w:t>
            </w:r>
          </w:p>
        </w:tc>
        <w:tc>
          <w:tcPr>
            <w:tcW w:w="2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580" w:hanging="572"/>
        <w:spacing w:after="0"/>
        <w:tabs>
          <w:tab w:leader="none" w:pos="580" w:val="left"/>
        </w:tabs>
        <w:numPr>
          <w:ilvl w:val="0"/>
          <w:numId w:val="125"/>
        </w:numPr>
        <w:rPr>
          <w:rFonts w:ascii="Arial" w:cs="Arial" w:eastAsia="Arial" w:hAnsi="Arial"/>
          <w:sz w:val="22"/>
          <w:szCs w:val="22"/>
          <w:color w:val="auto"/>
          <w:vertAlign w:val="superscript"/>
        </w:rPr>
      </w:pPr>
      <w:r>
        <w:rPr>
          <w:rFonts w:ascii="Arial" w:cs="Arial" w:eastAsia="Arial" w:hAnsi="Arial"/>
          <w:sz w:val="14"/>
          <w:szCs w:val="14"/>
          <w:color w:val="auto"/>
        </w:rPr>
        <w:t>Majority of settlements did not result in the utilization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3"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Included in the balances at December 31, 2009, 2008 and 2007 are $67, $67 and $137, respectively, of tax positions that are highly certain of realizability but for which there is uncertainty about the timing or may be reduced through an indirect benefit from other taxing jurisdictions. Because of the impact of deferred tax accounting, other than for the possible incurrence of interest and penalties, the disallowance of these positions would not affect the annual effective tax rate.</w:t>
      </w:r>
    </w:p>
    <w:p>
      <w:pPr>
        <w:spacing w:after="0" w:line="155"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We have filed claims in certain jurisdictions to assert our position should the law be clarified by judicial means. At this point in time, we believe it is unlikely that we will receive any benefit from these types of claims but we will continue to analyze as the issues develop. Accordingly, we have not included any benefit for these types of claims in the amount of unrecognized tax benefits.</w:t>
      </w:r>
    </w:p>
    <w:p>
      <w:pPr>
        <w:spacing w:after="0" w:line="15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recognized interest and penalties accrued on unrecognized tax benefits, as well as interest received from favorable settlements within income tax expense. We had $13, $22 and $23 accrued for the payment of interest and penalties associated with unrecognized tax benefits at December 31, 2009, 2008 and 2007, respectively.</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73</w:t>
      </w:r>
    </w:p>
    <w:p>
      <w:pPr>
        <w:sectPr>
          <w:pgSz w:w="11900" w:h="16838" w:orient="portrait"/>
          <w:cols w:equalWidth="0" w:num="1">
            <w:col w:w="11420"/>
          </w:cols>
          <w:pgMar w:left="240" w:top="291" w:right="239" w:bottom="1440" w:gutter="0" w:footer="0" w:header="0"/>
        </w:sectPr>
      </w:pPr>
    </w:p>
    <w:bookmarkStart w:id="156" w:name="page157"/>
    <w:bookmarkEnd w:id="156"/>
    <w:p>
      <w:pPr>
        <w:ind w:right="2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file income tax returns in the U.S. federal jurisdiction and various foreign jurisdictions. In the U.S. we are no longer subject to U.S. federal income tax examinations by tax authorities for years before 2007. With respect to our major foreign jurisdictions, we are no longer subject to tax examinations by tax authorities for years before 2000.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Deferred Income Taxes</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substantially all instances, deferred income taxes have not been provided on the undistributed earnings of foreign subsidiaries and other foreign investments carried at equity. The amount of such earnings included in consolidated retained earnings at December 31, 2009 was approximately $8.0 billion. These earnings have been indefinitely reinvested and we currently do not plan to initiate any action that would precipitate the payment of income taxes thereon. It is not practicable to estimate the amount of additional tax that might be payable on the foreign earnings. Our 2001 sale of half of our ownership interest in Fuji Xerox resulted in our investment no longer qualifying as a foreign corporate joint venture. Accordingly, deferred taxes are required to be provided on the undistributed earnings of Fuji Xerox, arising subsequent to such date, as we no longer have the ability to ensure indefinite reinvestment.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tax effects of temporary differences that give rise to significant portions of the deferred taxes at December 31, 2009 and 2008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Effect of Future Tax Deductions: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2"/>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752</w:t>
            </w:r>
          </w:p>
        </w:tc>
        <w:tc>
          <w:tcPr>
            <w:tcW w:w="46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medical benefits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operating losses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Other operating reserves</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 carryforwards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Deferred compensation</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93</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reserves</w:t>
            </w:r>
          </w:p>
        </w:tc>
        <w:tc>
          <w:tcPr>
            <w:tcW w:w="280" w:type="dxa"/>
            <w:vAlign w:val="bottom"/>
          </w:tcPr>
          <w:p>
            <w:pPr>
              <w:spacing w:after="0"/>
              <w:rPr>
                <w:sz w:val="17"/>
                <w:szCs w:val="17"/>
                <w:color w:val="auto"/>
              </w:rPr>
            </w:pPr>
          </w:p>
        </w:tc>
        <w:tc>
          <w:tcPr>
            <w:tcW w:w="13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16</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Subtotal</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3,658</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(672)</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2,986</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3,205</w:t>
            </w: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Tax Effect of Future Taxable Income:</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Unearned income and installment sales</w:t>
            </w:r>
          </w:p>
        </w:tc>
        <w:tc>
          <w:tcPr>
            <w:tcW w:w="2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(996)</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Intangibles and goodwill</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(1,188)</w:t>
            </w:r>
          </w:p>
        </w:tc>
        <w:tc>
          <w:tcPr>
            <w:tcW w:w="4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18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Deferred Taxes, Net</w:t>
            </w:r>
          </w:p>
        </w:tc>
        <w:tc>
          <w:tcPr>
            <w:tcW w:w="2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1,798</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above amounts are classified as current or long-term in the Consolidated Balance Sheets in accordance with the asset or liability to which they relate or, when applicable, based on the expected timing of the reversal. Current deferred tax assets at December 31, 2009 and 2008 amounted to $290 and $305, respectively.</w:t>
      </w:r>
    </w:p>
    <w:p>
      <w:pPr>
        <w:spacing w:after="0" w:line="15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deferred tax assets for the respective periods were assessed for recoverability and, where applicable, a valuation allowance was recorded to reduce the total deferred tax asset to an amount that will, more-likely-than-not, be realized in the future. The net change in the total valuation allowance for the years ended December 31, 2009 and 2008 was an increase of $44 and a decrease of $119, respectively. The valuation allowance relates primarily to certain net operating loss carryforwards, tax credit carryforwards and deductible temporary differences for which we have concluded it is more-likely-than-not that these items will not be realized in the ordinary course of operations.</w:t>
      </w:r>
    </w:p>
    <w:p>
      <w:pPr>
        <w:spacing w:after="0" w:line="1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74</w:t>
      </w:r>
    </w:p>
    <w:p>
      <w:pPr>
        <w:sectPr>
          <w:pgSz w:w="11900" w:h="16838" w:orient="portrait"/>
          <w:cols w:equalWidth="0" w:num="1">
            <w:col w:w="11420"/>
          </w:cols>
          <w:pgMar w:left="240" w:top="291" w:right="239" w:bottom="1440" w:gutter="0" w:footer="0" w:header="0"/>
        </w:sectPr>
      </w:pPr>
    </w:p>
    <w:bookmarkStart w:id="157" w:name="page158"/>
    <w:bookmarkEnd w:id="157"/>
    <w:p>
      <w:pPr>
        <w:ind w:right="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Although realization is not assured, we have concluded that it is more-likely-than-not that the deferred tax assets, for which a valuation allowance was determined to be unnecessary, will be realized in the ordinary course of operations based on the available positive and negative evidence, including scheduling of deferred tax liabilities and projected income from operating activities. The amount of the net deferred tax assets considered realizable, however, could be reduced in the near term if actual future income or income tax rates are lower than estimated, or if there are differences in the timing or amount of future reversals of existing taxable or deductible temporary differences.</w:t>
      </w:r>
    </w:p>
    <w:p>
      <w:pPr>
        <w:spacing w:after="0" w:line="15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At December 31, 2009, we had tax credit carryforwards of $525 available to offset future income taxes, of which $146 are available to carryforward indefinitely while the remaining $379 will expire 2010 through 2027 if not utilized. We also had net operating loss carryforwards for income tax purposes of $556 that will expire 2010 through 2029, if not utilized, and $2.5 billion available to offset future taxable income indefinitely.</w:t>
      </w:r>
    </w:p>
    <w:p>
      <w:pPr>
        <w:spacing w:after="0" w:line="167"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Note 16 –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Brazil Tax and Labor Contingencies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Our Brazilian operations are involved in various litigation matters and have received or been the subject of numerous governmental assessments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related to indirect and other taxes, as well as disputes associated with former employees and contract labor. The tax matters, which comprise a</w:t>
      </w:r>
    </w:p>
    <w:p>
      <w:pPr>
        <w:spacing w:after="0" w:line="234" w:lineRule="auto"/>
        <w:rPr>
          <w:sz w:val="20"/>
          <w:szCs w:val="20"/>
          <w:color w:val="auto"/>
        </w:rPr>
      </w:pPr>
      <w:r>
        <w:rPr>
          <w:rFonts w:ascii="Arial" w:cs="Arial" w:eastAsia="Arial" w:hAnsi="Arial"/>
          <w:sz w:val="18"/>
          <w:szCs w:val="18"/>
          <w:color w:val="auto"/>
        </w:rPr>
        <w:t>significant portion of the total contingencies, principally relate to claims for taxes on the internal transfer of inventory, municipal service taxes on</w:t>
      </w:r>
    </w:p>
    <w:p>
      <w:pPr>
        <w:spacing w:after="0" w:line="235" w:lineRule="auto"/>
        <w:rPr>
          <w:sz w:val="20"/>
          <w:szCs w:val="20"/>
          <w:color w:val="auto"/>
        </w:rPr>
      </w:pPr>
      <w:r>
        <w:rPr>
          <w:rFonts w:ascii="Arial" w:cs="Arial" w:eastAsia="Arial" w:hAnsi="Arial"/>
          <w:sz w:val="18"/>
          <w:szCs w:val="18"/>
          <w:color w:val="auto"/>
        </w:rPr>
        <w:t>rentals and gross revenue taxes. We are disputing these tax matters and intend to vigorously defend our position. Based on the opinion of legal</w:t>
      </w:r>
    </w:p>
    <w:p>
      <w:pPr>
        <w:spacing w:after="0" w:line="235" w:lineRule="auto"/>
        <w:rPr>
          <w:sz w:val="20"/>
          <w:szCs w:val="20"/>
          <w:color w:val="auto"/>
        </w:rPr>
      </w:pPr>
      <w:r>
        <w:rPr>
          <w:rFonts w:ascii="Arial" w:cs="Arial" w:eastAsia="Arial" w:hAnsi="Arial"/>
          <w:sz w:val="18"/>
          <w:szCs w:val="18"/>
          <w:color w:val="auto"/>
        </w:rPr>
        <w:t>counsel and current reserves for those matters deemed probable of loss, we do not believe that the ultimate resolution of these matters will</w:t>
      </w:r>
    </w:p>
    <w:p>
      <w:pPr>
        <w:spacing w:after="0" w:line="235" w:lineRule="auto"/>
        <w:rPr>
          <w:sz w:val="20"/>
          <w:szCs w:val="20"/>
          <w:color w:val="auto"/>
        </w:rPr>
      </w:pPr>
      <w:r>
        <w:rPr>
          <w:rFonts w:ascii="Arial" w:cs="Arial" w:eastAsia="Arial" w:hAnsi="Arial"/>
          <w:sz w:val="18"/>
          <w:szCs w:val="18"/>
          <w:color w:val="auto"/>
        </w:rPr>
        <w:t>materially impact our results of operations, financial position or cash flows. The labor matters principally relate to claims made by former</w:t>
      </w:r>
    </w:p>
    <w:p>
      <w:pPr>
        <w:spacing w:after="0"/>
        <w:rPr>
          <w:sz w:val="20"/>
          <w:szCs w:val="20"/>
          <w:color w:val="auto"/>
        </w:rPr>
      </w:pPr>
      <w:r>
        <w:rPr>
          <w:rFonts w:ascii="Arial" w:cs="Arial" w:eastAsia="Arial" w:hAnsi="Arial"/>
          <w:sz w:val="16"/>
          <w:szCs w:val="16"/>
          <w:color w:val="auto"/>
        </w:rPr>
        <w:t>employees and contract labor for the equivalent payment of all social security and other related labor benefits, as well as consequential tax claims,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 if they were regular employees. As of December 31, 2009, the total amounts related to the unreserved portion of the tax and labor</w:t>
      </w:r>
    </w:p>
    <w:p>
      <w:pPr>
        <w:spacing w:after="0" w:line="234" w:lineRule="auto"/>
        <w:rPr>
          <w:sz w:val="20"/>
          <w:szCs w:val="20"/>
          <w:color w:val="auto"/>
        </w:rPr>
      </w:pPr>
      <w:r>
        <w:rPr>
          <w:rFonts w:ascii="Arial" w:cs="Arial" w:eastAsia="Arial" w:hAnsi="Arial"/>
          <w:sz w:val="18"/>
          <w:szCs w:val="18"/>
          <w:color w:val="auto"/>
        </w:rPr>
        <w:t>contingencies, inclusive of any related interest, amounted to approximately $1,225, with the increase from December 31, 2008 balance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$839 primarily related to currency and current year interest indexation. In connection with the above proceedings, customary local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regulations may require us to make escrow cash deposits or post other security of up to half of the total amount in dispute. As of December 31,</w:t>
      </w:r>
    </w:p>
    <w:p>
      <w:pPr>
        <w:spacing w:after="0" w:line="234" w:lineRule="auto"/>
        <w:rPr>
          <w:sz w:val="20"/>
          <w:szCs w:val="20"/>
          <w:color w:val="auto"/>
        </w:rPr>
      </w:pPr>
      <w:r>
        <w:rPr>
          <w:rFonts w:ascii="Arial" w:cs="Arial" w:eastAsia="Arial" w:hAnsi="Arial"/>
          <w:sz w:val="18"/>
          <w:szCs w:val="18"/>
          <w:color w:val="auto"/>
        </w:rPr>
        <w:t>2009 we had $240 of escrow cash deposits for matters we are disputing and there are liens on certain Brazilian assets with a net book value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$19 and additional letters of credit of approximately $137. Generally, any escrowed amounts would be refundable and any liens would be removed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the matters are resolved in our favor. We routinely assess all these matters as to probability of ultimately incurring a liability against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Brazilian operations and record our best estimate of the ultimate loss in situations where we assess the likelihood of an ultimate loss as</w:t>
      </w:r>
    </w:p>
    <w:p>
      <w:pPr>
        <w:spacing w:after="0"/>
        <w:rPr>
          <w:sz w:val="20"/>
          <w:szCs w:val="20"/>
          <w:color w:val="auto"/>
        </w:rPr>
      </w:pPr>
      <w:r>
        <w:rPr>
          <w:rFonts w:ascii="Arial" w:cs="Arial" w:eastAsia="Arial" w:hAnsi="Arial"/>
          <w:sz w:val="18"/>
          <w:szCs w:val="18"/>
          <w:color w:val="auto"/>
        </w:rPr>
        <w:t>probable.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Legal Matters</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As more fully discussed below, we are involved in a variety of claims, lawsuits, investigations and proceedings concerning securities law, intellectual property law, environmental law, employment law and the Employee Retirement Income Security Act (“ERISA”).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14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75</w:t>
      </w:r>
    </w:p>
    <w:p>
      <w:pPr>
        <w:sectPr>
          <w:pgSz w:w="11900" w:h="16838" w:orient="portrait"/>
          <w:cols w:equalWidth="0" w:num="1">
            <w:col w:w="11420"/>
          </w:cols>
          <w:pgMar w:left="240" w:top="291"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is a summary of 2009 significant developments in litigation matters:</w:t>
      </w:r>
    </w:p>
    <w:p>
      <w:pPr>
        <w:spacing w:after="0" w:line="198" w:lineRule="exact"/>
        <w:rPr>
          <w:sz w:val="20"/>
          <w:szCs w:val="20"/>
          <w:color w:val="auto"/>
        </w:rPr>
      </w:pPr>
    </w:p>
    <w:p>
      <w:pPr>
        <w:ind w:left="440" w:hanging="324"/>
        <w:spacing w:after="0"/>
        <w:tabs>
          <w:tab w:leader="none" w:pos="4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re Xerox Corp. ERISA Litigation – settlement reached, approved by district court and paid.</w:t>
      </w:r>
    </w:p>
    <w:p>
      <w:pPr>
        <w:spacing w:after="0" w:line="76" w:lineRule="exact"/>
        <w:rPr>
          <w:rFonts w:ascii="Arial" w:cs="Arial" w:eastAsia="Arial" w:hAnsi="Arial"/>
          <w:sz w:val="18"/>
          <w:szCs w:val="18"/>
          <w:color w:val="auto"/>
        </w:rPr>
      </w:pPr>
    </w:p>
    <w:p>
      <w:pPr>
        <w:ind w:left="440" w:hanging="324"/>
        <w:spacing w:after="0"/>
        <w:tabs>
          <w:tab w:leader="none" w:pos="4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Arbitration between MPI Technologies, Inc. and MPI Tech S.A. and Xerox Canada Ltd. and Xerox Corporation – settlement reached and paid.</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Litigation Against the Company</w:t>
      </w:r>
    </w:p>
    <w:p>
      <w:pPr>
        <w:spacing w:after="0" w:line="168"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b w:val="1"/>
          <w:bCs w:val="1"/>
          <w:i w:val="1"/>
          <w:iCs w:val="1"/>
          <w:u w:val="single" w:color="auto"/>
          <w:color w:val="1269BC"/>
        </w:rPr>
        <w:t>In re Xerox Corporation Securities Litigation:</w:t>
      </w:r>
      <w:r>
        <w:rPr>
          <w:rFonts w:ascii="Arial" w:cs="Arial" w:eastAsia="Arial" w:hAnsi="Arial"/>
          <w:sz w:val="16"/>
          <w:szCs w:val="16"/>
          <w:b w:val="1"/>
          <w:bCs w:val="1"/>
          <w:i w:val="1"/>
          <w:iCs w:val="1"/>
          <w:color w:val="1269BC"/>
        </w:rPr>
        <w:t xml:space="preserve"> </w:t>
      </w:r>
      <w:r>
        <w:rPr>
          <w:rFonts w:ascii="Arial" w:cs="Arial" w:eastAsia="Arial" w:hAnsi="Arial"/>
          <w:sz w:val="16"/>
          <w:szCs w:val="16"/>
          <w:color w:val="000000"/>
        </w:rPr>
        <w:t>A consolidated securities law action (consisting of 17 cases) is pending in the United States</w:t>
      </w:r>
      <w:r>
        <w:rPr>
          <w:rFonts w:ascii="Arial" w:cs="Arial" w:eastAsia="Arial" w:hAnsi="Arial"/>
          <w:sz w:val="16"/>
          <w:szCs w:val="16"/>
          <w:b w:val="1"/>
          <w:bCs w:val="1"/>
          <w:i w:val="1"/>
          <w:iCs w:val="1"/>
          <w:color w:val="1269BC"/>
        </w:rPr>
        <w:t xml:space="preserve"> </w:t>
      </w:r>
      <w:r>
        <w:rPr>
          <w:rFonts w:ascii="Arial" w:cs="Arial" w:eastAsia="Arial" w:hAnsi="Arial"/>
          <w:sz w:val="16"/>
          <w:szCs w:val="16"/>
          <w:color w:val="000000"/>
        </w:rPr>
        <w:t>District Court for the District of Connecticut. Defendants are the Company, Barry Romeril, Paul Allaire and G. Richard Thoman. The consolidated action is a class action on behalf of all persons and entities who purchased Xerox Corporation common stock during the period October 22, 1998 through October 7, 1999 inclusive (“Class Period”) and who suffered a loss as a result of misrepresentations or omissions by Defendants as alleged by Plaintiffs (the “Class”). The Class alleges that in violation of Section 10(b) and/or 20(a) of the Securities Exchange Act of 1934, as amended (“1934 Act”), and SEC Rule 10b-5 thereunder, each of the defendants is liable as a participant in a fraudulent scheme and course of business that operated as a fraud or deceit on purchasers of the Company’s common stock during the Class Period by disseminating materially false and misleading statements and/or concealing material facts relating to the defendants’ alleged failure to disclose the material negative impact that the April 1998 restructuring had on the Company’s operations and revenues. The complaint further alleges that the alleged scheme:</w:t>
      </w:r>
    </w:p>
    <w:p>
      <w:pPr>
        <w:spacing w:after="0" w:line="1" w:lineRule="exact"/>
        <w:rPr>
          <w:sz w:val="20"/>
          <w:szCs w:val="20"/>
          <w:color w:val="auto"/>
        </w:rPr>
      </w:pPr>
    </w:p>
    <w:p>
      <w:pPr>
        <w:ind w:firstLine="8"/>
        <w:spacing w:after="0" w:line="265" w:lineRule="auto"/>
        <w:tabs>
          <w:tab w:leader="none" w:pos="20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deceived the investing public regarding the economic capabilities, sales proficiencies, growth, operations and the intrinsic value of the Company’s common stock; (ii) allowed several corporate insiders, such as the named individual defendants, to sell shares of privately held common stock of the Company while in possession of materially adverse, non-public information; and (iii) caused the individual plaintiffs and the other members of the purported class to purchase common stock of the Company at inflated prices. The complaint seeks unspecified compensatory damages in favor of the plaintiffs and the other members of the purported class against all defendants, jointly and severally, for all damages sustained as a result of defendants’ alleged wrongdoing, including interest thereon, together with reasonable costs and expenses incurred in the action, including counsel fees and expert fees. In 2001, the Court denied the defendants’ motion for dismissal of the complaint. The plaintiffs’ motion for class certification was denied by the Court in 2006, without prejudice to refiling. In February 2007, the Court granted the motion of the International Brotherhood of Electrical Workers Welfare Fund of Local Union No. 164, Robert W. Roten, Robert Agius (“Agius”) and Georgia Stanley to appoint them as additional lead plaintiffs. In July 2007, the Court denied plaintiffs’ renewed motion for class certification, without prejudice to renewal after the Court holds a pre-filing conference to identify factual disputes the Court will be required to resolve in ruling on the motion. After that conference and Agius’s withdrawal as lead plaintiff and proposed class representative, in February 2008 plaintiffs filed a second renewed motion for class certification. In April 2008, defendants filed their response and motion to disqualify Milberg LLP as a lead counsel. On September 30, 2008, the Court entered an order certifying the class and denying the appointment of Milberg LLP as class counsel. Subsequently, on April 9, 2009, the Court denied defendants’ motion to disqualify Milberg LLP. The parties have filed motions to exclude certain expert testimony. On November 6, 2008, the defendants filed a motion for summary judgment. Briefing with respect to each of these motions is complete. On</w:t>
      </w:r>
    </w:p>
    <w:p>
      <w:pPr>
        <w:spacing w:after="0" w:line="193" w:lineRule="exact"/>
        <w:rPr>
          <w:rFonts w:ascii="Arial" w:cs="Arial" w:eastAsia="Arial" w:hAnsi="Arial"/>
          <w:sz w:val="16"/>
          <w:szCs w:val="16"/>
          <w:color w:val="auto"/>
        </w:rPr>
      </w:pPr>
    </w:p>
    <w:p>
      <w:pPr>
        <w:ind w:right="20"/>
        <w:spacing w:after="0" w:line="236" w:lineRule="auto"/>
        <w:rPr>
          <w:rFonts w:ascii="Arial" w:cs="Arial" w:eastAsia="Arial" w:hAnsi="Arial"/>
          <w:sz w:val="16"/>
          <w:szCs w:val="16"/>
          <w:color w:val="auto"/>
        </w:rPr>
      </w:pPr>
      <w:r>
        <w:rPr>
          <w:rFonts w:ascii="Arial" w:cs="Arial" w:eastAsia="Arial" w:hAnsi="Arial"/>
          <w:sz w:val="18"/>
          <w:szCs w:val="18"/>
          <w:color w:val="auto"/>
        </w:rPr>
        <w:t>April 22, 2009, the Court denied plaintiffs’ motions to exclude the testimony of two of defendants’ experts. The Court has not yet rendered decisions regarding the other pending motions. The individual defendants and we deny any wrongdoing and are vigorously defending the action. In the course of litigation, we periodically engage in discussions with plaintiffs’ counsel for possible resolution of this matter. Should developments cause a change in our determination as to an unfavorable outcome, or result in a final adverse judgment or a settlement for a significant amount, there could be a material adverse effect on our results of operations, cash flows and financial position in the period in which such change in determination, judgment or settlement occurs.</w:t>
      </w:r>
    </w:p>
    <w:p>
      <w:pPr>
        <w:spacing w:after="0" w:line="14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76</w:t>
      </w:r>
    </w:p>
    <w:p>
      <w:pPr>
        <w:sectPr>
          <w:pgSz w:w="11900" w:h="16838" w:orient="portrait"/>
          <w:cols w:equalWidth="0" w:num="1">
            <w:col w:w="11420"/>
          </w:cols>
          <w:pgMar w:left="240" w:top="292" w:right="239" w:bottom="1440" w:gutter="0" w:footer="0" w:header="0"/>
        </w:sectPr>
      </w:pPr>
    </w:p>
    <w:bookmarkStart w:id="159" w:name="page160"/>
    <w:bookmarkEnd w:id="159"/>
    <w:p>
      <w:pPr>
        <w:ind w:right="60"/>
        <w:spacing w:after="0" w:line="270" w:lineRule="auto"/>
        <w:rPr>
          <w:sz w:val="20"/>
          <w:szCs w:val="20"/>
          <w:color w:val="auto"/>
        </w:rPr>
      </w:pPr>
      <w:r>
        <w:rPr>
          <w:rFonts w:ascii="Arial" w:cs="Arial" w:eastAsia="Arial" w:hAnsi="Arial"/>
          <w:sz w:val="16"/>
          <w:szCs w:val="16"/>
          <w:b w:val="1"/>
          <w:bCs w:val="1"/>
          <w:i w:val="1"/>
          <w:iCs w:val="1"/>
          <w:u w:val="single" w:color="auto"/>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Merger Agreement Between Xerox and Affiliated Computer Services, Inc.:</w:t>
      </w:r>
      <w:r>
        <w:rPr>
          <w:rFonts w:ascii="Arial" w:cs="Arial" w:eastAsia="Arial" w:hAnsi="Arial"/>
          <w:sz w:val="16"/>
          <w:szCs w:val="16"/>
          <w:b w:val="1"/>
          <w:bCs w:val="1"/>
          <w:i w:val="1"/>
          <w:iCs w:val="1"/>
          <w:color w:val="1269BC"/>
        </w:rPr>
        <w:t xml:space="preserve"> </w:t>
      </w:r>
      <w:r>
        <w:rPr>
          <w:rFonts w:ascii="Arial" w:cs="Arial" w:eastAsia="Arial" w:hAnsi="Arial"/>
          <w:sz w:val="16"/>
          <w:szCs w:val="16"/>
          <w:color w:val="000000"/>
        </w:rPr>
        <w:t>In late September and early October 2009, nine purported class</w:t>
      </w:r>
      <w:r>
        <w:rPr>
          <w:rFonts w:ascii="Arial" w:cs="Arial" w:eastAsia="Arial" w:hAnsi="Arial"/>
          <w:sz w:val="16"/>
          <w:szCs w:val="16"/>
          <w:b w:val="1"/>
          <w:bCs w:val="1"/>
          <w:i w:val="1"/>
          <w:iCs w:val="1"/>
          <w:color w:val="1269BC"/>
        </w:rPr>
        <w:t xml:space="preserve"> </w:t>
      </w:r>
      <w:r>
        <w:rPr>
          <w:rFonts w:ascii="Arial" w:cs="Arial" w:eastAsia="Arial" w:hAnsi="Arial"/>
          <w:sz w:val="16"/>
          <w:szCs w:val="16"/>
          <w:color w:val="000000"/>
        </w:rPr>
        <w:t>action complaints were filed by Affiliated Computer Services, Inc. (“ACS”) shareholders challenging ACS’s proposed merger with Xerox. (See Note 3- Acquisitions) Two actions were filed in the Delaware Court of Chancery which subsequently were consolidated into one action. Seven actions were filed in state courts in Texas, which subsequently were consolidated into one action in the Dallas County Court at Law No. 3. The operative complaints in the Delaware and Texas actions name as defendants ACS and/or the members of ACS’s board of directors (the “Individual Defendants”) and Xerox Corporation and/or Boulder Acquisition Corp., a wholly owned subsidiary of Xerox (the “Xerox Defendants”). On October 22, 2009, a class of ACS shareholders was certified in the Delaware action. Pursuant to a stipulation entered into by all parties in the Delaware and Texas actions on November 20, 2009, the Texas plaintiffs agreed to stay prosecution of the Texas action until agreed otherwise by the defendants and ordered by the Texas court, and all plaintiffs agreed that any further prosecution of the Delaware and Texas actions, or any claims that could have been brought in those actions, would proceed in the Delaware action. The Texas court has calendared a trial date of November 29, 2010, for administrative purposes in the event that all issues are not resolved in the Delaware proceedings.</w:t>
      </w:r>
    </w:p>
    <w:p>
      <w:pPr>
        <w:spacing w:after="0" w:line="26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December 11, 2009, plaintiffs in the Delaware action filed an amended complaint alleging, among other things, that (i) the Individual Defendants breached their fiduciary duties to ACS and its shareholders by authorizing the sale of ACS to Xerox for what plaintiffs deem inadequate consideration and pursuant to inadequate process, and the Xerox Defendants aided and abetted these alleged breaches; (ii) the Individual Defendants breached their fiduciary duties to ACS and its shareholders by agreeing to the provisions of the merger agreement relating to the consideration to be paid to the holders of Class B shares which the Delaware plaintiffs allege violates the ACS certificate of incorporation and is, therefore, void, and the Xerox Defendants aided and abetted these alleged breaches; and (iii) the Individual Defendants breached their fiduciary duties by failing to disclose material facts in the October 23, 2009 Form S-4 filed with the SEC in connection with the merger. The amended complaint seeks, among other things, to enjoin the defendants from consummating the merger on the agreed-upon terms, and unspecified compensatory damages, together with the costs and disbursements of the action.</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December 16, 2009, the Delaware court so ordered a stipulation between Xerox, ACS and certain Individual Defendants and the plaintiffs in the Delaware action providing, among other things, that in exchange for modifying certain provisions of the merger agreement and other consideration, the plaintiffs would not seek to enjoin any shareholder vote on the closing of the merger, nor take any action for the purpose of preventing or delaying the closing of the merger. On January 20, 2010, the Delaware court so ordered a stipulation by all parties in the Delaware action providing, among other things, for a trial to take place May 10-14, 2010 on the claims for damages asserted in the action. On January 29, 2010, defendants moved to dismiss the amended complaint and on February 8, 2010, plaintiffs moved for partial summary judgment.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merger between ACS and Xerox closed on February 5, 2010. We deny any wrongdoing and are vigorously defending the actions.</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Other Matters</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It is our policy to promptly and carefully investigate, often with the assistance of outside advisers, allegations of impropriety that may come to our attention. If the allegations are substantiated, appropriate prompt remedial action is taken. When and where appropriate, we report such matters to the U.S. Department of Justice and to the SEC, and/or make public disclosure.</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India</w:t>
      </w:r>
    </w:p>
    <w:p>
      <w:pPr>
        <w:spacing w:after="0" w:line="18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We became aware of a number of matters at our Indian subsidiary, Xerox India Ltd. (formerly Xerox Modicorp Ltd.), much of which occurred over several years before we obtained majority ownership of these operations in mid-1999. These matters include misappropriations of funds and payments to other companies that may have been inaccurately recorded on the subsidiary’s books, certain alleged improper payments in connection with sales to government customers and allegations that Xerox India’s then senior officers were aware of such activities. These transactions were not material to the Company’s financial statements. In 2002, we reported these transactions to the Indian authorities, the U.S. Department of Justice and to the SEC. As previously disclosed, following these reports, Indian authorities have advanced the position that Xerox India violated the Indian Company Law by means of alleged improper payments and alleged defaults/failures of the Xerox India, Ltd. board of directors.</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77</w:t>
      </w:r>
    </w:p>
    <w:p>
      <w:pPr>
        <w:sectPr>
          <w:pgSz w:w="11900" w:h="16838" w:orient="portrait"/>
          <w:cols w:equalWidth="0" w:num="1">
            <w:col w:w="11420"/>
          </w:cols>
          <w:pgMar w:left="240" w:top="271" w:right="239" w:bottom="1440" w:gutter="0" w:footer="0" w:header="0"/>
        </w:sectPr>
      </w:pPr>
    </w:p>
    <w:bookmarkStart w:id="160" w:name="page161"/>
    <w:bookmarkEnd w:id="160"/>
    <w:p>
      <w:pPr>
        <w:ind w:right="6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India has asserted that the alleged violations are generally unsubstantiated and without any basis in law. We believe that any fines or penalties that might be imposed in connection with such ongoing matters would not be material to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Other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Guarantees, Indemnifications and Warranty Liabilities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Guarantees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final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December 31, 2009, we have accrued our estimate of liability incurred under our indemnification arrangements and guarantees.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Indemnifications Provided as Part of Contracts and Agreements</w:t>
      </w:r>
    </w:p>
    <w:p>
      <w:pPr>
        <w:spacing w:after="0" w:line="18"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We are a party to the following types of agreements pursuant to which we may be obligated to indemnify the other party with respect to certain matters:</w:t>
      </w:r>
    </w:p>
    <w:p>
      <w:pPr>
        <w:spacing w:after="0" w:line="74" w:lineRule="exact"/>
        <w:rPr>
          <w:sz w:val="20"/>
          <w:szCs w:val="20"/>
          <w:color w:val="auto"/>
        </w:rPr>
      </w:pPr>
    </w:p>
    <w:p>
      <w:pPr>
        <w:ind w:left="460" w:right="20" w:hanging="452"/>
        <w:spacing w:after="0" w:line="237"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Contracts that we entered into for the sale or purchase of businesses or real estate assets, under which we customarily agree to hold the other party harmless against losses arising from a breach of representations and covenants, including obligations to pay rent. Typically, these relate to such matters as adequate title to assets sold, intellectual property rights, specified environmental matters and certain income taxes arising prior to the date of acquisition.</w:t>
      </w:r>
    </w:p>
    <w:p>
      <w:pPr>
        <w:spacing w:after="0" w:line="73" w:lineRule="exact"/>
        <w:rPr>
          <w:rFonts w:ascii="Arial" w:cs="Arial" w:eastAsia="Arial" w:hAnsi="Arial"/>
          <w:sz w:val="18"/>
          <w:szCs w:val="18"/>
          <w:color w:val="auto"/>
        </w:rPr>
      </w:pPr>
    </w:p>
    <w:p>
      <w:pPr>
        <w:ind w:left="460" w:right="140" w:hanging="452"/>
        <w:spacing w:after="0" w:line="239"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Guarantees on behalf of our subsidiaries with respect to real estate leases. These lease guarantees may remain in effect subsequent to the sale of the subsidiary.</w:t>
      </w:r>
    </w:p>
    <w:p>
      <w:pPr>
        <w:spacing w:after="0" w:line="73" w:lineRule="exact"/>
        <w:rPr>
          <w:rFonts w:ascii="Arial" w:cs="Arial" w:eastAsia="Arial" w:hAnsi="Arial"/>
          <w:sz w:val="18"/>
          <w:szCs w:val="18"/>
          <w:color w:val="auto"/>
        </w:rPr>
      </w:pPr>
    </w:p>
    <w:p>
      <w:pPr>
        <w:ind w:left="460" w:right="100" w:hanging="452"/>
        <w:spacing w:after="0" w:line="239"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Agreements to indemnify various service providers, trustees and bank agents from any third party claims related to their performance on our behalf, with the exception of claims that result from third-party’s own willful misconduct or gross negligence.</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78</w:t>
      </w:r>
    </w:p>
    <w:p>
      <w:pPr>
        <w:sectPr>
          <w:pgSz w:w="11900" w:h="16838" w:orient="portrait"/>
          <w:cols w:equalWidth="0" w:num="1">
            <w:col w:w="11420"/>
          </w:cols>
          <w:pgMar w:left="240" w:top="291" w:right="239" w:bottom="1440" w:gutter="0" w:footer="0" w:header="0"/>
        </w:sectPr>
      </w:pPr>
    </w:p>
    <w:bookmarkStart w:id="161" w:name="page162"/>
    <w:bookmarkEnd w:id="161"/>
    <w:p>
      <w:pPr>
        <w:jc w:val="both"/>
        <w:ind w:left="460" w:right="200" w:hanging="452"/>
        <w:spacing w:after="0" w:line="238"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Guarantees of our performance in certain sales and services contracts to our customers and indirectly the performance of third parties with whom we have subcontracted for their services. This includes indemnifications to customers for losses that may be sustained as a result of the use of our equipment at a customer’s location.</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each of these circumstances, our payment is conditioned on the other party making a claim pursuant to the procedures specified in the particular contract, which procedures typically allow us to challenge the other party’s claims. In the case of lease guarantees, we may contest the liabilities asserted under the lease. Further, our obligations under these agreements and guarantees may be limited in terms of time and/or amount, and in some instances, we may have recourse against third parties for certain payments we made.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Patent Indemnifications</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most sales transactions to resellers of our products, we indemnify against possible claims of patent infringement caused by our products or solutions. These indemnifications usually do not include limits on the claims, provided the claim is made pursuant to the procedures required in the sales contract.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Indemnification of Officers and Directors</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corporate by-laws require that, except to the extent expressly prohibited by law, we must indemnify Xerox Corporation’s officers and directors against judgments, fines, penalties and amounts paid in settlement, including legal fees and all appeals, incurred in connection with civil or criminal action or proceedings, as it relates to their services to Xerox Corporation and our subsidiaries. Although the by-laws provide no limit on the amount of indemnification, we may have recourse against our insurance carriers for certain payments made by us. However, certain indemnification payments may not be covered under our directors’ and officers’ insurance coverage. In addition, we indemnify certain fiduciaries of our employee benefit plans for liabilities incurred in their service as fiduciary whether or not they are officers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Product Warranty Liabilities</w:t>
      </w:r>
    </w:p>
    <w:p>
      <w:pPr>
        <w:spacing w:after="0" w:line="1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connection with our normal sales of equipment, including those under sales-type leases, we generally do not issue product warranties. Our arrangements typically involve a separate full service maintenance agreement with the customer. The agreements generally extend over a period equivalent to the lease term or the expected useful life under a cash sale. The service agreements involve the payment of fees in return for our performance of repairs and maintenance. As a consequence, we do not have any significant product warranty obligations including any obligations under customer satisfaction programs. In a few circumstances, particularly in certain cash sales, we may issue a limited product warranty if negotiated by the customer. We also issue warranties for certain of our lower-end products in the Office segment, where full service maintenance agreements are not available. In these instances, we record warranty obligations at the time of the sale. Aggregate product warranty liability expenses for the three years ended December 31, 2009 were $34, $39 and $40, respectively. Total product warranty liabilities as of December 31, 2009 and 2008 were $20 and $27,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Note 17 – Shareholders’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Preferred Stock</w:t>
      </w:r>
    </w:p>
    <w:p>
      <w:pPr>
        <w:spacing w:after="0" w:line="18" w:lineRule="exact"/>
        <w:rPr>
          <w:sz w:val="20"/>
          <w:szCs w:val="20"/>
          <w:color w:val="auto"/>
        </w:rPr>
      </w:pPr>
    </w:p>
    <w:p>
      <w:pPr>
        <w:ind w:right="900"/>
        <w:spacing w:after="0" w:line="239" w:lineRule="auto"/>
        <w:rPr>
          <w:sz w:val="20"/>
          <w:szCs w:val="20"/>
          <w:color w:val="auto"/>
        </w:rPr>
      </w:pPr>
      <w:r>
        <w:rPr>
          <w:rFonts w:ascii="Arial" w:cs="Arial" w:eastAsia="Arial" w:hAnsi="Arial"/>
          <w:sz w:val="18"/>
          <w:szCs w:val="18"/>
          <w:color w:val="auto"/>
        </w:rPr>
        <w:t>As of December 31, 2009, we had no preferred stock shares or preferred stock purchase rights outstanding. We are authorized to issue approximately 22 million shares of cumulative preferred stock, $1.00 par value.</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79</w:t>
      </w:r>
    </w:p>
    <w:p>
      <w:pPr>
        <w:sectPr>
          <w:pgSz w:w="11900" w:h="16838" w:orient="portrait"/>
          <w:cols w:equalWidth="0" w:num="1">
            <w:col w:w="11420"/>
          </w:cols>
          <w:pgMar w:left="240" w:top="291" w:right="239" w:bottom="1440" w:gutter="0" w:footer="0" w:header="0"/>
        </w:sectPr>
      </w:pPr>
    </w:p>
    <w:bookmarkStart w:id="162" w:name="page163"/>
    <w:bookmarkEnd w:id="162"/>
    <w:p>
      <w:pPr>
        <w:ind w:right="12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acquisition of ACS in February 2010 (see Note 3 – Acquisitions for further information), we issued 300,000 shares of Convertible Preferred Stock with an aggregate liquidation preference of $300 to the holders of ACS Class B common stock. The Convertible Preferred Stock will pay quarterly cash dividends at a rate of 8 percent per year and will have a liquidation preference of $1,000 per share. Each share of Convertible Preferred Stock will be convertible at any time, at the option of the holder, into 89.8876 shares of common stock for a total of 26,966 thousand shares (which reflects an initial conversion price of approximately $11.125 per share of common stock, which is a 25% premium over $8.90, which was the average closing price of Xerox common stock over the 7-trading day period ended on September 14, 2009, and the number used for calculating the conversion price in the ACS merger agreement), subject to customary anti-dilution adjustments. On or after the fifth anniversary of the issue date, we will have the right to cause, under certain circumstances, any or all of the Convertible Preferred Stock to be converted into shares of common stock at the then applicable conversion rate. The holders of Convertible Preferred Stock will also be able to convert upon a change in control at the applicable conversion rate plus an additional number of shares determined by reference to the price paid for our common stock upon a change in control. In addition, upon the occurrence of certain fundamental change events, including a future change in control of Xerox or if Xerox common stock ceases to be listed on a national securities exchange, the holders of Convertible Preferred Stock will have the right to require us to redeem any or all of the Convertible Preferred Stock in cash at a redemption price per share equal to the liquidation preference and any accrued and unpaid dividends to, but not including the redemption date. The Convertible Preferred Stock will be classified as temporary equity (i.e., apart from permanent equity) as a result of the contingent redemption feature.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Common Stock</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1.75 billion authorized shares of common stock, $1 par value. At December 31, 2009, 79 million shares were reserved for issuance under our incentive compensation plans, 48 million shares were reserved for debt to equity exchanges and 2 million shares were reserved for the conversion of convertible debt.</w:t>
      </w:r>
    </w:p>
    <w:p>
      <w:pPr>
        <w:spacing w:after="0" w:line="15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In connection with the acquisition of ACS in February 2010 (see Note 3 – Acquisitions for further information), we issued approximately 489,800 thousand shares of common stock to holders of ACS Class A and Class B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Treasury Stock</w:t>
      </w:r>
    </w:p>
    <w:p>
      <w:pPr>
        <w:spacing w:after="0" w:line="1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Board of Directors has authorized programs for repurchase of the Company’s common stock. During the year ended December 31, 2009, we did not purchase any common stock and we have no immediate plans for further share repurchases.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cumulative information relating to our share repurchase programs from their inception in October 2005 through</w:t>
      </w:r>
    </w:p>
    <w:p>
      <w:pPr>
        <w:spacing w:after="0"/>
        <w:rPr>
          <w:sz w:val="20"/>
          <w:szCs w:val="20"/>
          <w:color w:val="auto"/>
        </w:rPr>
      </w:pPr>
      <w:r>
        <w:rPr>
          <w:rFonts w:ascii="Arial" w:cs="Arial" w:eastAsia="Arial" w:hAnsi="Arial"/>
          <w:sz w:val="18"/>
          <w:szCs w:val="18"/>
          <w:color w:val="auto"/>
        </w:rPr>
        <w:t>December 31, 2009 (shares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Authorized share repurchase</w:t>
            </w:r>
          </w:p>
        </w:tc>
        <w:tc>
          <w:tcPr>
            <w:tcW w:w="2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Share repurchases</w:t>
            </w:r>
          </w:p>
        </w:tc>
        <w:tc>
          <w:tcPr>
            <w:tcW w:w="24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2,941</w:t>
            </w: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repurchase fees</w:t>
            </w:r>
          </w:p>
        </w:tc>
        <w:tc>
          <w:tcPr>
            <w:tcW w:w="24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r>
      <w:tr>
        <w:trPr>
          <w:trHeight w:val="322"/>
        </w:trPr>
        <w:tc>
          <w:tcPr>
            <w:tcW w:w="4520" w:type="dxa"/>
            <w:vAlign w:val="bottom"/>
          </w:tcPr>
          <w:p>
            <w:pPr>
              <w:spacing w:after="0"/>
              <w:rPr>
                <w:sz w:val="20"/>
                <w:szCs w:val="20"/>
                <w:color w:val="auto"/>
              </w:rPr>
            </w:pPr>
            <w:r>
              <w:rPr>
                <w:rFonts w:ascii="Arial" w:cs="Arial" w:eastAsia="Arial" w:hAnsi="Arial"/>
                <w:sz w:val="18"/>
                <w:szCs w:val="18"/>
                <w:color w:val="auto"/>
              </w:rPr>
              <w:t>Number of shares repurchased</w:t>
            </w:r>
          </w:p>
        </w:tc>
        <w:tc>
          <w:tcPr>
            <w:tcW w:w="2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194,093</w:t>
            </w:r>
          </w:p>
        </w:tc>
      </w:tr>
    </w:tbl>
    <w:p>
      <w:pPr>
        <w:spacing w:after="0" w:line="15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following table reflects the changes in Common stock and Treasury stock shares for the three years ended December 31, 2009 (shares in thousand):</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900" w:type="dxa"/>
            <w:vAlign w:val="bottom"/>
          </w:tcPr>
          <w:p>
            <w:pPr>
              <w:spacing w:after="0"/>
              <w:rPr>
                <w:sz w:val="14"/>
                <w:szCs w:val="14"/>
                <w:color w:val="auto"/>
              </w:rPr>
            </w:pPr>
          </w:p>
        </w:tc>
        <w:tc>
          <w:tcPr>
            <w:tcW w:w="300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Common Stock Shares</w:t>
            </w:r>
          </w:p>
        </w:tc>
        <w:tc>
          <w:tcPr>
            <w:tcW w:w="1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Treasury Stock Shares</w:t>
            </w: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2006</w:t>
            </w:r>
          </w:p>
        </w:tc>
        <w:tc>
          <w:tcPr>
            <w:tcW w:w="1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954,568</w:t>
            </w:r>
          </w:p>
        </w:tc>
        <w:tc>
          <w:tcPr>
            <w:tcW w:w="1060" w:type="dxa"/>
            <w:vAlign w:val="bottom"/>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(8,363)</w:t>
            </w:r>
          </w:p>
        </w:tc>
        <w:tc>
          <w:tcPr>
            <w:tcW w:w="2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Stock option and incentive plans, net</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7,588</w:t>
            </w:r>
          </w:p>
        </w:tc>
        <w:tc>
          <w:tcPr>
            <w:tcW w:w="1060" w:type="dxa"/>
            <w:vAlign w:val="bottom"/>
          </w:tcPr>
          <w:p>
            <w:pPr>
              <w:spacing w:after="0"/>
              <w:rPr>
                <w:sz w:val="17"/>
                <w:szCs w:val="17"/>
                <w:color w:val="auto"/>
              </w:rPr>
            </w:pP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Treasury stock</w:t>
            </w:r>
          </w:p>
        </w:tc>
        <w:tc>
          <w:tcPr>
            <w:tcW w:w="3000" w:type="dxa"/>
            <w:vAlign w:val="bottom"/>
            <w:gridSpan w:val="2"/>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(36,638)</w:t>
            </w:r>
          </w:p>
        </w:tc>
        <w:tc>
          <w:tcPr>
            <w:tcW w:w="2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Cancellation of Treasury stock</w:t>
            </w:r>
          </w:p>
        </w:tc>
        <w:tc>
          <w:tcPr>
            <w:tcW w:w="3000" w:type="dxa"/>
            <w:vAlign w:val="bottom"/>
            <w:gridSpan w:val="2"/>
          </w:tcPr>
          <w:p>
            <w:pPr>
              <w:jc w:val="right"/>
              <w:ind w:right="1060"/>
              <w:spacing w:after="0" w:line="202" w:lineRule="exact"/>
              <w:rPr>
                <w:sz w:val="20"/>
                <w:szCs w:val="20"/>
                <w:color w:val="auto"/>
              </w:rPr>
            </w:pPr>
            <w:r>
              <w:rPr>
                <w:rFonts w:ascii="Arial" w:cs="Arial" w:eastAsia="Arial" w:hAnsi="Arial"/>
                <w:sz w:val="18"/>
                <w:szCs w:val="18"/>
                <w:color w:val="auto"/>
              </w:rPr>
              <w:t>(43,165)</w:t>
            </w: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43,165</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106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b w:val="1"/>
                <w:bCs w:val="1"/>
                <w:color w:val="auto"/>
              </w:rPr>
              <w:t>Balance at December 31, 2007</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919,013</w:t>
            </w:r>
          </w:p>
        </w:tc>
        <w:tc>
          <w:tcPr>
            <w:tcW w:w="10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(1,836)</w:t>
            </w:r>
          </w:p>
        </w:tc>
        <w:tc>
          <w:tcPr>
            <w:tcW w:w="20" w:type="dxa"/>
            <w:vAlign w:val="bottom"/>
          </w:tcPr>
          <w:p>
            <w:pPr>
              <w:spacing w:after="0"/>
              <w:rPr>
                <w:sz w:val="18"/>
                <w:szCs w:val="18"/>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 and incentive plans, net</w:t>
            </w:r>
          </w:p>
        </w:tc>
        <w:tc>
          <w:tcPr>
            <w:tcW w:w="1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4,442</w:t>
            </w:r>
          </w:p>
        </w:tc>
        <w:tc>
          <w:tcPr>
            <w:tcW w:w="10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Acquisition of Treasury stock</w:t>
            </w:r>
          </w:p>
        </w:tc>
        <w:tc>
          <w:tcPr>
            <w:tcW w:w="3000" w:type="dxa"/>
            <w:vAlign w:val="bottom"/>
            <w:gridSpan w:val="2"/>
          </w:tcPr>
          <w:p>
            <w:pPr>
              <w:jc w:val="right"/>
              <w:ind w:right="110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(56,842)</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Cancellation of Treasury stock</w:t>
            </w:r>
          </w:p>
        </w:tc>
        <w:tc>
          <w:tcPr>
            <w:tcW w:w="3000" w:type="dxa"/>
            <w:vAlign w:val="bottom"/>
            <w:gridSpan w:val="2"/>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(58,678)</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58,678</w:t>
            </w:r>
          </w:p>
        </w:tc>
        <w:tc>
          <w:tcPr>
            <w:tcW w:w="20" w:type="dxa"/>
            <w:vAlign w:val="bottom"/>
          </w:tcPr>
          <w:p>
            <w:pPr>
              <w:spacing w:after="0"/>
              <w:rPr>
                <w:sz w:val="17"/>
                <w:szCs w:val="17"/>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b w:val="1"/>
                <w:bCs w:val="1"/>
                <w:color w:val="auto"/>
              </w:rPr>
              <w:t>Balance at December 31, 2008</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864,777</w:t>
            </w:r>
          </w:p>
        </w:tc>
        <w:tc>
          <w:tcPr>
            <w:tcW w:w="106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 and incentive plans, net</w:t>
            </w:r>
          </w:p>
        </w:tc>
        <w:tc>
          <w:tcPr>
            <w:tcW w:w="1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4,604</w:t>
            </w:r>
          </w:p>
        </w:tc>
        <w:tc>
          <w:tcPr>
            <w:tcW w:w="106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b w:val="1"/>
                <w:bCs w:val="1"/>
                <w:color w:val="auto"/>
              </w:rPr>
              <w:t>Balance at December 31, 2009</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869,381</w:t>
            </w:r>
          </w:p>
        </w:tc>
        <w:tc>
          <w:tcPr>
            <w:tcW w:w="10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80</w:t>
      </w:r>
    </w:p>
    <w:p>
      <w:pPr>
        <w:sectPr>
          <w:pgSz w:w="11900" w:h="16838" w:orient="portrait"/>
          <w:cols w:equalWidth="0" w:num="1">
            <w:col w:w="11420"/>
          </w:cols>
          <w:pgMar w:left="240" w:top="291"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Stock-Based Compensation</w:t>
      </w:r>
    </w:p>
    <w:p>
      <w:pPr>
        <w:spacing w:after="0" w:line="1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have a long-term incentive plan whereby eligible employees may be granted restricted stock units (“RSUs”), performance shares (“PSs”) and non-qualified stock options.</w:t>
      </w:r>
    </w:p>
    <w:p>
      <w:pPr>
        <w:spacing w:after="0" w:line="155"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We grant PSs and RSUs in order to continue to attract and retain employees and to better align employee interest with those of our shareholders. Each of these awards is subject to settlement with newly issued shares of our common stock. At December 31, 2009 and 2008, 15 million shares were available for grant of awards.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for the three years ended December 31, 2009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60" w:type="dxa"/>
            <w:vAlign w:val="bottom"/>
          </w:tcPr>
          <w:p>
            <w:pPr>
              <w:spacing w:after="0"/>
              <w:rPr>
                <w:sz w:val="14"/>
                <w:szCs w:val="14"/>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2007</w:t>
            </w: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expense, pre-tax</w:t>
            </w:r>
          </w:p>
        </w:tc>
        <w:tc>
          <w:tcPr>
            <w:tcW w:w="900" w:type="dxa"/>
            <w:vAlign w:val="bottom"/>
            <w:shd w:val="clear" w:color="auto" w:fill="CCEEFF"/>
          </w:tcPr>
          <w:p>
            <w:pPr>
              <w:jc w:val="right"/>
              <w:ind w:right="622"/>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85</w:t>
            </w:r>
          </w:p>
        </w:tc>
        <w:tc>
          <w:tcPr>
            <w:tcW w:w="1300" w:type="dxa"/>
            <w:vAlign w:val="bottom"/>
            <w:gridSpan w:val="2"/>
            <w:shd w:val="clear" w:color="auto" w:fill="CCEEFF"/>
          </w:tcPr>
          <w:p>
            <w:pPr>
              <w:jc w:val="right"/>
              <w:ind w:right="632"/>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85</w:t>
            </w:r>
          </w:p>
        </w:tc>
        <w:tc>
          <w:tcPr>
            <w:tcW w:w="7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89</w:t>
            </w:r>
          </w:p>
        </w:tc>
      </w:tr>
      <w:tr>
        <w:trPr>
          <w:trHeight w:val="214"/>
        </w:trPr>
        <w:tc>
          <w:tcPr>
            <w:tcW w:w="6760" w:type="dxa"/>
            <w:vAlign w:val="bottom"/>
          </w:tcPr>
          <w:p>
            <w:pPr>
              <w:spacing w:after="0"/>
              <w:rPr>
                <w:sz w:val="20"/>
                <w:szCs w:val="20"/>
                <w:color w:val="auto"/>
              </w:rPr>
            </w:pPr>
            <w:r>
              <w:rPr>
                <w:rFonts w:ascii="Arial" w:cs="Arial" w:eastAsia="Arial" w:hAnsi="Arial"/>
                <w:sz w:val="18"/>
                <w:szCs w:val="18"/>
                <w:color w:val="auto"/>
              </w:rPr>
              <w:t>Stock-based compensation expense, net of tax</w:t>
            </w:r>
          </w:p>
        </w:tc>
        <w:tc>
          <w:tcPr>
            <w:tcW w:w="90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55</w:t>
            </w:r>
          </w:p>
        </w:tc>
      </w:tr>
    </w:tbl>
    <w:p>
      <w:pPr>
        <w:spacing w:after="0" w:line="132"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color w:val="1269BC"/>
        </w:rPr>
        <w:t xml:space="preserve">Restricted stock units: </w:t>
      </w:r>
      <w:r>
        <w:rPr>
          <w:rFonts w:ascii="Arial" w:cs="Arial" w:eastAsia="Arial" w:hAnsi="Arial"/>
          <w:sz w:val="18"/>
          <w:szCs w:val="18"/>
          <w:color w:val="000000"/>
        </w:rPr>
        <w:t>Compensation expense is based upon the grant date market price for most awards and a Monte Carlo simulation pricing</w:t>
      </w:r>
      <w:r>
        <w:rPr>
          <w:rFonts w:ascii="Arial" w:cs="Arial" w:eastAsia="Arial" w:hAnsi="Arial"/>
          <w:sz w:val="18"/>
          <w:szCs w:val="18"/>
          <w:b w:val="1"/>
          <w:bCs w:val="1"/>
          <w:color w:val="1269BC"/>
        </w:rPr>
        <w:t xml:space="preserve"> </w:t>
      </w:r>
      <w:r>
        <w:rPr>
          <w:rFonts w:ascii="Arial" w:cs="Arial" w:eastAsia="Arial" w:hAnsi="Arial"/>
          <w:sz w:val="18"/>
          <w:szCs w:val="18"/>
          <w:color w:val="000000"/>
        </w:rPr>
        <w:t>model for a fiscal 2009 grant that included a market condition; the expense is recorded over the vesting period, which ranges from three to five years from the date of grant. A summary of the activity for RSUs as of December 31, 2009, 2008 and 2007, and changes during the years then ended, is presented below (shares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75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w w:val="76"/>
              </w:rPr>
              <w:t>2008</w:t>
            </w:r>
          </w:p>
        </w:tc>
        <w:tc>
          <w:tcPr>
            <w:tcW w:w="2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792"/>
              <w:spacing w:after="0"/>
              <w:rPr>
                <w:sz w:val="20"/>
                <w:szCs w:val="20"/>
                <w:color w:val="auto"/>
              </w:rPr>
            </w:pPr>
            <w:r>
              <w:rPr>
                <w:rFonts w:ascii="Arial" w:cs="Arial" w:eastAsia="Arial" w:hAnsi="Arial"/>
                <w:sz w:val="14"/>
                <w:szCs w:val="14"/>
                <w:b w:val="1"/>
                <w:bCs w:val="1"/>
                <w:color w:val="auto"/>
                <w:w w:val="83"/>
              </w:rPr>
              <w:t>2007</w:t>
            </w:r>
          </w:p>
        </w:tc>
      </w:tr>
      <w:tr>
        <w:trPr>
          <w:trHeight w:val="125"/>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Weighted</w:t>
            </w: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Average Grant</w:t>
            </w: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r>
      <w:tr>
        <w:trPr>
          <w:trHeight w:val="165"/>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Nonvested Restricted Stock Units</w:t>
            </w: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4"/>
                <w:szCs w:val="14"/>
                <w:color w:val="auto"/>
              </w:rPr>
            </w:pPr>
          </w:p>
        </w:tc>
        <w:tc>
          <w:tcPr>
            <w:tcW w:w="900" w:type="dxa"/>
            <w:vAlign w:val="bottom"/>
          </w:tcPr>
          <w:p>
            <w:pPr>
              <w:jc w:val="right"/>
              <w:ind w:right="16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4"/>
                <w:szCs w:val="14"/>
                <w:color w:val="auto"/>
              </w:rPr>
            </w:pPr>
          </w:p>
        </w:tc>
        <w:tc>
          <w:tcPr>
            <w:tcW w:w="900" w:type="dxa"/>
            <w:vAlign w:val="bottom"/>
          </w:tcPr>
          <w:p>
            <w:pPr>
              <w:jc w:val="right"/>
              <w:ind w:right="14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w:t>
            </w:r>
          </w:p>
        </w:tc>
        <w:tc>
          <w:tcPr>
            <w:tcW w:w="78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14,037</w:t>
            </w:r>
          </w:p>
        </w:tc>
        <w:tc>
          <w:tcPr>
            <w:tcW w:w="116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  15.43</w:t>
            </w:r>
          </w:p>
        </w:tc>
        <w:tc>
          <w:tcPr>
            <w:tcW w:w="1100" w:type="dxa"/>
            <w:vAlign w:val="bottom"/>
            <w:tcBorders>
              <w:right w:val="single" w:sz="8" w:color="CCEEFF"/>
            </w:tcBorders>
            <w:gridSpan w:val="2"/>
            <w:shd w:val="clear" w:color="auto" w:fill="CCEEFF"/>
          </w:tcPr>
          <w:p>
            <w:pPr>
              <w:jc w:val="right"/>
              <w:ind w:right="82"/>
              <w:spacing w:after="0" w:line="196" w:lineRule="exact"/>
              <w:rPr>
                <w:sz w:val="20"/>
                <w:szCs w:val="20"/>
                <w:color w:val="auto"/>
              </w:rPr>
            </w:pPr>
            <w:r>
              <w:rPr>
                <w:rFonts w:ascii="Arial" w:cs="Arial" w:eastAsia="Arial" w:hAnsi="Arial"/>
                <w:sz w:val="18"/>
                <w:szCs w:val="18"/>
                <w:color w:val="auto"/>
              </w:rPr>
              <w:t>11,696</w:t>
            </w:r>
          </w:p>
        </w:tc>
        <w:tc>
          <w:tcPr>
            <w:tcW w:w="114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  16.78</w:t>
            </w:r>
          </w:p>
        </w:tc>
        <w:tc>
          <w:tcPr>
            <w:tcW w:w="1100" w:type="dxa"/>
            <w:vAlign w:val="bottom"/>
            <w:tcBorders>
              <w:right w:val="single" w:sz="8" w:color="CCEEFF"/>
            </w:tcBorders>
            <w:gridSpan w:val="2"/>
            <w:shd w:val="clear" w:color="auto" w:fill="CCEEFF"/>
          </w:tcPr>
          <w:p>
            <w:pPr>
              <w:jc w:val="right"/>
              <w:ind w:right="82"/>
              <w:spacing w:after="0" w:line="196" w:lineRule="exact"/>
              <w:rPr>
                <w:sz w:val="20"/>
                <w:szCs w:val="20"/>
                <w:color w:val="auto"/>
              </w:rPr>
            </w:pPr>
            <w:r>
              <w:rPr>
                <w:rFonts w:ascii="Arial" w:cs="Arial" w:eastAsia="Arial" w:hAnsi="Arial"/>
                <w:sz w:val="18"/>
                <w:szCs w:val="18"/>
                <w:color w:val="auto"/>
              </w:rPr>
              <w:t>8,635</w:t>
            </w:r>
          </w:p>
        </w:tc>
        <w:tc>
          <w:tcPr>
            <w:tcW w:w="114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  15.71</w:t>
            </w:r>
          </w:p>
        </w:tc>
      </w:tr>
      <w:tr>
        <w:trPr>
          <w:trHeight w:val="203"/>
        </w:trPr>
        <w:tc>
          <w:tcPr>
            <w:tcW w:w="5000" w:type="dxa"/>
            <w:vAlign w:val="bottom"/>
            <w:gridSpan w:val="3"/>
          </w:tcPr>
          <w:p>
            <w:pPr>
              <w:spacing w:after="0" w:line="202" w:lineRule="exact"/>
              <w:rPr>
                <w:sz w:val="20"/>
                <w:szCs w:val="20"/>
                <w:color w:val="auto"/>
              </w:rPr>
            </w:pPr>
            <w:r>
              <w:rPr>
                <w:rFonts w:ascii="Arial" w:cs="Arial" w:eastAsia="Arial" w:hAnsi="Arial"/>
                <w:sz w:val="18"/>
                <w:szCs w:val="18"/>
                <w:color w:val="auto"/>
              </w:rPr>
              <w:t>Granted</w:t>
            </w:r>
          </w:p>
        </w:tc>
        <w:tc>
          <w:tcPr>
            <w:tcW w:w="7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15,268</w:t>
            </w:r>
          </w:p>
        </w:tc>
        <w:tc>
          <w:tcPr>
            <w:tcW w:w="116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6.69</w:t>
            </w:r>
          </w:p>
        </w:tc>
        <w:tc>
          <w:tcPr>
            <w:tcW w:w="1100" w:type="dxa"/>
            <w:vAlign w:val="bottom"/>
            <w:gridSpan w:val="2"/>
          </w:tcPr>
          <w:p>
            <w:pPr>
              <w:jc w:val="right"/>
              <w:ind w:right="82"/>
              <w:spacing w:after="0" w:line="202" w:lineRule="exact"/>
              <w:rPr>
                <w:sz w:val="20"/>
                <w:szCs w:val="20"/>
                <w:color w:val="auto"/>
              </w:rPr>
            </w:pPr>
            <w:r>
              <w:rPr>
                <w:rFonts w:ascii="Arial" w:cs="Arial" w:eastAsia="Arial" w:hAnsi="Arial"/>
                <w:sz w:val="18"/>
                <w:szCs w:val="18"/>
                <w:color w:val="auto"/>
              </w:rPr>
              <w:t>5,923</w:t>
            </w:r>
          </w:p>
        </w:tc>
        <w:tc>
          <w:tcPr>
            <w:tcW w:w="114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13.63</w:t>
            </w:r>
          </w:p>
        </w:tc>
        <w:tc>
          <w:tcPr>
            <w:tcW w:w="1100" w:type="dxa"/>
            <w:vAlign w:val="bottom"/>
            <w:gridSpan w:val="2"/>
          </w:tcPr>
          <w:p>
            <w:pPr>
              <w:jc w:val="right"/>
              <w:ind w:right="82"/>
              <w:spacing w:after="0" w:line="202" w:lineRule="exact"/>
              <w:rPr>
                <w:sz w:val="20"/>
                <w:szCs w:val="20"/>
                <w:color w:val="auto"/>
              </w:rPr>
            </w:pPr>
            <w:r>
              <w:rPr>
                <w:rFonts w:ascii="Arial" w:cs="Arial" w:eastAsia="Arial" w:hAnsi="Arial"/>
                <w:sz w:val="18"/>
                <w:szCs w:val="18"/>
                <w:color w:val="auto"/>
              </w:rPr>
              <w:t>4,444</w:t>
            </w:r>
          </w:p>
        </w:tc>
        <w:tc>
          <w:tcPr>
            <w:tcW w:w="114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18.17</w:t>
            </w: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(3,764)</w:t>
            </w:r>
          </w:p>
        </w:tc>
        <w:tc>
          <w:tcPr>
            <w:tcW w:w="11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15.17</w:t>
            </w:r>
          </w:p>
        </w:tc>
        <w:tc>
          <w:tcPr>
            <w:tcW w:w="1100" w:type="dxa"/>
            <w:vAlign w:val="bottom"/>
            <w:tcBorders>
              <w:right w:val="single" w:sz="8" w:color="CCEEFF"/>
            </w:tcBorders>
            <w:gridSpan w:val="2"/>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(3,350)</w:t>
            </w:r>
          </w:p>
        </w:tc>
        <w:tc>
          <w:tcPr>
            <w:tcW w:w="114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16.92</w:t>
            </w:r>
          </w:p>
        </w:tc>
        <w:tc>
          <w:tcPr>
            <w:tcW w:w="1100" w:type="dxa"/>
            <w:vAlign w:val="bottom"/>
            <w:tcBorders>
              <w:right w:val="single" w:sz="8" w:color="CCEEFF"/>
            </w:tcBorders>
            <w:gridSpan w:val="2"/>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(935)</w:t>
            </w:r>
          </w:p>
        </w:tc>
        <w:tc>
          <w:tcPr>
            <w:tcW w:w="114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13.65</w:t>
            </w:r>
          </w:p>
        </w:tc>
      </w:tr>
      <w:tr>
        <w:trPr>
          <w:trHeight w:val="210"/>
        </w:trPr>
        <w:tc>
          <w:tcPr>
            <w:tcW w:w="5000" w:type="dxa"/>
            <w:vAlign w:val="bottom"/>
            <w:gridSpan w:val="3"/>
          </w:tcPr>
          <w:p>
            <w:pPr>
              <w:spacing w:after="0" w:line="202" w:lineRule="exact"/>
              <w:rPr>
                <w:sz w:val="20"/>
                <w:szCs w:val="20"/>
                <w:color w:val="auto"/>
              </w:rPr>
            </w:pPr>
            <w:r>
              <w:rPr>
                <w:rFonts w:ascii="Arial" w:cs="Arial" w:eastAsia="Arial" w:hAnsi="Arial"/>
                <w:sz w:val="18"/>
                <w:szCs w:val="18"/>
                <w:color w:val="auto"/>
              </w:rPr>
              <w:t>Cancelled</w:t>
            </w: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(414)</w:t>
            </w:r>
          </w:p>
        </w:tc>
        <w:tc>
          <w:tcPr>
            <w:tcW w:w="116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13.94</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22"/>
              <w:spacing w:after="0" w:line="202" w:lineRule="exact"/>
              <w:rPr>
                <w:sz w:val="20"/>
                <w:szCs w:val="20"/>
                <w:color w:val="auto"/>
              </w:rPr>
            </w:pPr>
            <w:r>
              <w:rPr>
                <w:rFonts w:ascii="Arial" w:cs="Arial" w:eastAsia="Arial" w:hAnsi="Arial"/>
                <w:sz w:val="18"/>
                <w:szCs w:val="18"/>
                <w:color w:val="auto"/>
              </w:rPr>
              <w:t>(232)</w:t>
            </w:r>
          </w:p>
        </w:tc>
        <w:tc>
          <w:tcPr>
            <w:tcW w:w="114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15.98</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22"/>
              <w:spacing w:after="0" w:line="202" w:lineRule="exact"/>
              <w:rPr>
                <w:sz w:val="20"/>
                <w:szCs w:val="20"/>
                <w:color w:val="auto"/>
              </w:rPr>
            </w:pPr>
            <w:r>
              <w:rPr>
                <w:rFonts w:ascii="Arial" w:cs="Arial" w:eastAsia="Arial" w:hAnsi="Arial"/>
                <w:sz w:val="18"/>
                <w:szCs w:val="18"/>
                <w:color w:val="auto"/>
              </w:rPr>
              <w:t>(448)</w:t>
            </w:r>
          </w:p>
        </w:tc>
        <w:tc>
          <w:tcPr>
            <w:tcW w:w="114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16.42</w:t>
            </w: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Outstanding at December 31</w:t>
            </w:r>
          </w:p>
        </w:tc>
        <w:tc>
          <w:tcPr>
            <w:tcW w:w="78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b w:val="1"/>
                <w:bCs w:val="1"/>
                <w:color w:val="auto"/>
              </w:rPr>
              <w:t>25,127</w:t>
            </w:r>
          </w:p>
        </w:tc>
        <w:tc>
          <w:tcPr>
            <w:tcW w:w="11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10.18</w:t>
            </w:r>
          </w:p>
        </w:tc>
        <w:tc>
          <w:tcPr>
            <w:tcW w:w="1100" w:type="dxa"/>
            <w:vAlign w:val="bottom"/>
            <w:tcBorders>
              <w:right w:val="single" w:sz="8" w:color="CCEEFF"/>
            </w:tcBorders>
            <w:gridSpan w:val="2"/>
            <w:shd w:val="clear" w:color="auto" w:fill="CCEEFF"/>
          </w:tcPr>
          <w:p>
            <w:pPr>
              <w:jc w:val="right"/>
              <w:ind w:right="82"/>
              <w:spacing w:after="0" w:line="202" w:lineRule="exact"/>
              <w:rPr>
                <w:sz w:val="20"/>
                <w:szCs w:val="20"/>
                <w:color w:val="auto"/>
              </w:rPr>
            </w:pPr>
            <w:r>
              <w:rPr>
                <w:rFonts w:ascii="Arial" w:cs="Arial" w:eastAsia="Arial" w:hAnsi="Arial"/>
                <w:sz w:val="18"/>
                <w:szCs w:val="18"/>
                <w:b w:val="1"/>
                <w:bCs w:val="1"/>
                <w:color w:val="auto"/>
              </w:rPr>
              <w:t>14,037</w:t>
            </w:r>
          </w:p>
        </w:tc>
        <w:tc>
          <w:tcPr>
            <w:tcW w:w="114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15.43</w:t>
            </w:r>
          </w:p>
        </w:tc>
        <w:tc>
          <w:tcPr>
            <w:tcW w:w="1100" w:type="dxa"/>
            <w:vAlign w:val="bottom"/>
            <w:tcBorders>
              <w:right w:val="single" w:sz="8" w:color="CCEEFF"/>
            </w:tcBorders>
            <w:gridSpan w:val="2"/>
            <w:shd w:val="clear" w:color="auto" w:fill="CCEEFF"/>
          </w:tcPr>
          <w:p>
            <w:pPr>
              <w:jc w:val="right"/>
              <w:ind w:right="82"/>
              <w:spacing w:after="0" w:line="202" w:lineRule="exact"/>
              <w:rPr>
                <w:sz w:val="20"/>
                <w:szCs w:val="20"/>
                <w:color w:val="auto"/>
              </w:rPr>
            </w:pPr>
            <w:r>
              <w:rPr>
                <w:rFonts w:ascii="Arial" w:cs="Arial" w:eastAsia="Arial" w:hAnsi="Arial"/>
                <w:sz w:val="18"/>
                <w:szCs w:val="18"/>
                <w:b w:val="1"/>
                <w:bCs w:val="1"/>
                <w:color w:val="auto"/>
              </w:rPr>
              <w:t>11,696</w:t>
            </w:r>
          </w:p>
        </w:tc>
        <w:tc>
          <w:tcPr>
            <w:tcW w:w="114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16.78</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At December 31, 2009, the aggregate intrinsic value of RSUs outstanding was $213. The total intrinsic value and actual tax benefit realized for the tax deductions for vested RSUs for the three years ended December 31, 2009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Vested Restricted Stock Units</w:t>
            </w:r>
          </w:p>
        </w:tc>
        <w:tc>
          <w:tcPr>
            <w:tcW w:w="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2007</w:t>
            </w: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intrinsic value of vested RSUs</w:t>
            </w:r>
          </w:p>
        </w:tc>
        <w:tc>
          <w:tcPr>
            <w:tcW w:w="7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19</w:t>
            </w:r>
          </w:p>
        </w:tc>
        <w:tc>
          <w:tcPr>
            <w:tcW w:w="7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16</w:t>
            </w:r>
          </w:p>
        </w:tc>
      </w:tr>
      <w:tr>
        <w:trPr>
          <w:trHeight w:val="214"/>
        </w:trPr>
        <w:tc>
          <w:tcPr>
            <w:tcW w:w="6360" w:type="dxa"/>
            <w:vAlign w:val="bottom"/>
          </w:tcPr>
          <w:p>
            <w:pPr>
              <w:spacing w:after="0"/>
              <w:rPr>
                <w:sz w:val="20"/>
                <w:szCs w:val="20"/>
                <w:color w:val="auto"/>
              </w:rPr>
            </w:pPr>
            <w:r>
              <w:rPr>
                <w:rFonts w:ascii="Arial" w:cs="Arial" w:eastAsia="Arial" w:hAnsi="Arial"/>
                <w:sz w:val="18"/>
                <w:szCs w:val="18"/>
                <w:color w:val="auto"/>
              </w:rPr>
              <w:t>Tax benefit realized for vested RSUs tax deductions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3</w:t>
            </w:r>
          </w:p>
        </w:tc>
      </w:tr>
    </w:tbl>
    <w:p>
      <w:pPr>
        <w:spacing w:after="0" w:line="15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At December 31, 2009, there was $129 of total unrecognized compensation cost related to nonvested RSUs, which is expected to be recognized ratably over a remaining weighted-average contractual term of 1.9 years.</w:t>
      </w:r>
    </w:p>
    <w:p>
      <w:pPr>
        <w:spacing w:after="0" w:line="133"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1269BC"/>
        </w:rPr>
        <w:t xml:space="preserve">Performance shares: </w:t>
      </w:r>
      <w:r>
        <w:rPr>
          <w:rFonts w:ascii="Arial" w:cs="Arial" w:eastAsia="Arial" w:hAnsi="Arial"/>
          <w:sz w:val="18"/>
          <w:szCs w:val="18"/>
          <w:color w:val="000000"/>
        </w:rPr>
        <w:t>We grant officers and selected executives PSs that vest contingent upon meeting pre-determined Diluted Earnings per</w:t>
      </w:r>
      <w:r>
        <w:rPr>
          <w:rFonts w:ascii="Arial" w:cs="Arial" w:eastAsia="Arial" w:hAnsi="Arial"/>
          <w:sz w:val="18"/>
          <w:szCs w:val="18"/>
          <w:b w:val="1"/>
          <w:bCs w:val="1"/>
          <w:color w:val="1269BC"/>
        </w:rPr>
        <w:t xml:space="preserve"> </w:t>
      </w:r>
      <w:r>
        <w:rPr>
          <w:rFonts w:ascii="Arial" w:cs="Arial" w:eastAsia="Arial" w:hAnsi="Arial"/>
          <w:sz w:val="18"/>
          <w:szCs w:val="18"/>
          <w:color w:val="000000"/>
        </w:rPr>
        <w:t>Share (“EPS”) and Core Cash Flow from Operations targets. These shares entitle the holder to one share of common stock, payable after a three-year period and the attainment of the stated goals. If the cumulative three-year actual results for EPS and Core Cash Flow from Operations exceed the stated targets, then the plan participants have the potential to earn additional shares of common stock. This overachievement can not exceed 50% for officers and 25% for non-officers of the original grant.</w:t>
      </w:r>
    </w:p>
    <w:p>
      <w:pPr>
        <w:spacing w:after="0" w:line="1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81</w:t>
      </w:r>
    </w:p>
    <w:p>
      <w:pPr>
        <w:sectPr>
          <w:pgSz w:w="11900" w:h="16838" w:orient="portrait"/>
          <w:cols w:equalWidth="0" w:num="1">
            <w:col w:w="11420"/>
          </w:cols>
          <w:pgMar w:left="240" w:top="270" w:right="239" w:bottom="1440" w:gutter="0" w:footer="0" w:header="0"/>
        </w:sectPr>
      </w:pPr>
    </w:p>
    <w:bookmarkStart w:id="164" w:name="page165"/>
    <w:bookmarkEnd w:id="164"/>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summary of the activity for PSs as of December 31, 2009, 2008 and 2007, and changes during the years then ended, is presented below (shares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772"/>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772"/>
              <w:spacing w:after="0"/>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728"/>
              <w:spacing w:after="0"/>
              <w:rPr>
                <w:sz w:val="20"/>
                <w:szCs w:val="20"/>
                <w:color w:val="auto"/>
              </w:rPr>
            </w:pPr>
            <w:r>
              <w:rPr>
                <w:rFonts w:ascii="Arial" w:cs="Arial" w:eastAsia="Arial" w:hAnsi="Arial"/>
                <w:sz w:val="14"/>
                <w:szCs w:val="14"/>
                <w:b w:val="1"/>
                <w:bCs w:val="1"/>
                <w:color w:val="auto"/>
              </w:rPr>
              <w:t>2007</w:t>
            </w:r>
          </w:p>
        </w:tc>
      </w:tr>
      <w:tr>
        <w:trPr>
          <w:trHeight w:val="125"/>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Weighted</w:t>
            </w: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Average Grant</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r>
      <w:tr>
        <w:trPr>
          <w:trHeight w:val="165"/>
        </w:trPr>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Nonvested Performance Shares</w:t>
            </w:r>
          </w:p>
        </w:tc>
        <w:tc>
          <w:tcPr>
            <w:tcW w:w="820" w:type="dxa"/>
            <w:vAlign w:val="bottom"/>
          </w:tcPr>
          <w:p>
            <w:pPr>
              <w:jc w:val="right"/>
              <w:ind w:right="96"/>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800" w:type="dxa"/>
            <w:vAlign w:val="bottom"/>
          </w:tcPr>
          <w:p>
            <w:pPr>
              <w:jc w:val="right"/>
              <w:ind w:right="10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760" w:type="dxa"/>
            <w:vAlign w:val="bottom"/>
          </w:tcPr>
          <w:p>
            <w:pPr>
              <w:jc w:val="right"/>
              <w:ind w:right="79"/>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r>
      <w:tr>
        <w:trPr>
          <w:trHeight w:val="20"/>
        </w:trPr>
        <w:tc>
          <w:tcPr>
            <w:tcW w:w="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w:t>
            </w:r>
          </w:p>
        </w:tc>
        <w:tc>
          <w:tcPr>
            <w:tcW w:w="82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7,378</w:t>
            </w: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15.39</w:t>
            </w:r>
          </w:p>
        </w:tc>
        <w:tc>
          <w:tcPr>
            <w:tcW w:w="1020" w:type="dxa"/>
            <w:vAlign w:val="bottom"/>
            <w:gridSpan w:val="2"/>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6,585</w:t>
            </w: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16.16</w:t>
            </w:r>
          </w:p>
        </w:tc>
        <w:tc>
          <w:tcPr>
            <w:tcW w:w="960" w:type="dxa"/>
            <w:vAlign w:val="bottom"/>
            <w:gridSpan w:val="2"/>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4,571</w:t>
            </w: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15.04</w:t>
            </w:r>
          </w:p>
        </w:tc>
      </w:tr>
      <w:tr>
        <w:trPr>
          <w:trHeight w:val="203"/>
        </w:trPr>
        <w:tc>
          <w:tcPr>
            <w:tcW w:w="5180" w:type="dxa"/>
            <w:vAlign w:val="bottom"/>
            <w:gridSpan w:val="3"/>
          </w:tcPr>
          <w:p>
            <w:pPr>
              <w:spacing w:after="0" w:line="202" w:lineRule="exact"/>
              <w:rPr>
                <w:sz w:val="20"/>
                <w:szCs w:val="20"/>
                <w:color w:val="auto"/>
              </w:rPr>
            </w:pPr>
            <w:r>
              <w:rPr>
                <w:rFonts w:ascii="Arial" w:cs="Arial" w:eastAsia="Arial" w:hAnsi="Arial"/>
                <w:sz w:val="18"/>
                <w:szCs w:val="18"/>
                <w:color w:val="auto"/>
              </w:rPr>
              <w:t>Granted</w:t>
            </w: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718</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15.17</w:t>
            </w:r>
          </w:p>
        </w:tc>
        <w:tc>
          <w:tcPr>
            <w:tcW w:w="1020" w:type="dxa"/>
            <w:vAlign w:val="bottom"/>
            <w:gridSpan w:val="2"/>
          </w:tcPr>
          <w:p>
            <w:pPr>
              <w:jc w:val="right"/>
              <w:ind w:right="22"/>
              <w:spacing w:after="0" w:line="202" w:lineRule="exact"/>
              <w:rPr>
                <w:sz w:val="20"/>
                <w:szCs w:val="20"/>
                <w:color w:val="auto"/>
              </w:rPr>
            </w:pPr>
            <w:r>
              <w:rPr>
                <w:rFonts w:ascii="Arial" w:cs="Arial" w:eastAsia="Arial" w:hAnsi="Arial"/>
                <w:sz w:val="18"/>
                <w:szCs w:val="18"/>
                <w:color w:val="auto"/>
              </w:rPr>
              <w:t>3,696</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13.67</w:t>
            </w:r>
          </w:p>
        </w:tc>
        <w:tc>
          <w:tcPr>
            <w:tcW w:w="96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2,160</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18.48</w:t>
            </w:r>
          </w:p>
        </w:tc>
      </w:tr>
      <w:tr>
        <w:trPr>
          <w:trHeight w:val="203"/>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(3,075)</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15.17</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(2,734)</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14.87</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10"/>
        </w:trPr>
        <w:tc>
          <w:tcPr>
            <w:tcW w:w="5180" w:type="dxa"/>
            <w:vAlign w:val="bottom"/>
            <w:gridSpan w:val="3"/>
          </w:tcPr>
          <w:p>
            <w:pPr>
              <w:spacing w:after="0" w:line="202" w:lineRule="exact"/>
              <w:rPr>
                <w:sz w:val="20"/>
                <w:szCs w:val="20"/>
                <w:color w:val="auto"/>
              </w:rPr>
            </w:pPr>
            <w:r>
              <w:rPr>
                <w:rFonts w:ascii="Arial" w:cs="Arial" w:eastAsia="Arial" w:hAnsi="Arial"/>
                <w:sz w:val="18"/>
                <w:szCs w:val="18"/>
                <w:color w:val="auto"/>
              </w:rPr>
              <w:t>Cancelled</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15.52</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16.05</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15.41</w:t>
            </w:r>
          </w:p>
        </w:tc>
      </w:tr>
      <w:tr>
        <w:trPr>
          <w:trHeight w:val="203"/>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Outstanding at December 31</w:t>
            </w:r>
          </w:p>
        </w:tc>
        <w:tc>
          <w:tcPr>
            <w:tcW w:w="82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b w:val="1"/>
                <w:bCs w:val="1"/>
                <w:color w:val="auto"/>
              </w:rPr>
              <w:t>4,874</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15.49</w:t>
            </w:r>
          </w:p>
        </w:tc>
        <w:tc>
          <w:tcPr>
            <w:tcW w:w="1020" w:type="dxa"/>
            <w:vAlign w:val="bottom"/>
            <w:gridSpan w:val="2"/>
            <w:shd w:val="clear" w:color="auto" w:fill="CCEEFF"/>
          </w:tcPr>
          <w:p>
            <w:pPr>
              <w:jc w:val="right"/>
              <w:ind w:right="22"/>
              <w:spacing w:after="0" w:line="202" w:lineRule="exact"/>
              <w:rPr>
                <w:sz w:val="20"/>
                <w:szCs w:val="20"/>
                <w:color w:val="auto"/>
              </w:rPr>
            </w:pPr>
            <w:r>
              <w:rPr>
                <w:rFonts w:ascii="Arial" w:cs="Arial" w:eastAsia="Arial" w:hAnsi="Arial"/>
                <w:sz w:val="18"/>
                <w:szCs w:val="18"/>
                <w:b w:val="1"/>
                <w:bCs w:val="1"/>
                <w:color w:val="auto"/>
              </w:rPr>
              <w:t>7,378</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15.39</w:t>
            </w:r>
          </w:p>
        </w:tc>
        <w:tc>
          <w:tcPr>
            <w:tcW w:w="96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b w:val="1"/>
                <w:bCs w:val="1"/>
                <w:color w:val="auto"/>
              </w:rPr>
              <w:t>6,585</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16.16</w:t>
            </w: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December 31, 2009, the aggregate intrinsic value of PSs outstanding was $41. The total intrinsic value of PSs and the actual tax benefit realized for the tax deductions for vested PSs for the two years ended December 31, 2009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Vested Performance Shares</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intrinsic value of vested PSs</w:t>
            </w:r>
          </w:p>
        </w:tc>
        <w:tc>
          <w:tcPr>
            <w:tcW w:w="5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15</w:t>
            </w:r>
          </w:p>
        </w:tc>
        <w:tc>
          <w:tcPr>
            <w:tcW w:w="5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7"/>
                <w:szCs w:val="17"/>
                <w:color w:val="auto"/>
              </w:rPr>
            </w:pPr>
          </w:p>
        </w:tc>
      </w:tr>
      <w:tr>
        <w:trPr>
          <w:trHeight w:val="214"/>
        </w:trPr>
        <w:tc>
          <w:tcPr>
            <w:tcW w:w="5420" w:type="dxa"/>
            <w:vAlign w:val="bottom"/>
          </w:tcPr>
          <w:p>
            <w:pPr>
              <w:spacing w:after="0"/>
              <w:rPr>
                <w:sz w:val="20"/>
                <w:szCs w:val="20"/>
                <w:color w:val="auto"/>
              </w:rPr>
            </w:pPr>
            <w:r>
              <w:rPr>
                <w:rFonts w:ascii="Arial" w:cs="Arial" w:eastAsia="Arial" w:hAnsi="Arial"/>
                <w:sz w:val="18"/>
                <w:szCs w:val="18"/>
                <w:color w:val="auto"/>
              </w:rPr>
              <w:t>Tax benefit realized for vested PSs tax deductions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r>
    </w:tbl>
    <w:p>
      <w:pPr>
        <w:spacing w:after="0" w:line="15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We account for PSs using fair value determined as of the grant date. If the stated targets are not met, any recognized compensation cost would be reversed. As of December 31, 2009, there was $16 of total unrecognized compensation cost related to nonvested PSs; this cost is expected to be recognized ratably over a remaining weighted-average contractual term of 1.1 years.</w:t>
      </w:r>
    </w:p>
    <w:p>
      <w:pPr>
        <w:spacing w:after="0" w:line="13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1269BC"/>
        </w:rPr>
        <w:t xml:space="preserve">Stock options: </w:t>
      </w:r>
      <w:r>
        <w:rPr>
          <w:rFonts w:ascii="Arial" w:cs="Arial" w:eastAsia="Arial" w:hAnsi="Arial"/>
          <w:sz w:val="18"/>
          <w:szCs w:val="18"/>
          <w:color w:val="000000"/>
        </w:rPr>
        <w:t>Stock options generally vest over a period of three years and expire between eight and ten years from the date of grant. We have</w:t>
      </w:r>
      <w:r>
        <w:rPr>
          <w:rFonts w:ascii="Arial" w:cs="Arial" w:eastAsia="Arial" w:hAnsi="Arial"/>
          <w:sz w:val="18"/>
          <w:szCs w:val="18"/>
          <w:b w:val="1"/>
          <w:bCs w:val="1"/>
          <w:color w:val="1269BC"/>
        </w:rPr>
        <w:t xml:space="preserve"> </w:t>
      </w:r>
      <w:r>
        <w:rPr>
          <w:rFonts w:ascii="Arial" w:cs="Arial" w:eastAsia="Arial" w:hAnsi="Arial"/>
          <w:sz w:val="18"/>
          <w:szCs w:val="18"/>
          <w:color w:val="000000"/>
        </w:rPr>
        <w:t>not issued any new stock options since 2004 and all options currently outstanding are fully vested and exercisable. The following table provides information relating to the status of, and changes in, outstanding stock options for each of the three years ended December 31, 2009 (stock options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852"/>
              <w:spacing w:after="0"/>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732"/>
              <w:spacing w:after="0"/>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77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9"/>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Employee Stock Options</w:t>
            </w:r>
          </w:p>
        </w:tc>
        <w:tc>
          <w:tcPr>
            <w:tcW w:w="200" w:type="dxa"/>
            <w:vAlign w:val="bottom"/>
            <w:vMerge w:val="restart"/>
          </w:tcPr>
          <w:p>
            <w:pPr>
              <w:spacing w:after="0"/>
              <w:rPr>
                <w:sz w:val="12"/>
                <w:szCs w:val="12"/>
                <w:color w:val="auto"/>
              </w:rPr>
            </w:pPr>
          </w:p>
        </w:tc>
        <w:tc>
          <w:tcPr>
            <w:tcW w:w="88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Stock</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65"/>
        </w:trPr>
        <w:tc>
          <w:tcPr>
            <w:tcW w:w="48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Options</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Option Price</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Option Price</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Option Price</w:t>
            </w:r>
          </w:p>
        </w:tc>
        <w:tc>
          <w:tcPr>
            <w:tcW w:w="0" w:type="dxa"/>
            <w:vAlign w:val="bottom"/>
          </w:tcPr>
          <w:p>
            <w:pPr>
              <w:spacing w:after="0"/>
              <w:rPr>
                <w:sz w:val="1"/>
                <w:szCs w:val="1"/>
                <w:color w:val="auto"/>
              </w:rPr>
            </w:pPr>
          </w:p>
        </w:tc>
      </w:tr>
      <w:tr>
        <w:trPr>
          <w:trHeight w:val="196"/>
        </w:trPr>
        <w:tc>
          <w:tcPr>
            <w:tcW w:w="5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45,185</w:t>
            </w:r>
          </w:p>
        </w:tc>
        <w:tc>
          <w:tcPr>
            <w:tcW w:w="1240" w:type="dxa"/>
            <w:vAlign w:val="bottom"/>
            <w:gridSpan w:val="3"/>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  15.49</w:t>
            </w: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52,424</w:t>
            </w:r>
          </w:p>
        </w:tc>
        <w:tc>
          <w:tcPr>
            <w:tcW w:w="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  19.73</w:t>
            </w:r>
          </w:p>
        </w:tc>
        <w:tc>
          <w:tcPr>
            <w:tcW w:w="1000" w:type="dxa"/>
            <w:vAlign w:val="bottom"/>
            <w:gridSpan w:val="2"/>
            <w:shd w:val="clear" w:color="auto" w:fill="CCEEFF"/>
          </w:tcPr>
          <w:p>
            <w:pPr>
              <w:jc w:val="center"/>
              <w:ind w:left="172"/>
              <w:spacing w:after="0" w:line="196" w:lineRule="exact"/>
              <w:rPr>
                <w:sz w:val="20"/>
                <w:szCs w:val="20"/>
                <w:color w:val="auto"/>
              </w:rPr>
            </w:pPr>
            <w:r>
              <w:rPr>
                <w:rFonts w:ascii="Arial" w:cs="Arial" w:eastAsia="Arial" w:hAnsi="Arial"/>
                <w:sz w:val="18"/>
                <w:szCs w:val="18"/>
                <w:color w:val="auto"/>
                <w:w w:val="98"/>
              </w:rPr>
              <w:t>60,480</w:t>
            </w:r>
          </w:p>
        </w:tc>
        <w:tc>
          <w:tcPr>
            <w:tcW w:w="1200" w:type="dxa"/>
            <w:vAlign w:val="bottom"/>
            <w:gridSpan w:val="3"/>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  18.56</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Cancelled/Expired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(16,676)</w:t>
            </w:r>
          </w:p>
        </w:tc>
        <w:tc>
          <w:tcPr>
            <w:tcW w:w="124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rPr>
              <w:t>24.68</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(6,559)</w:t>
            </w:r>
          </w:p>
        </w:tc>
        <w:tc>
          <w:tcPr>
            <w:tcW w:w="11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50.08</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(922)</w:t>
            </w:r>
          </w:p>
        </w:tc>
        <w:tc>
          <w:tcPr>
            <w:tcW w:w="120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1240" w:type="dxa"/>
            <w:vAlign w:val="bottom"/>
            <w:gridSpan w:val="3"/>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5.88</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8.89</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(7,134)</w:t>
            </w:r>
          </w:p>
        </w:tc>
        <w:tc>
          <w:tcPr>
            <w:tcW w:w="1200" w:type="dxa"/>
            <w:vAlign w:val="bottom"/>
            <w:gridSpan w:val="3"/>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Outstanding and Exercisable at December 31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28,363</w:t>
            </w: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10.13</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45,185</w:t>
            </w:r>
          </w:p>
        </w:tc>
        <w:tc>
          <w:tcPr>
            <w:tcW w:w="20" w:type="dxa"/>
            <w:vAlign w:val="bottom"/>
          </w:tcPr>
          <w:p>
            <w:pPr>
              <w:spacing w:after="0"/>
              <w:rPr>
                <w:sz w:val="18"/>
                <w:szCs w:val="18"/>
                <w:color w:val="auto"/>
              </w:rPr>
            </w:pPr>
          </w:p>
        </w:tc>
        <w:tc>
          <w:tcPr>
            <w:tcW w:w="11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15.49</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52,424</w:t>
            </w:r>
          </w:p>
        </w:tc>
        <w:tc>
          <w:tcPr>
            <w:tcW w:w="60" w:type="dxa"/>
            <w:vAlign w:val="bottom"/>
            <w:tcBorders>
              <w:top w:val="single" w:sz="8" w:color="auto"/>
              <w:bottom w:val="single" w:sz="8" w:color="auto"/>
            </w:tcBorders>
          </w:tcPr>
          <w:p>
            <w:pPr>
              <w:spacing w:after="0"/>
              <w:rPr>
                <w:sz w:val="18"/>
                <w:szCs w:val="18"/>
                <w:color w:val="auto"/>
              </w:rPr>
            </w:pPr>
          </w:p>
        </w:tc>
        <w:tc>
          <w:tcPr>
            <w:tcW w:w="11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19.73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All outstanding stock options at December 31, 2009 were exercisable, with an aggregate intrinsic value of $13, a weighted-average remaining contractual life of 2.17 years and a weighted-average exercise price of $10.13.</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relating to stock option exercises for the three years ended December 31, 2009: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40" w:type="dxa"/>
            <w:vAlign w:val="bottom"/>
          </w:tcPr>
          <w:p>
            <w:pPr>
              <w:spacing w:after="0"/>
              <w:rPr>
                <w:sz w:val="14"/>
                <w:szCs w:val="14"/>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auto"/>
            </w:tcBorders>
          </w:tcPr>
          <w:p>
            <w:pPr>
              <w:spacing w:after="0"/>
              <w:rPr>
                <w:sz w:val="14"/>
                <w:szCs w:val="14"/>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intrinsic value of stock options</w:t>
            </w:r>
          </w:p>
        </w:tc>
        <w:tc>
          <w:tcPr>
            <w:tcW w:w="900" w:type="dxa"/>
            <w:vAlign w:val="bottom"/>
            <w:shd w:val="clear" w:color="auto" w:fill="CCEEFF"/>
          </w:tcPr>
          <w:p>
            <w:pPr>
              <w:jc w:val="right"/>
              <w:ind w:right="622"/>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2"/>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4</w:t>
            </w:r>
          </w:p>
        </w:tc>
        <w:tc>
          <w:tcPr>
            <w:tcW w:w="1380" w:type="dxa"/>
            <w:vAlign w:val="bottom"/>
            <w:gridSpan w:val="2"/>
            <w:shd w:val="clear" w:color="auto" w:fill="CCEEFF"/>
          </w:tcPr>
          <w:p>
            <w:pPr>
              <w:jc w:val="right"/>
              <w:ind w:right="692"/>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99"/>
              </w:rPr>
              <w:t>61</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Cash received</w:t>
            </w:r>
          </w:p>
        </w:tc>
        <w:tc>
          <w:tcPr>
            <w:tcW w:w="900" w:type="dxa"/>
            <w:vAlign w:val="bottom"/>
          </w:tcPr>
          <w:p>
            <w:pPr>
              <w:spacing w:after="0"/>
              <w:rPr>
                <w:sz w:val="17"/>
                <w:szCs w:val="17"/>
                <w:color w:val="auto"/>
              </w:rPr>
            </w:pP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9"/>
              </w:rPr>
              <w:t>65</w:t>
            </w: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benefit realized for stock option tax deductions</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22</w:t>
            </w:r>
          </w:p>
        </w:tc>
      </w:tr>
      <w:tr>
        <w:trPr>
          <w:trHeight w:val="363"/>
        </w:trPr>
        <w:tc>
          <w:tcPr>
            <w:tcW w:w="6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80" w:type="dxa"/>
            <w:vAlign w:val="bottom"/>
            <w:gridSpan w:val="4"/>
          </w:tcPr>
          <w:p>
            <w:pPr>
              <w:jc w:val="right"/>
              <w:spacing w:after="0"/>
              <w:rPr>
                <w:sz w:val="20"/>
                <w:szCs w:val="20"/>
                <w:color w:val="auto"/>
              </w:rPr>
            </w:pPr>
            <w:r>
              <w:rPr>
                <w:rFonts w:ascii="Arial" w:cs="Arial" w:eastAsia="Arial" w:hAnsi="Arial"/>
                <w:sz w:val="18"/>
                <w:szCs w:val="18"/>
                <w:color w:val="1269BC"/>
              </w:rPr>
              <w:t>Xerox 2009 Annual Report</w:t>
            </w:r>
          </w:p>
        </w:tc>
        <w:tc>
          <w:tcPr>
            <w:tcW w:w="320" w:type="dxa"/>
            <w:vAlign w:val="bottom"/>
          </w:tcPr>
          <w:p>
            <w:pPr>
              <w:jc w:val="right"/>
              <w:spacing w:after="0"/>
              <w:rPr>
                <w:sz w:val="20"/>
                <w:szCs w:val="20"/>
                <w:color w:val="auto"/>
              </w:rPr>
            </w:pPr>
            <w:r>
              <w:rPr>
                <w:rFonts w:ascii="Arial" w:cs="Arial" w:eastAsia="Arial" w:hAnsi="Arial"/>
                <w:sz w:val="18"/>
                <w:szCs w:val="18"/>
                <w:color w:val="1269BC"/>
              </w:rPr>
              <w:t>82</w:t>
            </w:r>
          </w:p>
        </w:tc>
      </w:tr>
    </w:tbl>
    <w:p>
      <w:pPr>
        <w:sectPr>
          <w:pgSz w:w="11900" w:h="16838" w:orient="portrait"/>
          <w:cols w:equalWidth="0" w:num="1">
            <w:col w:w="11420"/>
          </w:cols>
          <w:pgMar w:left="240" w:top="291" w:right="239" w:bottom="1440" w:gutter="0" w:footer="0" w:header="0"/>
        </w:sectPr>
      </w:pPr>
    </w:p>
    <w:bookmarkStart w:id="165" w:name="page166"/>
    <w:bookmarkEnd w:id="165"/>
    <w:p>
      <w:pPr>
        <w:ind w:right="3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acquisition of ACS in February 2010 (see Note 3 – Acquisitions for further information), we issued approximately 96,700 thousand options in exchange for ACS options.</w:t>
      </w:r>
    </w:p>
    <w:p>
      <w:pPr>
        <w:spacing w:after="0" w:line="280"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Note 18 – Earnings per Share</w:t>
      </w:r>
    </w:p>
    <w:p>
      <w:pPr>
        <w:spacing w:after="0" w:line="20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following table sets forth the computation of basic and diluted earnings per share of common stock for the three years ended December 31, 2009 (shares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Basic Earnings per Share:</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Xerox</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485</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230</w:t>
            </w:r>
          </w:p>
        </w:tc>
        <w:tc>
          <w:tcPr>
            <w:tcW w:w="68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869,979</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885,471</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934,903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294"/>
              <w:spacing w:after="0"/>
              <w:rPr>
                <w:sz w:val="20"/>
                <w:szCs w:val="20"/>
                <w:color w:val="auto"/>
              </w:rPr>
            </w:pPr>
            <w:r>
              <w:rPr>
                <w:rFonts w:ascii="Arial" w:cs="Arial" w:eastAsia="Arial" w:hAnsi="Arial"/>
                <w:sz w:val="18"/>
                <w:szCs w:val="18"/>
                <w:b w:val="1"/>
                <w:bCs w:val="1"/>
                <w:color w:val="auto"/>
              </w:rPr>
              <w:t>0.56</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14"/>
              <w:spacing w:after="0"/>
              <w:rPr>
                <w:sz w:val="20"/>
                <w:szCs w:val="20"/>
                <w:color w:val="auto"/>
              </w:rPr>
            </w:pPr>
            <w:r>
              <w:rPr>
                <w:rFonts w:ascii="Arial" w:cs="Arial" w:eastAsia="Arial" w:hAnsi="Arial"/>
                <w:sz w:val="18"/>
                <w:szCs w:val="18"/>
                <w:b w:val="1"/>
                <w:bCs w:val="1"/>
                <w:color w:val="auto"/>
              </w:rPr>
              <w:t>0.26</w:t>
            </w:r>
          </w:p>
        </w:tc>
        <w:tc>
          <w:tcPr>
            <w:tcW w:w="6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6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Xerox</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485</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230</w:t>
            </w:r>
          </w:p>
        </w:tc>
        <w:tc>
          <w:tcPr>
            <w:tcW w:w="68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on Convertible securities, net</w:t>
            </w: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14"/>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 available to common shareholders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486</w:t>
            </w:r>
          </w:p>
        </w:tc>
        <w:tc>
          <w:tcPr>
            <w:tcW w:w="5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rPr>
              <w:t>230</w:t>
            </w:r>
          </w:p>
        </w:tc>
        <w:tc>
          <w:tcPr>
            <w:tcW w:w="4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869,979</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885,471</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934,903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line="202" w:lineRule="exact"/>
              <w:rPr>
                <w:sz w:val="20"/>
                <w:szCs w:val="20"/>
                <w:color w:val="auto"/>
              </w:rPr>
            </w:pPr>
            <w:r>
              <w:rPr>
                <w:rFonts w:ascii="Arial" w:cs="Arial" w:eastAsia="Arial" w:hAnsi="Arial"/>
                <w:sz w:val="18"/>
                <w:szCs w:val="18"/>
                <w:color w:val="auto"/>
              </w:rPr>
              <w:t>Common shares issuable with respect to:</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462</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3,885</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8,650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line="202" w:lineRule="exact"/>
              <w:rPr>
                <w:sz w:val="20"/>
                <w:szCs w:val="20"/>
                <w:color w:val="auto"/>
              </w:rPr>
            </w:pPr>
            <w:r>
              <w:rPr>
                <w:rFonts w:ascii="Arial" w:cs="Arial" w:eastAsia="Arial" w:hAnsi="Arial"/>
                <w:sz w:val="18"/>
                <w:szCs w:val="18"/>
                <w:color w:val="auto"/>
              </w:rPr>
              <w:t>Restricted stock and performance shares</w:t>
            </w:r>
          </w:p>
        </w:tc>
        <w:tc>
          <w:tcPr>
            <w:tcW w:w="160" w:type="dxa"/>
            <w:vAlign w:val="bottom"/>
          </w:tcPr>
          <w:p>
            <w:pPr>
              <w:spacing w:after="0"/>
              <w:rPr>
                <w:sz w:val="17"/>
                <w:szCs w:val="17"/>
                <w:color w:val="auto"/>
              </w:rPr>
            </w:pPr>
          </w:p>
        </w:tc>
        <w:tc>
          <w:tcPr>
            <w:tcW w:w="108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7,087</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6,186</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Convertible securities</w:t>
            </w: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1,992</w:t>
            </w: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14"/>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0"/>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Adjusted weighted average shares outstanding</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879,520</w:t>
            </w: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rPr>
              <w:t>895,542</w:t>
            </w: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952,941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Earnings per Share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294"/>
              <w:spacing w:after="0" w:line="196" w:lineRule="exact"/>
              <w:rPr>
                <w:sz w:val="20"/>
                <w:szCs w:val="20"/>
                <w:color w:val="auto"/>
              </w:rPr>
            </w:pPr>
            <w:r>
              <w:rPr>
                <w:rFonts w:ascii="Arial" w:cs="Arial" w:eastAsia="Arial" w:hAnsi="Arial"/>
                <w:sz w:val="18"/>
                <w:szCs w:val="18"/>
                <w:b w:val="1"/>
                <w:bCs w:val="1"/>
                <w:color w:val="auto"/>
              </w:rPr>
              <w:t>0.55</w:t>
            </w:r>
          </w:p>
        </w:tc>
        <w:tc>
          <w:tcPr>
            <w:tcW w:w="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14"/>
              <w:spacing w:after="0" w:line="196" w:lineRule="exact"/>
              <w:rPr>
                <w:sz w:val="20"/>
                <w:szCs w:val="20"/>
                <w:color w:val="auto"/>
              </w:rPr>
            </w:pPr>
            <w:r>
              <w:rPr>
                <w:rFonts w:ascii="Arial" w:cs="Arial" w:eastAsia="Arial" w:hAnsi="Arial"/>
                <w:sz w:val="18"/>
                <w:szCs w:val="18"/>
                <w:b w:val="1"/>
                <w:bCs w:val="1"/>
                <w:color w:val="auto"/>
              </w:rPr>
              <w:t>0.26</w:t>
            </w:r>
          </w:p>
        </w:tc>
        <w:tc>
          <w:tcPr>
            <w:tcW w:w="68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430"/>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294"/>
              <w:spacing w:after="0"/>
              <w:rPr>
                <w:sz w:val="20"/>
                <w:szCs w:val="20"/>
                <w:color w:val="auto"/>
              </w:rPr>
            </w:pPr>
            <w:r>
              <w:rPr>
                <w:rFonts w:ascii="Arial" w:cs="Arial" w:eastAsia="Arial" w:hAnsi="Arial"/>
                <w:sz w:val="18"/>
                <w:szCs w:val="18"/>
                <w:b w:val="1"/>
                <w:bCs w:val="1"/>
                <w:color w:val="auto"/>
              </w:rPr>
              <w:t>0.17</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14"/>
              <w:spacing w:after="0"/>
              <w:rPr>
                <w:sz w:val="20"/>
                <w:szCs w:val="20"/>
                <w:color w:val="auto"/>
              </w:rPr>
            </w:pPr>
            <w:r>
              <w:rPr>
                <w:rFonts w:ascii="Arial" w:cs="Arial" w:eastAsia="Arial" w:hAnsi="Arial"/>
                <w:sz w:val="18"/>
                <w:szCs w:val="18"/>
                <w:b w:val="1"/>
                <w:bCs w:val="1"/>
                <w:color w:val="auto"/>
              </w:rPr>
              <w:t>0.17</w:t>
            </w:r>
          </w:p>
        </w:tc>
        <w:tc>
          <w:tcPr>
            <w:tcW w:w="6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b w:val="1"/>
                <w:bCs w:val="1"/>
                <w:color w:val="auto"/>
              </w:rPr>
              <w:t>0.0425</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2009, 2008 and 2007 computation of diluted earnings per share did not include the effects of 39 million, 29 million and 23 million stock options, respectively, because their respective exercise prices were greater than the corresponding market value per share of our common stock. In addition, the common shares issuable with respect to convertible securities were not included in the 2008 computation of diluted EPS because to do so would have been anti-dilutive.</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Note 19 – Subsequent Events</w:t>
      </w:r>
    </w:p>
    <w:p>
      <w:pPr>
        <w:spacing w:after="0" w:line="207"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On January 20, 2010, we acquired Irish Business Systems (“IBS”) for approximately $31. This acquisition expands our reach into the small and mid-sized business market in Ireland. IBS has eight offices located throughout Ireland and is a managed print services provider and the largest independent supplier of digital imaging and printing solutions in Ireland.</w:t>
      </w:r>
    </w:p>
    <w:p>
      <w:pPr>
        <w:spacing w:after="0" w:line="15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On February 5, 2010, we completed the acquisition of ACS. Refer to Note 3-Acquisitions, Note 11-Debt and Note 17-Shareholders’ Equity for further information regarding the acquisition and funding associated with it.</w:t>
      </w:r>
    </w:p>
    <w:p>
      <w:pPr>
        <w:spacing w:after="0" w:line="155"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On February 25, 2010, we provided notice of termination for convenience of the Amended and Restated Program Agreement dated as of October 27, 2005 (as amended to date, the “Program Agreement”) by and among General Electric Capital Corporation (“GECC”), Xerox, Xerox Lease Funding LLC, and Xerox Lease Equipment LLC. The Program</w:t>
      </w:r>
    </w:p>
    <w:p>
      <w:pPr>
        <w:spacing w:after="0" w:line="141"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83</w:t>
      </w:r>
    </w:p>
    <w:p>
      <w:pPr>
        <w:sectPr>
          <w:pgSz w:w="11900" w:h="16838" w:orient="portrait"/>
          <w:cols w:equalWidth="0" w:num="1">
            <w:col w:w="11420"/>
          </w:cols>
          <w:pgMar w:left="240" w:top="291" w:right="239" w:bottom="1440" w:gutter="0" w:footer="0" w:header="0"/>
        </w:sectPr>
      </w:pPr>
    </w:p>
    <w:bookmarkStart w:id="166" w:name="page167"/>
    <w:bookmarkEnd w:id="166"/>
    <w:p>
      <w:pPr>
        <w:ind w:right="10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will terminate effective no later than August 25, 2010. Termination of the Program Agreement will result in the termination of other agreements relating to our vendor finance relationship with GECC, including the Amended and Restated Loan Agreement dated as of October 21, 2002 (as amended to date the “Loan Agreement”) between Xerox Lease Funding LLC and GECC. As of December 31, 2009, approximately $2 was outstanding under the Loan Agreement and as of February 16, 2010 all amounts outstanding under the Loan Agreement had been repaid.</w:t>
      </w:r>
    </w:p>
    <w:p>
      <w:pPr>
        <w:spacing w:after="0" w:line="11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84</w:t>
      </w:r>
    </w:p>
    <w:p>
      <w:pPr>
        <w:sectPr>
          <w:pgSz w:w="11900" w:h="16838" w:orient="portrait"/>
          <w:cols w:equalWidth="0" w:num="1">
            <w:col w:w="11420"/>
          </w:cols>
          <w:pgMar w:left="240" w:top="291" w:right="2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REPORTS OF MANAGEMENT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Management’s Responsibility for Financial Statements</w:t>
      </w:r>
    </w:p>
    <w:p>
      <w:pPr>
        <w:spacing w:after="0" w:line="17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management is responsible for the integrity and objectivity of all information presented in this annual report.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15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Audit Committee of the Board of Directors, which is composed solely of independent directors, meets regularly with the independent auditors,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auditors. The independent auditors and internal auditors have free access to the Audit Committee.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Management’s Report on Internal Control Over Financial Reporting</w:t>
      </w:r>
    </w:p>
    <w:p>
      <w:pPr>
        <w:spacing w:after="0" w:line="1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the rules promulgated under the Securities Exchange Act of 1934. Under the supervision and with the participation of our management, including our principal executive, financial and accounting officers, we have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15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Based on the above evaluation, management has concluded that our internal control over financial reporting was effective as of December 31,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  U</w:t>
            </w:r>
            <w:r>
              <w:rPr>
                <w:rFonts w:ascii="Arial" w:cs="Arial" w:eastAsia="Arial" w:hAnsi="Arial"/>
                <w:sz w:val="14"/>
                <w:szCs w:val="14"/>
                <w:color w:val="auto"/>
              </w:rPr>
              <w:t>RSULA</w:t>
            </w:r>
            <w:r>
              <w:rPr>
                <w:rFonts w:ascii="Arial" w:cs="Arial" w:eastAsia="Arial" w:hAnsi="Arial"/>
                <w:sz w:val="18"/>
                <w:szCs w:val="18"/>
                <w:color w:val="auto"/>
              </w:rPr>
              <w:t xml:space="preserve"> M. B</w:t>
            </w:r>
            <w:r>
              <w:rPr>
                <w:rFonts w:ascii="Arial" w:cs="Arial" w:eastAsia="Arial" w:hAnsi="Arial"/>
                <w:sz w:val="14"/>
                <w:szCs w:val="14"/>
                <w:color w:val="auto"/>
              </w:rPr>
              <w:t>URNS</w:t>
            </w:r>
          </w:p>
        </w:tc>
        <w:tc>
          <w:tcPr>
            <w:tcW w:w="260" w:type="dxa"/>
            <w:vAlign w:val="bottom"/>
          </w:tcPr>
          <w:p>
            <w:pPr>
              <w:spacing w:after="0"/>
              <w:rPr>
                <w:sz w:val="17"/>
                <w:szCs w:val="17"/>
                <w:color w:val="auto"/>
              </w:rPr>
            </w:pPr>
          </w:p>
        </w:tc>
        <w:tc>
          <w:tcPr>
            <w:tcW w:w="36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AWRENCE</w:t>
            </w:r>
            <w:r>
              <w:rPr>
                <w:rFonts w:ascii="Arial" w:cs="Arial" w:eastAsia="Arial" w:hAnsi="Arial"/>
                <w:sz w:val="18"/>
                <w:szCs w:val="18"/>
                <w:color w:val="auto"/>
              </w:rPr>
              <w:t xml:space="preserve"> A. Z</w:t>
            </w:r>
            <w:r>
              <w:rPr>
                <w:rFonts w:ascii="Arial" w:cs="Arial" w:eastAsia="Arial" w:hAnsi="Arial"/>
                <w:sz w:val="14"/>
                <w:szCs w:val="14"/>
                <w:color w:val="auto"/>
              </w:rPr>
              <w:t>IMMERMAN</w:t>
            </w:r>
          </w:p>
        </w:tc>
        <w:tc>
          <w:tcPr>
            <w:tcW w:w="200" w:type="dxa"/>
            <w:vAlign w:val="bottom"/>
          </w:tcPr>
          <w:p>
            <w:pPr>
              <w:spacing w:after="0"/>
              <w:rPr>
                <w:sz w:val="17"/>
                <w:szCs w:val="17"/>
                <w:color w:val="auto"/>
              </w:rPr>
            </w:pPr>
          </w:p>
        </w:tc>
        <w:tc>
          <w:tcPr>
            <w:tcW w:w="36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R. K</w:t>
            </w:r>
            <w:r>
              <w:rPr>
                <w:rFonts w:ascii="Arial" w:cs="Arial" w:eastAsia="Arial" w:hAnsi="Arial"/>
                <w:sz w:val="14"/>
                <w:szCs w:val="14"/>
                <w:color w:val="auto"/>
              </w:rPr>
              <w:t>ABURECK</w:t>
            </w:r>
          </w:p>
        </w:tc>
      </w:tr>
      <w:tr>
        <w:trPr>
          <w:trHeight w:val="172"/>
        </w:trPr>
        <w:tc>
          <w:tcPr>
            <w:tcW w:w="3660" w:type="dxa"/>
            <w:vAlign w:val="bottom"/>
          </w:tcPr>
          <w:p>
            <w:pPr>
              <w:ind w:left="1140"/>
              <w:spacing w:after="0"/>
              <w:rPr>
                <w:sz w:val="20"/>
                <w:szCs w:val="20"/>
                <w:color w:val="auto"/>
              </w:rPr>
            </w:pPr>
            <w:r>
              <w:rPr>
                <w:rFonts w:ascii="Arial" w:cs="Arial" w:eastAsia="Arial" w:hAnsi="Arial"/>
                <w:sz w:val="14"/>
                <w:szCs w:val="14"/>
                <w:b w:val="1"/>
                <w:bCs w:val="1"/>
                <w:color w:val="auto"/>
              </w:rPr>
              <w:t>Chief Executive Officer</w:t>
            </w:r>
          </w:p>
        </w:tc>
        <w:tc>
          <w:tcPr>
            <w:tcW w:w="260" w:type="dxa"/>
            <w:vAlign w:val="bottom"/>
          </w:tcPr>
          <w:p>
            <w:pPr>
              <w:spacing w:after="0"/>
              <w:rPr>
                <w:sz w:val="14"/>
                <w:szCs w:val="14"/>
                <w:color w:val="auto"/>
              </w:rPr>
            </w:pPr>
          </w:p>
        </w:tc>
        <w:tc>
          <w:tcPr>
            <w:tcW w:w="3660" w:type="dxa"/>
            <w:vAlign w:val="bottom"/>
          </w:tcPr>
          <w:p>
            <w:pPr>
              <w:ind w:left="1200"/>
              <w:spacing w:after="0"/>
              <w:rPr>
                <w:sz w:val="20"/>
                <w:szCs w:val="20"/>
                <w:color w:val="auto"/>
              </w:rPr>
            </w:pPr>
            <w:r>
              <w:rPr>
                <w:rFonts w:ascii="Arial" w:cs="Arial" w:eastAsia="Arial" w:hAnsi="Arial"/>
                <w:sz w:val="14"/>
                <w:szCs w:val="14"/>
                <w:b w:val="1"/>
                <w:bCs w:val="1"/>
                <w:color w:val="auto"/>
              </w:rPr>
              <w:t>Chief Financial Officer</w:t>
            </w:r>
          </w:p>
        </w:tc>
        <w:tc>
          <w:tcPr>
            <w:tcW w:w="200" w:type="dxa"/>
            <w:vAlign w:val="bottom"/>
          </w:tcPr>
          <w:p>
            <w:pPr>
              <w:spacing w:after="0"/>
              <w:rPr>
                <w:sz w:val="14"/>
                <w:szCs w:val="14"/>
                <w:color w:val="auto"/>
              </w:rPr>
            </w:pPr>
          </w:p>
        </w:tc>
        <w:tc>
          <w:tcPr>
            <w:tcW w:w="3640" w:type="dxa"/>
            <w:vAlign w:val="bottom"/>
          </w:tcPr>
          <w:p>
            <w:pPr>
              <w:ind w:left="1120"/>
              <w:spacing w:after="0"/>
              <w:rPr>
                <w:sz w:val="20"/>
                <w:szCs w:val="20"/>
                <w:color w:val="auto"/>
              </w:rPr>
            </w:pPr>
            <w:r>
              <w:rPr>
                <w:rFonts w:ascii="Arial" w:cs="Arial" w:eastAsia="Arial" w:hAnsi="Arial"/>
                <w:sz w:val="14"/>
                <w:szCs w:val="14"/>
                <w:b w:val="1"/>
                <w:bCs w:val="1"/>
                <w:color w:val="auto"/>
              </w:rPr>
              <w:t>Chief Accounting Officer</w:t>
            </w:r>
          </w:p>
        </w:tc>
      </w:tr>
      <w:tr>
        <w:trPr>
          <w:trHeight w:val="333"/>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ind w:left="1220"/>
              <w:spacing w:after="0"/>
              <w:rPr>
                <w:sz w:val="20"/>
                <w:szCs w:val="20"/>
                <w:color w:val="auto"/>
              </w:rPr>
            </w:pPr>
            <w:r>
              <w:rPr>
                <w:rFonts w:ascii="Arial" w:cs="Arial" w:eastAsia="Arial" w:hAnsi="Arial"/>
                <w:sz w:val="18"/>
                <w:szCs w:val="18"/>
                <w:color w:val="1269BC"/>
                <w:w w:val="99"/>
              </w:rPr>
              <w:t>Xerox 2009 Annual Report  85</w:t>
            </w:r>
          </w:p>
        </w:tc>
      </w:tr>
    </w:tbl>
    <w:p>
      <w:pPr>
        <w:sectPr>
          <w:pgSz w:w="11900" w:h="16838" w:orient="portrait"/>
          <w:cols w:equalWidth="0" w:num="1">
            <w:col w:w="11420"/>
          </w:cols>
          <w:pgMar w:left="240" w:top="256" w:right="2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Xerox Corporation:</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In our opinion, the accompanying consolidated balance sheets and the related consolidated statements of income, cash flows and shareholders’ equity present fairly, in all material respects, the financial position of Xerox Corporation and its subsidiaries at December 31, 2009 and 2008, and the results of their operations and their cash flows for each of the three years in the period ended December 31, 2009 in conformity with accounting principles generally accepted in the United States of America. Also in our opinion, the Company maintained, in all material respects, effective internal control over financial reporting as of December 31, 2009,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u w:val="single" w:color="auto"/>
          <w:color w:val="auto"/>
        </w:rPr>
        <w:t>/s/</w:t>
        <w:tab/>
        <w:t>P</w:t>
      </w:r>
      <w:r>
        <w:rPr>
          <w:rFonts w:ascii="Arial" w:cs="Arial" w:eastAsia="Arial" w:hAnsi="Arial"/>
          <w:sz w:val="14"/>
          <w:szCs w:val="14"/>
          <w:u w:val="single" w:color="auto"/>
          <w:color w:val="auto"/>
        </w:rPr>
        <w:t>RICEWATERHOUSE</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OOPERS</w:t>
      </w:r>
      <w:r>
        <w:rPr>
          <w:rFonts w:ascii="Arial" w:cs="Arial" w:eastAsia="Arial" w:hAnsi="Arial"/>
          <w:sz w:val="18"/>
          <w:szCs w:val="18"/>
          <w:u w:val="single" w:color="auto"/>
          <w:color w:val="auto"/>
        </w:rPr>
        <w:t xml:space="preserve"> LLP</w:t>
      </w:r>
    </w:p>
    <w:p>
      <w:pPr>
        <w:spacing w:after="0" w:line="234" w:lineRule="auto"/>
        <w:rPr>
          <w:sz w:val="20"/>
          <w:szCs w:val="20"/>
          <w:color w:val="auto"/>
        </w:rPr>
      </w:pPr>
      <w:r>
        <w:rPr>
          <w:rFonts w:ascii="Arial" w:cs="Arial" w:eastAsia="Arial" w:hAnsi="Arial"/>
          <w:sz w:val="18"/>
          <w:szCs w:val="18"/>
          <w:b w:val="1"/>
          <w:bCs w:val="1"/>
          <w:color w:val="auto"/>
        </w:rPr>
        <w:t>PricewaterhouseCoopers LLP</w:t>
      </w:r>
    </w:p>
    <w:p>
      <w:pPr>
        <w:ind w:left="20"/>
        <w:spacing w:after="0" w:line="235" w:lineRule="auto"/>
        <w:rPr>
          <w:sz w:val="20"/>
          <w:szCs w:val="20"/>
          <w:color w:val="auto"/>
        </w:rPr>
      </w:pPr>
      <w:r>
        <w:rPr>
          <w:rFonts w:ascii="Arial" w:cs="Arial" w:eastAsia="Arial" w:hAnsi="Arial"/>
          <w:sz w:val="18"/>
          <w:szCs w:val="18"/>
          <w:color w:val="auto"/>
        </w:rPr>
        <w:t>Stamford, Connecticut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2010</w:t>
      </w:r>
    </w:p>
    <w:p>
      <w:pPr>
        <w:spacing w:after="0" w:line="1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86</w:t>
      </w:r>
    </w:p>
    <w:p>
      <w:pPr>
        <w:sectPr>
          <w:pgSz w:w="11900" w:h="16838" w:orient="portrait"/>
          <w:cols w:equalWidth="0" w:num="1">
            <w:col w:w="11420"/>
          </w:cols>
          <w:pgMar w:left="240" w:top="256" w:right="23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QUARTERLY RESULTS OF OPERATIONS (Unaudited)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(in millions, except per-share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4"/>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Fourth</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Full</w:t>
            </w:r>
          </w:p>
        </w:tc>
      </w:tr>
      <w:tr>
        <w:trPr>
          <w:trHeight w:val="165"/>
        </w:trPr>
        <w:tc>
          <w:tcPr>
            <w:tcW w:w="6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Year</w:t>
            </w: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2009</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3,554</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3,731</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3,675</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4,219</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15,179</w:t>
            </w:r>
          </w:p>
        </w:tc>
      </w:tr>
      <w:tr>
        <w:trPr>
          <w:trHeight w:val="203"/>
        </w:trPr>
        <w:tc>
          <w:tcPr>
            <w:tcW w:w="6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Costs and Expenses </w:t>
            </w:r>
            <w:r>
              <w:rPr>
                <w:rFonts w:ascii="Arial" w:cs="Arial" w:eastAsia="Arial" w:hAnsi="Arial"/>
                <w:sz w:val="22"/>
                <w:szCs w:val="22"/>
                <w:color w:val="auto"/>
                <w:vertAlign w:val="superscript"/>
              </w:rPr>
              <w:t>(1)</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3,476</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3,534</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3,517</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4,025</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14,552</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Income before Income Taxes and Equity Income</w:t>
            </w:r>
          </w:p>
        </w:tc>
        <w:tc>
          <w:tcPr>
            <w:tcW w:w="14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627</w:t>
            </w:r>
          </w:p>
        </w:tc>
      </w:tr>
      <w:tr>
        <w:trPr>
          <w:trHeight w:val="203"/>
        </w:trPr>
        <w:tc>
          <w:tcPr>
            <w:tcW w:w="6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Income tax expenses </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152</w:t>
            </w:r>
          </w:p>
        </w:tc>
      </w:tr>
      <w:tr>
        <w:trPr>
          <w:trHeight w:val="210"/>
        </w:trPr>
        <w:tc>
          <w:tcPr>
            <w:tcW w:w="6180" w:type="dxa"/>
            <w:vAlign w:val="bottom"/>
          </w:tcPr>
          <w:p>
            <w:pPr>
              <w:spacing w:after="0" w:line="203" w:lineRule="exact"/>
              <w:rPr>
                <w:sz w:val="20"/>
                <w:szCs w:val="20"/>
                <w:color w:val="auto"/>
              </w:rPr>
            </w:pPr>
            <w:r>
              <w:rPr>
                <w:rFonts w:ascii="Arial" w:cs="Arial" w:eastAsia="Arial" w:hAnsi="Arial"/>
                <w:sz w:val="18"/>
                <w:szCs w:val="18"/>
                <w:color w:val="auto"/>
              </w:rPr>
              <w:t xml:space="preserve">Equity in net (loss) income of unconsolidated affiliates </w:t>
            </w:r>
            <w:r>
              <w:rPr>
                <w:rFonts w:ascii="Arial" w:cs="Arial" w:eastAsia="Arial" w:hAnsi="Arial"/>
                <w:sz w:val="22"/>
                <w:szCs w:val="22"/>
                <w:color w:val="auto"/>
                <w:vertAlign w:val="superscript"/>
              </w:rPr>
              <w:t>(3)</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41</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516</w:t>
            </w:r>
          </w:p>
        </w:tc>
      </w:tr>
      <w:tr>
        <w:trPr>
          <w:trHeight w:val="210"/>
        </w:trPr>
        <w:tc>
          <w:tcPr>
            <w:tcW w:w="6180" w:type="dxa"/>
            <w:vAlign w:val="bottom"/>
          </w:tcPr>
          <w:p>
            <w:pPr>
              <w:spacing w:after="0" w:line="202" w:lineRule="exact"/>
              <w:rPr>
                <w:sz w:val="20"/>
                <w:szCs w:val="20"/>
                <w:color w:val="auto"/>
              </w:rPr>
            </w:pPr>
            <w:r>
              <w:rPr>
                <w:rFonts w:ascii="Arial" w:cs="Arial" w:eastAsia="Arial" w:hAnsi="Arial"/>
                <w:sz w:val="18"/>
                <w:szCs w:val="18"/>
                <w:color w:val="auto"/>
              </w:rPr>
              <w:t>Less: Net income - noncontrolling interests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31</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Xerox</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140</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123</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180</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485</w:t>
            </w:r>
          </w:p>
        </w:tc>
      </w:tr>
      <w:tr>
        <w:trPr>
          <w:trHeight w:val="20"/>
        </w:trPr>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1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0.05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0.21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0.56</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0.05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0.16</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0.14</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0.20</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0.55</w:t>
            </w:r>
          </w:p>
        </w:tc>
      </w:tr>
      <w:tr>
        <w:trPr>
          <w:trHeight w:val="419"/>
        </w:trPr>
        <w:tc>
          <w:tcPr>
            <w:tcW w:w="618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4,335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4,533</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4,370</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4,370</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17,608</w:t>
            </w:r>
          </w:p>
        </w:tc>
      </w:tr>
      <w:tr>
        <w:trPr>
          <w:trHeight w:val="210"/>
        </w:trPr>
        <w:tc>
          <w:tcPr>
            <w:tcW w:w="6180" w:type="dxa"/>
            <w:vAlign w:val="bottom"/>
          </w:tcPr>
          <w:p>
            <w:pPr>
              <w:spacing w:after="0" w:line="203" w:lineRule="exact"/>
              <w:rPr>
                <w:sz w:val="20"/>
                <w:szCs w:val="20"/>
                <w:color w:val="auto"/>
              </w:rPr>
            </w:pPr>
            <w:r>
              <w:rPr>
                <w:rFonts w:ascii="Arial" w:cs="Arial" w:eastAsia="Arial" w:hAnsi="Arial"/>
                <w:sz w:val="18"/>
                <w:szCs w:val="18"/>
                <w:color w:val="auto"/>
              </w:rPr>
              <w:t xml:space="preserve">Costs and Expenses </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4,844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4,279</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4,123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4,441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17,687</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Income before Income Taxes and Equity Income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(509)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(79)</w:t>
            </w:r>
          </w:p>
        </w:tc>
      </w:tr>
      <w:tr>
        <w:trPr>
          <w:trHeight w:val="203"/>
        </w:trPr>
        <w:tc>
          <w:tcPr>
            <w:tcW w:w="6180" w:type="dxa"/>
            <w:vAlign w:val="bottom"/>
          </w:tcPr>
          <w:p>
            <w:pPr>
              <w:spacing w:after="0" w:line="203" w:lineRule="exact"/>
              <w:rPr>
                <w:sz w:val="20"/>
                <w:szCs w:val="20"/>
                <w:color w:val="auto"/>
              </w:rPr>
            </w:pPr>
            <w:r>
              <w:rPr>
                <w:rFonts w:ascii="Arial" w:cs="Arial" w:eastAsia="Arial" w:hAnsi="Arial"/>
                <w:sz w:val="18"/>
                <w:szCs w:val="18"/>
                <w:color w:val="auto"/>
              </w:rPr>
              <w:t xml:space="preserve">Income tax (benefits) expenses </w:t>
            </w:r>
            <w:r>
              <w:rPr>
                <w:rFonts w:ascii="Arial" w:cs="Arial" w:eastAsia="Arial" w:hAnsi="Arial"/>
                <w:sz w:val="22"/>
                <w:szCs w:val="22"/>
                <w:color w:val="auto"/>
                <w:vertAlign w:val="superscript"/>
              </w:rPr>
              <w:t>(2)</w:t>
            </w:r>
          </w:p>
        </w:tc>
        <w:tc>
          <w:tcPr>
            <w:tcW w:w="14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(231)</w:t>
            </w:r>
          </w:p>
        </w:tc>
      </w:tr>
      <w:tr>
        <w:trPr>
          <w:trHeight w:val="203"/>
        </w:trPr>
        <w:tc>
          <w:tcPr>
            <w:tcW w:w="6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Equity in net income of unconsolidated affiliates </w:t>
            </w:r>
            <w:r>
              <w:rPr>
                <w:rFonts w:ascii="Arial" w:cs="Arial" w:eastAsia="Arial" w:hAnsi="Arial"/>
                <w:sz w:val="22"/>
                <w:szCs w:val="22"/>
                <w:color w:val="auto"/>
                <w:vertAlign w:val="superscript"/>
              </w:rPr>
              <w:t>(3)</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113</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265</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Net income -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35</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Net (Loss) Income Attributable to Xerox</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258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230</w:t>
            </w:r>
          </w:p>
        </w:tc>
      </w:tr>
      <w:tr>
        <w:trPr>
          <w:trHeight w:val="20"/>
        </w:trPr>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6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Basic (Loss) Earnings per Share </w:t>
            </w:r>
            <w:r>
              <w:rPr>
                <w:rFonts w:ascii="Arial" w:cs="Arial" w:eastAsia="Arial" w:hAnsi="Arial"/>
                <w:sz w:val="22"/>
                <w:szCs w:val="22"/>
                <w:color w:val="auto"/>
                <w:vertAlign w:val="superscript"/>
              </w:rPr>
              <w:t>(4)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(0.27)</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0.24</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0.30</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0.26</w:t>
            </w:r>
          </w:p>
        </w:tc>
      </w:tr>
      <w:tr>
        <w:trPr>
          <w:trHeight w:val="293"/>
        </w:trPr>
        <w:tc>
          <w:tcPr>
            <w:tcW w:w="6180" w:type="dxa"/>
            <w:vAlign w:val="bottom"/>
          </w:tcPr>
          <w:p>
            <w:pPr>
              <w:spacing w:after="0"/>
              <w:rPr>
                <w:sz w:val="20"/>
                <w:szCs w:val="20"/>
                <w:color w:val="auto"/>
              </w:rPr>
            </w:pPr>
            <w:r>
              <w:rPr>
                <w:rFonts w:ascii="Arial" w:cs="Arial" w:eastAsia="Arial" w:hAnsi="Arial"/>
                <w:sz w:val="18"/>
                <w:szCs w:val="18"/>
                <w:color w:val="auto"/>
              </w:rPr>
              <w:t xml:space="preserve">Diluted (Loss) Earnings per Share </w:t>
            </w:r>
            <w:r>
              <w:rPr>
                <w:rFonts w:ascii="Arial" w:cs="Arial" w:eastAsia="Arial" w:hAnsi="Arial"/>
                <w:sz w:val="22"/>
                <w:szCs w:val="22"/>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(0.27)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0.24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0.29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0.26</w:t>
            </w:r>
          </w:p>
        </w:tc>
      </w:tr>
    </w:tbl>
    <w:p>
      <w:pPr>
        <w:spacing w:after="0" w:line="58" w:lineRule="exact"/>
        <w:rPr>
          <w:sz w:val="20"/>
          <w:szCs w:val="20"/>
          <w:color w:val="auto"/>
        </w:rPr>
      </w:pPr>
    </w:p>
    <w:p>
      <w:pPr>
        <w:ind w:left="580" w:right="120" w:hanging="572"/>
        <w:spacing w:after="0" w:line="186" w:lineRule="auto"/>
        <w:tabs>
          <w:tab w:leader="none" w:pos="580" w:val="left"/>
        </w:tabs>
        <w:numPr>
          <w:ilvl w:val="0"/>
          <w:numId w:val="130"/>
        </w:numPr>
        <w:rPr>
          <w:rFonts w:ascii="Arial" w:cs="Arial" w:eastAsia="Arial" w:hAnsi="Arial"/>
          <w:sz w:val="22"/>
          <w:szCs w:val="22"/>
          <w:color w:val="auto"/>
          <w:vertAlign w:val="superscript"/>
        </w:rPr>
      </w:pPr>
      <w:r>
        <w:rPr>
          <w:rFonts w:ascii="Arial" w:cs="Arial" w:eastAsia="Arial" w:hAnsi="Arial"/>
          <w:sz w:val="14"/>
          <w:szCs w:val="14"/>
          <w:color w:val="auto"/>
        </w:rPr>
        <w:t>Costs and expenses include acquisition-related costs of $9 and $63 for the third and fourth quarters of 2009, respectively. Costs and expenses include charges for restructuring and asset impairments and an equipment write-off of $63, $14 and $388 for the second, third and fourth quarters of 2008, respectively. In addition, the first and fourth quarters of 2008 include $795 and $(21) for litigation matters.</w:t>
      </w:r>
    </w:p>
    <w:p>
      <w:pPr>
        <w:ind w:left="580" w:right="180" w:hanging="572"/>
        <w:spacing w:after="0" w:line="186" w:lineRule="auto"/>
        <w:tabs>
          <w:tab w:leader="none" w:pos="580" w:val="left"/>
        </w:tabs>
        <w:numPr>
          <w:ilvl w:val="0"/>
          <w:numId w:val="130"/>
        </w:numPr>
        <w:rPr>
          <w:rFonts w:ascii="Arial" w:cs="Arial" w:eastAsia="Arial" w:hAnsi="Arial"/>
          <w:sz w:val="22"/>
          <w:szCs w:val="22"/>
          <w:color w:val="auto"/>
          <w:vertAlign w:val="superscript"/>
        </w:rPr>
      </w:pPr>
      <w:r>
        <w:rPr>
          <w:rFonts w:ascii="Arial" w:cs="Arial" w:eastAsia="Arial" w:hAnsi="Arial"/>
          <w:sz w:val="14"/>
          <w:szCs w:val="14"/>
          <w:color w:val="auto"/>
        </w:rPr>
        <w:t>The third and fourth quarters of 2009 include $1 and $22, respectively, of tax benefits for acquisition-related costs. The first, second, third and fourth quarters of 2008 include $304, $20, $5 and $124 of tax benefits, respectively, from the above noted charges. Third quarter 2008 also included a $41 income tax benefit from the settlement of certain previously unrecognized tax benefits.</w:t>
      </w:r>
    </w:p>
    <w:p>
      <w:pPr>
        <w:ind w:left="580" w:right="140" w:hanging="572"/>
        <w:spacing w:after="0" w:line="182" w:lineRule="auto"/>
        <w:tabs>
          <w:tab w:leader="none" w:pos="580" w:val="left"/>
        </w:tabs>
        <w:numPr>
          <w:ilvl w:val="0"/>
          <w:numId w:val="130"/>
        </w:numPr>
        <w:rPr>
          <w:rFonts w:ascii="Arial" w:cs="Arial" w:eastAsia="Arial" w:hAnsi="Arial"/>
          <w:sz w:val="21"/>
          <w:szCs w:val="21"/>
          <w:color w:val="auto"/>
          <w:vertAlign w:val="superscript"/>
        </w:rPr>
      </w:pPr>
      <w:r>
        <w:rPr>
          <w:rFonts w:ascii="Arial" w:cs="Arial" w:eastAsia="Arial" w:hAnsi="Arial"/>
          <w:sz w:val="13"/>
          <w:szCs w:val="13"/>
          <w:color w:val="auto"/>
        </w:rPr>
        <w:t>The first, second, third and fourth quarters of 2009 include $22, $9, $9 and $6 of charges, respectively, for our share of Fuji Xerox restructuring charges. The first, second, third and fourth quarters of 2008 include $10, $3, $2 and $1 of charges, respectively, for our share of Fuji Xerox restructuring charges.</w:t>
      </w:r>
    </w:p>
    <w:p>
      <w:pPr>
        <w:ind w:left="580" w:right="40" w:hanging="572"/>
        <w:spacing w:after="0" w:line="180" w:lineRule="auto"/>
        <w:tabs>
          <w:tab w:leader="none" w:pos="580" w:val="left"/>
        </w:tabs>
        <w:numPr>
          <w:ilvl w:val="0"/>
          <w:numId w:val="130"/>
        </w:numPr>
        <w:rPr>
          <w:rFonts w:ascii="Arial" w:cs="Arial" w:eastAsia="Arial" w:hAnsi="Arial"/>
          <w:sz w:val="22"/>
          <w:szCs w:val="22"/>
          <w:color w:val="auto"/>
          <w:vertAlign w:val="superscript"/>
        </w:rPr>
      </w:pPr>
      <w:r>
        <w:rPr>
          <w:rFonts w:ascii="Arial" w:cs="Arial" w:eastAsia="Arial" w:hAnsi="Arial"/>
          <w:sz w:val="14"/>
          <w:szCs w:val="14"/>
          <w:color w:val="auto"/>
        </w:rPr>
        <w:t>The sum of quarterly earnings per share may differ from the full-year amounts due to rounding, or in the case of diluted earnings per share, because securities that are anti-dilutive in certain quarters may not be anti-dilutive on a full-year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-976630</wp:posOffset>
            </wp:positionV>
            <wp:extent cx="7289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87</w:t>
      </w:r>
    </w:p>
    <w:p>
      <w:pPr>
        <w:sectPr>
          <w:pgSz w:w="11900" w:h="16838" w:orient="portrait"/>
          <w:cols w:equalWidth="0" w:num="1">
            <w:col w:w="11420"/>
          </w:cols>
          <w:pgMar w:left="240" w:top="256" w:right="2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FIVE YEARS IN REVIEW</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(in millions, except per-share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r>
              <w:rPr>
                <w:rFonts w:ascii="Arial" w:cs="Arial" w:eastAsia="Arial" w:hAnsi="Arial"/>
                <w:sz w:val="22"/>
                <w:szCs w:val="22"/>
                <w:b w:val="1"/>
                <w:bCs w:val="1"/>
                <w:color w:val="auto"/>
                <w:vertAlign w:val="superscript"/>
              </w:rPr>
              <w:t>(2)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Per-Share Data</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4"/>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0.56</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0.26</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1.21</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1.25</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0.55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0.26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1.19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Earnings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Basic</w:t>
            </w:r>
          </w:p>
        </w:tc>
        <w:tc>
          <w:tcPr>
            <w:tcW w:w="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0.56</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0.26</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1.21</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1.25</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0.55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0.26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4"/>
        </w:trPr>
        <w:tc>
          <w:tcPr>
            <w:tcW w:w="4800" w:type="dxa"/>
            <w:vAlign w:val="bottom"/>
            <w:gridSpan w:val="4"/>
          </w:tcPr>
          <w:p>
            <w:pPr>
              <w:spacing w:after="0"/>
              <w:rPr>
                <w:sz w:val="20"/>
                <w:szCs w:val="20"/>
                <w:color w:val="auto"/>
              </w:rPr>
            </w:pPr>
            <w:r>
              <w:rPr>
                <w:rFonts w:ascii="Arial" w:cs="Arial" w:eastAsia="Arial" w:hAnsi="Arial"/>
                <w:sz w:val="18"/>
                <w:szCs w:val="18"/>
                <w:color w:val="auto"/>
              </w:rPr>
              <w:t>Common stock dividends declared</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0.17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0.17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0.0425</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40" w:type="dxa"/>
            <w:vAlign w:val="bottom"/>
            <w:gridSpan w:val="2"/>
          </w:tcPr>
          <w:p>
            <w:pPr>
              <w:spacing w:after="0"/>
              <w:rPr>
                <w:sz w:val="17"/>
                <w:szCs w:val="17"/>
                <w:color w:val="auto"/>
              </w:rPr>
            </w:pPr>
          </w:p>
        </w:tc>
        <w:tc>
          <w:tcPr>
            <w:tcW w:w="3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Operations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4"/>
          </w:tcPr>
          <w:p>
            <w:pPr>
              <w:spacing w:after="0" w:line="202" w:lineRule="exact"/>
              <w:rPr>
                <w:sz w:val="20"/>
                <w:szCs w:val="20"/>
                <w:color w:val="auto"/>
              </w:rPr>
            </w:pPr>
            <w:r>
              <w:rPr>
                <w:rFonts w:ascii="Arial" w:cs="Arial" w:eastAsia="Arial" w:hAnsi="Arial"/>
                <w:sz w:val="18"/>
                <w:szCs w:val="18"/>
                <w:color w:val="auto"/>
              </w:rPr>
              <w:t>Revenues</w:t>
            </w:r>
          </w:p>
        </w:tc>
        <w:tc>
          <w:tcPr>
            <w:tcW w:w="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15,179</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17,608</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17,228</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15,895</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15,701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6,646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8,325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8,192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7,464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Service, outsourcing and rentals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7,820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8,485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8,214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7,591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Finance income</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713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798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822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3"/>
        </w:trPr>
        <w:tc>
          <w:tcPr>
            <w:tcW w:w="4800" w:type="dxa"/>
            <w:vAlign w:val="bottom"/>
            <w:gridSpan w:val="4"/>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516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265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1,165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1,232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 Xerox</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1,135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1,210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3"/>
        </w:trPr>
        <w:tc>
          <w:tcPr>
            <w:tcW w:w="4800" w:type="dxa"/>
            <w:vAlign w:val="bottom"/>
            <w:gridSpan w:val="4"/>
          </w:tcPr>
          <w:p>
            <w:pPr>
              <w:spacing w:after="0" w:line="202" w:lineRule="exact"/>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516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265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1,165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1,232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income - Xerox</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1,135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1,210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419"/>
        </w:trPr>
        <w:tc>
          <w:tcPr>
            <w:tcW w:w="4800" w:type="dxa"/>
            <w:vAlign w:val="bottom"/>
            <w:gridSpan w:val="4"/>
          </w:tcPr>
          <w:p>
            <w:pPr>
              <w:spacing w:after="0"/>
              <w:rPr>
                <w:sz w:val="20"/>
                <w:szCs w:val="20"/>
                <w:color w:val="auto"/>
              </w:rPr>
            </w:pPr>
            <w:r>
              <w:rPr>
                <w:rFonts w:ascii="Arial" w:cs="Arial" w:eastAsia="Arial" w:hAnsi="Arial"/>
                <w:sz w:val="18"/>
                <w:szCs w:val="18"/>
                <w:b w:val="1"/>
                <w:bCs w:val="1"/>
                <w:color w:val="auto"/>
              </w:rPr>
              <w:t>Financial Position</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p>
        </w:tc>
        <w:tc>
          <w:tcPr>
            <w:tcW w:w="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5,270</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2,700</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4,463</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4,056</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14"/>
        </w:trPr>
        <w:tc>
          <w:tcPr>
            <w:tcW w:w="480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24,032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22,447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23,543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21,709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21,953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40" w:type="dxa"/>
            <w:vAlign w:val="bottom"/>
            <w:gridSpan w:val="2"/>
          </w:tcPr>
          <w:p>
            <w:pPr>
              <w:spacing w:after="0"/>
              <w:rPr>
                <w:sz w:val="17"/>
                <w:szCs w:val="17"/>
                <w:color w:val="auto"/>
              </w:rPr>
            </w:pPr>
          </w:p>
        </w:tc>
        <w:tc>
          <w:tcPr>
            <w:tcW w:w="3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Capitalization</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4"/>
          </w:tcPr>
          <w:p>
            <w:pPr>
              <w:spacing w:after="0" w:line="202" w:lineRule="exact"/>
              <w:rPr>
                <w:sz w:val="20"/>
                <w:szCs w:val="20"/>
                <w:color w:val="auto"/>
              </w:rPr>
            </w:pPr>
            <w:r>
              <w:rPr>
                <w:rFonts w:ascii="Arial" w:cs="Arial" w:eastAsia="Arial" w:hAnsi="Arial"/>
                <w:sz w:val="18"/>
                <w:szCs w:val="18"/>
                <w:color w:val="auto"/>
              </w:rPr>
              <w:t>Short-term debt and current portion of long-term debt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988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1,610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525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1,485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8,276</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6,774</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6,939</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5,660</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6,139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2"/>
          </w:tcPr>
          <w:p>
            <w:pPr>
              <w:ind w:left="64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9,264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8,384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7,464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7,145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Liabilities to subsidiary trusts issuing preferred securities</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649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648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632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624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3"/>
        </w:trPr>
        <w:tc>
          <w:tcPr>
            <w:tcW w:w="4800" w:type="dxa"/>
            <w:vAlign w:val="bottom"/>
            <w:gridSpan w:val="4"/>
          </w:tcPr>
          <w:p>
            <w:pPr>
              <w:spacing w:after="0" w:line="202" w:lineRule="exact"/>
              <w:rPr>
                <w:sz w:val="20"/>
                <w:szCs w:val="20"/>
                <w:color w:val="auto"/>
              </w:rPr>
            </w:pPr>
            <w:r>
              <w:rPr>
                <w:rFonts w:ascii="Arial" w:cs="Arial" w:eastAsia="Arial" w:hAnsi="Arial"/>
                <w:sz w:val="18"/>
                <w:szCs w:val="18"/>
                <w:color w:val="auto"/>
              </w:rPr>
              <w:t>Series C mandatory convertible preferred stock</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Xerox shareholders’ equity</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7,050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6,238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8,588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7,080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10"/>
        </w:trPr>
        <w:tc>
          <w:tcPr>
            <w:tcW w:w="4800" w:type="dxa"/>
            <w:vAlign w:val="bottom"/>
            <w:gridSpan w:val="4"/>
          </w:tcPr>
          <w:p>
            <w:pPr>
              <w:spacing w:after="0" w:line="202" w:lineRule="exact"/>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b w:val="1"/>
                <w:bCs w:val="1"/>
                <w:color w:val="auto"/>
              </w:rPr>
              <w:t>Total Consolidated Capitalization</w:t>
            </w:r>
          </w:p>
        </w:tc>
        <w:tc>
          <w:tcPr>
            <w:tcW w:w="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b w:val="1"/>
                <w:bCs w:val="1"/>
                <w:color w:val="auto"/>
              </w:rPr>
              <w:t>17,104</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b w:val="1"/>
                <w:bCs w:val="1"/>
                <w:color w:val="auto"/>
              </w:rPr>
              <w:t>15,390</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b w:val="1"/>
                <w:bCs w:val="1"/>
                <w:color w:val="auto"/>
              </w:rPr>
              <w:t>16,787</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b w:val="1"/>
                <w:bCs w:val="1"/>
                <w:color w:val="auto"/>
              </w:rPr>
              <w:t>14,957</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b w:val="1"/>
                <w:bCs w:val="1"/>
                <w:color w:val="auto"/>
              </w:rPr>
              <w:t>15,300</w:t>
            </w:r>
          </w:p>
        </w:tc>
        <w:tc>
          <w:tcPr>
            <w:tcW w:w="0" w:type="dxa"/>
            <w:vAlign w:val="bottom"/>
          </w:tcPr>
          <w:p>
            <w:pPr>
              <w:spacing w:after="0"/>
              <w:rPr>
                <w:sz w:val="1"/>
                <w:szCs w:val="1"/>
                <w:color w:val="auto"/>
              </w:rPr>
            </w:pPr>
          </w:p>
        </w:tc>
      </w:tr>
      <w:tr>
        <w:trPr>
          <w:trHeight w:val="20"/>
        </w:trPr>
        <w:tc>
          <w:tcPr>
            <w:tcW w:w="48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Selected Data and Ratios</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Common shareholders of record at year-end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44,792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46,541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48,261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40,372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53,017</w:t>
            </w:r>
          </w:p>
        </w:tc>
        <w:tc>
          <w:tcPr>
            <w:tcW w:w="0" w:type="dxa"/>
            <w:vAlign w:val="bottom"/>
          </w:tcPr>
          <w:p>
            <w:pPr>
              <w:spacing w:after="0"/>
              <w:rPr>
                <w:sz w:val="1"/>
                <w:szCs w:val="1"/>
                <w:color w:val="auto"/>
              </w:rPr>
            </w:pPr>
          </w:p>
        </w:tc>
      </w:tr>
      <w:tr>
        <w:trPr>
          <w:trHeight w:val="203"/>
        </w:trPr>
        <w:tc>
          <w:tcPr>
            <w:tcW w:w="4800" w:type="dxa"/>
            <w:vAlign w:val="bottom"/>
            <w:gridSpan w:val="4"/>
          </w:tcPr>
          <w:p>
            <w:pPr>
              <w:spacing w:after="0" w:line="202" w:lineRule="exact"/>
              <w:rPr>
                <w:sz w:val="20"/>
                <w:szCs w:val="20"/>
                <w:color w:val="auto"/>
              </w:rPr>
            </w:pPr>
            <w:r>
              <w:rPr>
                <w:rFonts w:ascii="Arial" w:cs="Arial" w:eastAsia="Arial" w:hAnsi="Arial"/>
                <w:sz w:val="18"/>
                <w:szCs w:val="18"/>
                <w:color w:val="auto"/>
              </w:rPr>
              <w:t>Book value per common share</w:t>
            </w:r>
          </w:p>
        </w:tc>
        <w:tc>
          <w:tcPr>
            <w:tcW w:w="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8.11</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7.21</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9.36</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7.48</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Year-end common stock market price</w:t>
            </w:r>
          </w:p>
        </w:tc>
        <w:tc>
          <w:tcPr>
            <w:tcW w:w="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8.46</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7.97</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16.19</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16.95</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3"/>
        </w:trPr>
        <w:tc>
          <w:tcPr>
            <w:tcW w:w="4800" w:type="dxa"/>
            <w:vAlign w:val="bottom"/>
            <w:gridSpan w:val="4"/>
          </w:tcPr>
          <w:p>
            <w:pPr>
              <w:spacing w:after="0" w:line="202" w:lineRule="exact"/>
              <w:rPr>
                <w:sz w:val="20"/>
                <w:szCs w:val="20"/>
                <w:color w:val="auto"/>
              </w:rPr>
            </w:pPr>
            <w:r>
              <w:rPr>
                <w:rFonts w:ascii="Arial" w:cs="Arial" w:eastAsia="Arial" w:hAnsi="Arial"/>
                <w:sz w:val="18"/>
                <w:szCs w:val="18"/>
                <w:color w:val="auto"/>
              </w:rPr>
              <w:t>Employees at year-end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53,600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57,100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57,400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53,700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55,220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38.9%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40.3%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40.6%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Sales gross margin</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ind w:left="240"/>
              <w:spacing w:after="0" w:line="202" w:lineRule="exact"/>
              <w:rPr>
                <w:sz w:val="20"/>
                <w:szCs w:val="20"/>
                <w:color w:val="auto"/>
              </w:rPr>
            </w:pPr>
            <w:r>
              <w:rPr>
                <w:rFonts w:ascii="Arial" w:cs="Arial" w:eastAsia="Arial" w:hAnsi="Arial"/>
                <w:sz w:val="18"/>
                <w:szCs w:val="18"/>
                <w:color w:val="auto"/>
              </w:rPr>
              <w:t>33.9%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ind w:left="240"/>
              <w:spacing w:after="0" w:line="202" w:lineRule="exact"/>
              <w:rPr>
                <w:sz w:val="20"/>
                <w:szCs w:val="20"/>
                <w:color w:val="auto"/>
              </w:rPr>
            </w:pPr>
            <w:r>
              <w:rPr>
                <w:rFonts w:ascii="Arial" w:cs="Arial" w:eastAsia="Arial" w:hAnsi="Arial"/>
                <w:sz w:val="18"/>
                <w:szCs w:val="18"/>
                <w:color w:val="auto"/>
              </w:rPr>
              <w:t>33.7%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ind w:left="240"/>
              <w:spacing w:after="0" w:line="202" w:lineRule="exact"/>
              <w:rPr>
                <w:sz w:val="20"/>
                <w:szCs w:val="20"/>
                <w:color w:val="auto"/>
              </w:rPr>
            </w:pPr>
            <w:r>
              <w:rPr>
                <w:rFonts w:ascii="Arial" w:cs="Arial" w:eastAsia="Arial" w:hAnsi="Arial"/>
                <w:sz w:val="18"/>
                <w:szCs w:val="18"/>
                <w:color w:val="auto"/>
              </w:rPr>
              <w:t>35.7%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ind w:left="240"/>
              <w:spacing w:after="0" w:line="202" w:lineRule="exact"/>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 outsourcing and rentals gross margin</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42.7%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Finance gross margin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rPr>
              <w:t>62.0%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220" w:type="dxa"/>
            <w:vAlign w:val="bottom"/>
          </w:tcPr>
          <w:p>
            <w:pPr>
              <w:spacing w:after="0"/>
              <w:rPr>
                <w:sz w:val="20"/>
                <w:szCs w:val="20"/>
                <w:color w:val="auto"/>
              </w:rPr>
            </w:pPr>
            <w:r>
              <w:rPr>
                <w:rFonts w:ascii="Arial" w:cs="Arial" w:eastAsia="Arial" w:hAnsi="Arial"/>
                <w:sz w:val="11"/>
                <w:szCs w:val="11"/>
                <w:color w:val="auto"/>
              </w:rPr>
              <w:t>(1)</w:t>
            </w:r>
          </w:p>
        </w:tc>
        <w:tc>
          <w:tcPr>
            <w:tcW w:w="4560" w:type="dxa"/>
            <w:vAlign w:val="bottom"/>
            <w:gridSpan w:val="2"/>
          </w:tcPr>
          <w:p>
            <w:pPr>
              <w:ind w:left="100"/>
              <w:spacing w:after="0" w:line="127" w:lineRule="exact"/>
              <w:rPr>
                <w:sz w:val="20"/>
                <w:szCs w:val="20"/>
                <w:color w:val="auto"/>
              </w:rPr>
            </w:pPr>
            <w:r>
              <w:rPr>
                <w:rFonts w:ascii="Arial" w:cs="Arial" w:eastAsia="Arial" w:hAnsi="Arial"/>
                <w:sz w:val="14"/>
                <w:szCs w:val="14"/>
                <w:color w:val="auto"/>
              </w:rPr>
              <w:t>For 2005, the amount includes $98 reported in other current liabilities.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(2)</w:t>
            </w:r>
          </w:p>
        </w:tc>
        <w:tc>
          <w:tcPr>
            <w:tcW w:w="2660" w:type="dxa"/>
            <w:vAlign w:val="bottom"/>
            <w:vMerge w:val="restart"/>
          </w:tcPr>
          <w:p>
            <w:pPr>
              <w:ind w:left="100"/>
              <w:spacing w:after="0"/>
              <w:rPr>
                <w:sz w:val="20"/>
                <w:szCs w:val="20"/>
                <w:color w:val="auto"/>
              </w:rPr>
            </w:pPr>
            <w:r>
              <w:rPr>
                <w:rFonts w:ascii="Arial" w:cs="Arial" w:eastAsia="Arial" w:hAnsi="Arial"/>
                <w:sz w:val="14"/>
                <w:szCs w:val="14"/>
                <w:color w:val="auto"/>
                <w:w w:val="95"/>
              </w:rPr>
              <w:t>2007 results include the acquisition of GIS.</w:t>
            </w:r>
          </w:p>
        </w:tc>
        <w:tc>
          <w:tcPr>
            <w:tcW w:w="0" w:type="dxa"/>
            <w:vAlign w:val="bottom"/>
          </w:tcPr>
          <w:p>
            <w:pPr>
              <w:spacing w:after="0"/>
              <w:rPr>
                <w:sz w:val="1"/>
                <w:szCs w:val="1"/>
                <w:color w:val="auto"/>
              </w:rPr>
            </w:pPr>
          </w:p>
        </w:tc>
      </w:tr>
      <w:tr>
        <w:trPr>
          <w:trHeight w:val="69"/>
        </w:trPr>
        <w:tc>
          <w:tcPr>
            <w:tcW w:w="240" w:type="dxa"/>
            <w:vAlign w:val="bottom"/>
          </w:tcPr>
          <w:p>
            <w:pPr>
              <w:spacing w:after="0"/>
              <w:rPr>
                <w:sz w:val="6"/>
                <w:szCs w:val="6"/>
                <w:color w:val="auto"/>
              </w:rPr>
            </w:pPr>
          </w:p>
        </w:tc>
        <w:tc>
          <w:tcPr>
            <w:tcW w:w="2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88</w:t>
      </w:r>
    </w:p>
    <w:p>
      <w:pPr>
        <w:sectPr>
          <w:pgSz w:w="11900" w:h="16838" w:orient="portrait"/>
          <w:cols w:equalWidth="0" w:num="1">
            <w:col w:w="11420"/>
          </w:cols>
          <w:pgMar w:left="240" w:top="256" w:right="2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b w:val="1"/>
          <w:bCs w:val="1"/>
          <w:color w:val="1269BC"/>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Stock Listed and Traded</w:t>
      </w:r>
    </w:p>
    <w:p>
      <w:pPr>
        <w:spacing w:after="0" w:line="18"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Xerox common stock (XRX) is listed on the New York Stock Exchange and the Chicago Stock Exchange. It is also traded on the Boston, Cincinnati, Pacific Coast, Philadelphia and Switzerland exchanges.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Xerox Common Stock Prices and Dividends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vMerge w:val="restart"/>
          </w:tcPr>
          <w:p>
            <w:pPr>
              <w:spacing w:after="0"/>
              <w:rPr>
                <w:sz w:val="20"/>
                <w:szCs w:val="20"/>
                <w:color w:val="auto"/>
              </w:rPr>
            </w:pPr>
            <w:r>
              <w:rPr>
                <w:rFonts w:ascii="Arial" w:cs="Arial" w:eastAsia="Arial" w:hAnsi="Arial"/>
                <w:sz w:val="14"/>
                <w:szCs w:val="14"/>
                <w:b w:val="1"/>
                <w:bCs w:val="1"/>
                <w:color w:val="auto"/>
              </w:rPr>
              <w:t>New York Stock Exchange composite prices *</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Second</w:t>
            </w:r>
          </w:p>
        </w:tc>
        <w:tc>
          <w:tcPr>
            <w:tcW w:w="2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65"/>
        </w:trPr>
        <w:tc>
          <w:tcPr>
            <w:tcW w:w="60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4"/>
                <w:szCs w:val="14"/>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6"/>
        </w:trPr>
        <w:tc>
          <w:tcPr>
            <w:tcW w:w="60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2009</w:t>
            </w:r>
          </w:p>
        </w:tc>
        <w:tc>
          <w:tcPr>
            <w:tcW w:w="3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440"/>
              <w:spacing w:after="0" w:line="202" w:lineRule="exact"/>
              <w:rPr>
                <w:sz w:val="20"/>
                <w:szCs w:val="20"/>
                <w:color w:val="auto"/>
              </w:rPr>
            </w:pPr>
            <w:r>
              <w:rPr>
                <w:rFonts w:ascii="Arial" w:cs="Arial" w:eastAsia="Arial" w:hAnsi="Arial"/>
                <w:sz w:val="18"/>
                <w:szCs w:val="18"/>
                <w:color w:val="auto"/>
              </w:rPr>
              <w:t>High</w:t>
            </w: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9.10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7.25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9.57</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Low</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4.17</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4.70</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6.05</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3"/>
        </w:trPr>
        <w:tc>
          <w:tcPr>
            <w:tcW w:w="6080" w:type="dxa"/>
            <w:vAlign w:val="bottom"/>
          </w:tcPr>
          <w:p>
            <w:pPr>
              <w:ind w:left="440"/>
              <w:spacing w:after="0" w:line="202" w:lineRule="exact"/>
              <w:rPr>
                <w:sz w:val="20"/>
                <w:szCs w:val="20"/>
                <w:color w:val="auto"/>
              </w:rPr>
            </w:pPr>
            <w:r>
              <w:rPr>
                <w:rFonts w:ascii="Arial" w:cs="Arial" w:eastAsia="Arial" w:hAnsi="Arial"/>
                <w:sz w:val="18"/>
                <w:szCs w:val="18"/>
                <w:color w:val="auto"/>
              </w:rPr>
              <w:t>Dividends Paid per Share</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0.0425</w:t>
            </w:r>
          </w:p>
        </w:tc>
        <w:tc>
          <w:tcPr>
            <w:tcW w:w="220" w:type="dxa"/>
            <w:vAlign w:val="bottom"/>
          </w:tcPr>
          <w:p>
            <w:pPr>
              <w:spacing w:after="0"/>
              <w:rPr>
                <w:sz w:val="17"/>
                <w:szCs w:val="17"/>
                <w:color w:val="auto"/>
              </w:rPr>
            </w:pP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0.0425</w:t>
            </w:r>
          </w:p>
        </w:tc>
        <w:tc>
          <w:tcPr>
            <w:tcW w:w="200" w:type="dxa"/>
            <w:vAlign w:val="bottom"/>
          </w:tcPr>
          <w:p>
            <w:pPr>
              <w:spacing w:after="0"/>
              <w:rPr>
                <w:sz w:val="17"/>
                <w:szCs w:val="17"/>
                <w:color w:val="auto"/>
              </w:rPr>
            </w:pP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0.0425</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0.0425</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2008</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440"/>
              <w:spacing w:after="0" w:line="202" w:lineRule="exact"/>
              <w:rPr>
                <w:sz w:val="20"/>
                <w:szCs w:val="20"/>
                <w:color w:val="auto"/>
              </w:rPr>
            </w:pPr>
            <w:r>
              <w:rPr>
                <w:rFonts w:ascii="Arial" w:cs="Arial" w:eastAsia="Arial" w:hAnsi="Arial"/>
                <w:sz w:val="18"/>
                <w:szCs w:val="18"/>
                <w:color w:val="auto"/>
              </w:rPr>
              <w:t>High</w:t>
            </w: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15.82</w:t>
            </w:r>
          </w:p>
        </w:tc>
        <w:tc>
          <w:tcPr>
            <w:tcW w:w="40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15.36</w:t>
            </w:r>
          </w:p>
        </w:tc>
        <w:tc>
          <w:tcPr>
            <w:tcW w:w="4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14.39</w:t>
            </w:r>
          </w:p>
        </w:tc>
        <w:tc>
          <w:tcPr>
            <w:tcW w:w="4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Low</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13.10</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13.28</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11.05</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4"/>
        </w:trPr>
        <w:tc>
          <w:tcPr>
            <w:tcW w:w="6080" w:type="dxa"/>
            <w:vAlign w:val="bottom"/>
          </w:tcPr>
          <w:p>
            <w:pPr>
              <w:ind w:left="440"/>
              <w:spacing w:after="0"/>
              <w:rPr>
                <w:sz w:val="20"/>
                <w:szCs w:val="20"/>
                <w:color w:val="auto"/>
              </w:rPr>
            </w:pPr>
            <w:r>
              <w:rPr>
                <w:rFonts w:ascii="Arial" w:cs="Arial" w:eastAsia="Arial" w:hAnsi="Arial"/>
                <w:sz w:val="18"/>
                <w:szCs w:val="18"/>
                <w:color w:val="auto"/>
              </w:rPr>
              <w:t>Dividends Paid per Share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0.0425</w:t>
            </w:r>
          </w:p>
        </w:tc>
        <w:tc>
          <w:tcPr>
            <w:tcW w:w="2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0.0425</w:t>
            </w:r>
          </w:p>
        </w:tc>
        <w:tc>
          <w:tcPr>
            <w:tcW w:w="2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0.0425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580" w:hanging="572"/>
        <w:spacing w:after="0"/>
        <w:tabs>
          <w:tab w:leader="none" w:pos="5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Prices as of close of business</w:t>
      </w:r>
    </w:p>
    <w:p>
      <w:pPr>
        <w:spacing w:after="0" w:line="140" w:lineRule="exact"/>
        <w:rPr>
          <w:sz w:val="20"/>
          <w:szCs w:val="20"/>
          <w:color w:val="auto"/>
        </w:rPr>
      </w:pPr>
    </w:p>
    <w:p>
      <w:pPr>
        <w:ind w:left="9000"/>
        <w:spacing w:after="0"/>
        <w:tabs>
          <w:tab w:leader="none" w:pos="11200" w:val="left"/>
        </w:tabs>
        <w:rPr>
          <w:sz w:val="20"/>
          <w:szCs w:val="20"/>
          <w:color w:val="auto"/>
        </w:rPr>
      </w:pPr>
      <w:r>
        <w:rPr>
          <w:rFonts w:ascii="Arial" w:cs="Arial" w:eastAsia="Arial" w:hAnsi="Arial"/>
          <w:sz w:val="18"/>
          <w:szCs w:val="18"/>
          <w:color w:val="1269BC"/>
        </w:rPr>
        <w:t>Xerox 2009 Annual Report</w:t>
      </w:r>
      <w:r>
        <w:rPr>
          <w:sz w:val="20"/>
          <w:szCs w:val="20"/>
          <w:color w:val="auto"/>
        </w:rPr>
        <w:tab/>
      </w:r>
      <w:r>
        <w:rPr>
          <w:rFonts w:ascii="Arial" w:cs="Arial" w:eastAsia="Arial" w:hAnsi="Arial"/>
          <w:sz w:val="16"/>
          <w:szCs w:val="16"/>
          <w:color w:val="1269BC"/>
        </w:rPr>
        <w:t>89</w:t>
      </w:r>
    </w:p>
    <w:p>
      <w:pPr>
        <w:sectPr>
          <w:pgSz w:w="11900" w:h="16838" w:orient="portrait"/>
          <w:cols w:equalWidth="0" w:num="1">
            <w:col w:w="11420"/>
          </w:cols>
          <w:pgMar w:left="240" w:top="256"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4"/>
          <w:szCs w:val="24"/>
          <w:b w:val="1"/>
          <w:bCs w:val="1"/>
          <w:color w:val="1269BC"/>
        </w:rPr>
        <w:t>EXHIBIT 21</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1269BC"/>
        </w:rPr>
        <w:t>SUBSIDIARIES OF XEROX CORPORATION</w:t>
      </w:r>
    </w:p>
    <w:p>
      <w:pPr>
        <w:spacing w:after="0" w:line="12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following companies are subsidiaries of Xerox Corporation as of December 31, 2009. Unless otherwise noted, a subsidiary is a company in which Xerox Corporation or a subsidiary of Xerox Corporation holds 50% or more of the voting stock. The names of other subsidiaries have been omitted as they would not, if considered in the aggregate as a single subsidiary, constitute a significant subsidiary: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Incorporated</w:t>
            </w:r>
          </w:p>
        </w:tc>
      </w:tr>
      <w:tr>
        <w:trPr>
          <w:trHeight w:val="149"/>
        </w:trPr>
        <w:tc>
          <w:tcPr>
            <w:tcW w:w="6060" w:type="dxa"/>
            <w:vAlign w:val="bottom"/>
            <w:gridSpan w:val="2"/>
          </w:tcPr>
          <w:p>
            <w:pPr>
              <w:spacing w:after="0" w:line="149" w:lineRule="exact"/>
              <w:rPr>
                <w:sz w:val="20"/>
                <w:szCs w:val="20"/>
                <w:color w:val="auto"/>
              </w:rPr>
            </w:pPr>
            <w:r>
              <w:rPr>
                <w:rFonts w:ascii="Arial" w:cs="Arial" w:eastAsia="Arial" w:hAnsi="Arial"/>
                <w:sz w:val="14"/>
                <w:szCs w:val="14"/>
                <w:color w:val="auto"/>
              </w:rPr>
              <w:t>Name of Subsidiary</w:t>
            </w: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In</w:t>
            </w:r>
          </w:p>
        </w:tc>
      </w:tr>
      <w:tr>
        <w:trPr>
          <w:trHeight w:val="20"/>
        </w:trPr>
        <w:tc>
          <w:tcPr>
            <w:tcW w:w="11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6060" w:type="dxa"/>
            <w:vAlign w:val="bottom"/>
            <w:gridSpan w:val="2"/>
          </w:tcPr>
          <w:p>
            <w:pPr>
              <w:spacing w:after="0" w:line="200" w:lineRule="exact"/>
              <w:rPr>
                <w:sz w:val="20"/>
                <w:szCs w:val="20"/>
                <w:color w:val="auto"/>
              </w:rPr>
            </w:pPr>
            <w:r>
              <w:rPr>
                <w:rFonts w:ascii="Arial" w:cs="Arial" w:eastAsia="Arial" w:hAnsi="Arial"/>
                <w:sz w:val="18"/>
                <w:szCs w:val="18"/>
                <w:color w:val="auto"/>
              </w:rPr>
              <w:t>Boulder Acquisition Corp.</w:t>
            </w:r>
          </w:p>
        </w:tc>
        <w:tc>
          <w:tcPr>
            <w:tcW w:w="1240" w:type="dxa"/>
            <w:vAlign w:val="bottom"/>
            <w:gridSpan w:val="2"/>
          </w:tcPr>
          <w:p>
            <w:pPr>
              <w:spacing w:after="0" w:line="200" w:lineRule="exact"/>
              <w:rPr>
                <w:sz w:val="20"/>
                <w:szCs w:val="20"/>
                <w:color w:val="auto"/>
              </w:rPr>
            </w:pPr>
            <w:r>
              <w:rPr>
                <w:rFonts w:ascii="Arial" w:cs="Arial" w:eastAsia="Arial" w:hAnsi="Arial"/>
                <w:sz w:val="18"/>
                <w:szCs w:val="18"/>
                <w:color w:val="auto"/>
              </w:rPr>
              <w:t>Delaware</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FairCopy Services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Global Imaging Systems,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American Photocopy Equipment Company of Pittsburgh, LLC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Arizona Office Technologies,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Arizona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Berney Office Solutions, LLC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Alabama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N&amp;L Enterprises, LLC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Alabama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Capitol Office Solutions, LLC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Carolina Office Systems,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South Carolina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Carr Business Systems,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New York</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Comdoc,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Ohio</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Consolidated,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Ohio</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Information Works,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Ohio</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Metropolitan Business Machines, Incorporated</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Ohio</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OEM Supplyco,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Ohio</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Connecticut Business Systems, LLC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Blackstone Valley Office Systems,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Rhode Island</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Conway Office Products, LLC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w w:val="95"/>
              </w:rPr>
              <w:t>New Hampshire</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Business Equipment Unlimited</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Maine</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Cameron Office Products, LLC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Massachusetts</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Eastern Copy Products,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New York</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Northeast Copier Systems, LLC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Massachusetts</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CopyCo Office Solutions,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Indiana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MRSCO,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Indiana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CTX Business Solutions,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Oregon</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Global Operations Texas, L.P. d/b/a Dahi`ll</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Texas (34)</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Denitech Corporation</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Texas</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Chicago Office Technology Group,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Illinois</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Electronic Systems,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Virginia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TML Enterprises,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Virginia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ImageQuest,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Kansas</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Image Technology Specialists,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Massachusetts</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Inland Business Machines,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California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Precision Copier Service, Inc. d/b/a/ Sierrra Office Solutions</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Nevada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Lucas Business Systems,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Lewan &amp; Associates,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Colorado</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Imaging Concepts of New Mexico,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New Mexico</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Michigan Office Solutions,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Michigan</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Minnesota Office Technology Group,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Mr. Copy,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California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MWB Copy Products,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California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SoCal Office Technologies,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California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Quality Business Systems,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Washington</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Boise Office Equipment,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Idaho</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Saxon Business Systems,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Stewart Business Systems, LLC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New Jersey</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Xerox Audio Visual Soclutions,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Georgia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Daniel Communications,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Alabama</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GroupFire, Inc.</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California</w:t>
            </w:r>
          </w:p>
        </w:tc>
      </w:tr>
      <w:tr>
        <w:trPr>
          <w:trHeight w:val="211"/>
        </w:trPr>
        <w:tc>
          <w:tcPr>
            <w:tcW w:w="6060" w:type="dxa"/>
            <w:vAlign w:val="bottom"/>
            <w:gridSpan w:val="2"/>
          </w:tcPr>
          <w:p>
            <w:pPr>
              <w:spacing w:after="0"/>
              <w:rPr>
                <w:sz w:val="20"/>
                <w:szCs w:val="20"/>
                <w:color w:val="auto"/>
              </w:rPr>
            </w:pPr>
            <w:r>
              <w:rPr>
                <w:rFonts w:ascii="Arial" w:cs="Arial" w:eastAsia="Arial" w:hAnsi="Arial"/>
                <w:sz w:val="18"/>
                <w:szCs w:val="18"/>
                <w:color w:val="auto"/>
              </w:rPr>
              <w:t>Gyricon, LLC</w:t>
            </w:r>
          </w:p>
        </w:tc>
        <w:tc>
          <w:tcPr>
            <w:tcW w:w="124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06"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Infotonics Technology Center Inc.</w:t>
      </w:r>
    </w:p>
    <w:p>
      <w:pPr>
        <w:spacing w:after="0" w:line="234" w:lineRule="auto"/>
        <w:rPr>
          <w:sz w:val="20"/>
          <w:szCs w:val="20"/>
          <w:color w:val="auto"/>
        </w:rPr>
      </w:pPr>
      <w:r>
        <w:rPr>
          <w:rFonts w:ascii="Arial" w:cs="Arial" w:eastAsia="Arial" w:hAnsi="Arial"/>
          <w:sz w:val="18"/>
          <w:szCs w:val="18"/>
          <w:color w:val="auto"/>
        </w:rPr>
        <w:t>Institute for Research on Learning</w:t>
      </w:r>
    </w:p>
    <w:p>
      <w:pPr>
        <w:spacing w:after="0" w:line="235" w:lineRule="auto"/>
        <w:rPr>
          <w:sz w:val="20"/>
          <w:szCs w:val="20"/>
          <w:color w:val="auto"/>
        </w:rPr>
      </w:pPr>
      <w:r>
        <w:rPr>
          <w:rFonts w:ascii="Arial" w:cs="Arial" w:eastAsia="Arial" w:hAnsi="Arial"/>
          <w:sz w:val="18"/>
          <w:szCs w:val="18"/>
          <w:color w:val="auto"/>
        </w:rPr>
        <w:t>NewPARC LLC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Pacific Services and Development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Palo Alto Research Center Incorporated</w:t>
      </w:r>
    </w:p>
    <w:p>
      <w:pPr>
        <w:spacing w:after="0" w:line="234" w:lineRule="auto"/>
        <w:rPr>
          <w:sz w:val="20"/>
          <w:szCs w:val="20"/>
          <w:color w:val="auto"/>
        </w:rPr>
      </w:pPr>
      <w:r>
        <w:rPr>
          <w:rFonts w:ascii="Arial" w:cs="Arial" w:eastAsia="Arial" w:hAnsi="Arial"/>
          <w:sz w:val="18"/>
          <w:szCs w:val="18"/>
          <w:color w:val="auto"/>
        </w:rPr>
        <w:t>Proyectos Inverdoco, C.A.</w:t>
      </w:r>
    </w:p>
    <w:p>
      <w:pPr>
        <w:spacing w:after="0" w:line="235" w:lineRule="auto"/>
        <w:rPr>
          <w:sz w:val="20"/>
          <w:szCs w:val="20"/>
          <w:color w:val="auto"/>
        </w:rPr>
      </w:pPr>
      <w:r>
        <w:rPr>
          <w:rFonts w:ascii="Arial" w:cs="Arial" w:eastAsia="Arial" w:hAnsi="Arial"/>
          <w:sz w:val="18"/>
          <w:szCs w:val="18"/>
          <w:color w:val="auto"/>
        </w:rPr>
        <w:t>SCC Burton Corporation</w:t>
      </w:r>
    </w:p>
    <w:p>
      <w:pPr>
        <w:spacing w:after="0" w:line="235" w:lineRule="auto"/>
        <w:rPr>
          <w:sz w:val="20"/>
          <w:szCs w:val="20"/>
          <w:color w:val="auto"/>
        </w:rPr>
      </w:pPr>
      <w:r>
        <w:rPr>
          <w:rFonts w:ascii="Arial" w:cs="Arial" w:eastAsia="Arial" w:hAnsi="Arial"/>
          <w:sz w:val="18"/>
          <w:szCs w:val="18"/>
          <w:color w:val="auto"/>
        </w:rPr>
        <w:t>STHQ Realty LLC</w:t>
      </w:r>
    </w:p>
    <w:p>
      <w:pPr>
        <w:spacing w:after="0" w:line="235" w:lineRule="auto"/>
        <w:rPr>
          <w:sz w:val="20"/>
          <w:szCs w:val="20"/>
          <w:color w:val="auto"/>
        </w:rPr>
      </w:pPr>
      <w:r>
        <w:rPr>
          <w:rFonts w:ascii="Arial" w:cs="Arial" w:eastAsia="Arial" w:hAnsi="Arial"/>
          <w:sz w:val="18"/>
          <w:szCs w:val="18"/>
          <w:color w:val="auto"/>
        </w:rPr>
        <w:t>The Xerox Foundation</w:t>
      </w:r>
    </w:p>
    <w:p>
      <w:pPr>
        <w:spacing w:after="0"/>
        <w:rPr>
          <w:sz w:val="20"/>
          <w:szCs w:val="20"/>
          <w:color w:val="auto"/>
        </w:rPr>
      </w:pPr>
      <w:r>
        <w:rPr>
          <w:rFonts w:ascii="Arial" w:cs="Arial" w:eastAsia="Arial" w:hAnsi="Arial"/>
          <w:sz w:val="16"/>
          <w:szCs w:val="16"/>
          <w:color w:val="auto"/>
        </w:rPr>
        <w:t>Xerox Argentina Industrial y Comercial, I.C.S.A.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Xerox Canada Capital Ltd.</w:t>
      </w:r>
    </w:p>
    <w:p>
      <w:pPr>
        <w:spacing w:after="0" w:line="234" w:lineRule="auto"/>
        <w:rPr>
          <w:sz w:val="20"/>
          <w:szCs w:val="20"/>
          <w:color w:val="auto"/>
        </w:rPr>
      </w:pPr>
      <w:r>
        <w:rPr>
          <w:rFonts w:ascii="Arial" w:cs="Arial" w:eastAsia="Arial" w:hAnsi="Arial"/>
          <w:sz w:val="18"/>
          <w:szCs w:val="18"/>
          <w:color w:val="auto"/>
        </w:rPr>
        <w:t>Xerox Canada Inc.</w:t>
      </w:r>
    </w:p>
    <w:p>
      <w:pPr>
        <w:spacing w:after="0" w:line="235" w:lineRule="auto"/>
        <w:rPr>
          <w:sz w:val="20"/>
          <w:szCs w:val="20"/>
          <w:color w:val="auto"/>
        </w:rPr>
      </w:pPr>
      <w:r>
        <w:rPr>
          <w:rFonts w:ascii="Arial" w:cs="Arial" w:eastAsia="Arial" w:hAnsi="Arial"/>
          <w:sz w:val="18"/>
          <w:szCs w:val="18"/>
          <w:color w:val="auto"/>
        </w:rPr>
        <w:t>Xerox (Barbados) SRL</w:t>
      </w:r>
    </w:p>
    <w:p>
      <w:pPr>
        <w:spacing w:after="0" w:line="235" w:lineRule="auto"/>
        <w:rPr>
          <w:sz w:val="20"/>
          <w:szCs w:val="20"/>
          <w:color w:val="auto"/>
        </w:rPr>
      </w:pPr>
      <w:r>
        <w:rPr>
          <w:rFonts w:ascii="Arial" w:cs="Arial" w:eastAsia="Arial" w:hAnsi="Arial"/>
          <w:sz w:val="18"/>
          <w:szCs w:val="18"/>
          <w:color w:val="auto"/>
        </w:rPr>
        <w:t>Approximo Limited</w:t>
      </w:r>
    </w:p>
    <w:p>
      <w:pPr>
        <w:spacing w:after="0" w:line="235" w:lineRule="auto"/>
        <w:rPr>
          <w:sz w:val="20"/>
          <w:szCs w:val="20"/>
          <w:color w:val="auto"/>
        </w:rPr>
      </w:pPr>
      <w:r>
        <w:rPr>
          <w:rFonts w:ascii="Arial" w:cs="Arial" w:eastAsia="Arial" w:hAnsi="Arial"/>
          <w:sz w:val="18"/>
          <w:szCs w:val="18"/>
          <w:color w:val="auto"/>
        </w:rPr>
        <w:t>Mega Colour Limited</w:t>
      </w:r>
    </w:p>
    <w:p>
      <w:pPr>
        <w:spacing w:after="0" w:line="235" w:lineRule="auto"/>
        <w:rPr>
          <w:sz w:val="20"/>
          <w:szCs w:val="20"/>
          <w:color w:val="auto"/>
        </w:rPr>
      </w:pPr>
      <w:r>
        <w:rPr>
          <w:rFonts w:ascii="Arial" w:cs="Arial" w:eastAsia="Arial" w:hAnsi="Arial"/>
          <w:sz w:val="18"/>
          <w:szCs w:val="18"/>
          <w:color w:val="auto"/>
        </w:rPr>
        <w:t>Oriel Star Limited</w:t>
      </w:r>
    </w:p>
    <w:p>
      <w:pPr>
        <w:spacing w:after="0" w:line="235" w:lineRule="auto"/>
        <w:rPr>
          <w:sz w:val="20"/>
          <w:szCs w:val="20"/>
          <w:color w:val="auto"/>
        </w:rPr>
      </w:pPr>
      <w:r>
        <w:rPr>
          <w:rFonts w:ascii="Arial" w:cs="Arial" w:eastAsia="Arial" w:hAnsi="Arial"/>
          <w:sz w:val="18"/>
          <w:szCs w:val="18"/>
          <w:color w:val="auto"/>
        </w:rPr>
        <w:t>Topspeed Limited</w:t>
      </w:r>
    </w:p>
    <w:p>
      <w:pPr>
        <w:spacing w:after="0" w:line="235" w:lineRule="auto"/>
        <w:rPr>
          <w:sz w:val="20"/>
          <w:szCs w:val="20"/>
          <w:color w:val="auto"/>
        </w:rPr>
      </w:pPr>
      <w:r>
        <w:rPr>
          <w:rFonts w:ascii="Arial" w:cs="Arial" w:eastAsia="Arial" w:hAnsi="Arial"/>
          <w:sz w:val="18"/>
          <w:szCs w:val="18"/>
          <w:color w:val="auto"/>
        </w:rPr>
        <w:t>Xerox (Barbados) Leasing SRL</w:t>
      </w:r>
    </w:p>
    <w:p>
      <w:pPr>
        <w:spacing w:after="0" w:line="235" w:lineRule="auto"/>
        <w:rPr>
          <w:sz w:val="20"/>
          <w:szCs w:val="20"/>
          <w:color w:val="auto"/>
        </w:rPr>
      </w:pPr>
      <w:r>
        <w:rPr>
          <w:rFonts w:ascii="Arial" w:cs="Arial" w:eastAsia="Arial" w:hAnsi="Arial"/>
          <w:sz w:val="18"/>
          <w:szCs w:val="18"/>
          <w:color w:val="auto"/>
        </w:rPr>
        <w:t>Xerox Finance (Luxembourg) Sarl</w:t>
      </w:r>
    </w:p>
    <w:p>
      <w:pPr>
        <w:spacing w:after="0" w:line="235" w:lineRule="auto"/>
        <w:rPr>
          <w:sz w:val="20"/>
          <w:szCs w:val="20"/>
          <w:color w:val="auto"/>
        </w:rPr>
      </w:pPr>
      <w:r>
        <w:rPr>
          <w:rFonts w:ascii="Arial" w:cs="Arial" w:eastAsia="Arial" w:hAnsi="Arial"/>
          <w:sz w:val="18"/>
          <w:szCs w:val="18"/>
          <w:color w:val="auto"/>
        </w:rPr>
        <w:t>Xerox Canada Facilities Management Ltd.</w:t>
      </w:r>
    </w:p>
    <w:p>
      <w:pPr>
        <w:spacing w:after="0" w:line="234" w:lineRule="auto"/>
        <w:rPr>
          <w:sz w:val="20"/>
          <w:szCs w:val="20"/>
          <w:color w:val="auto"/>
        </w:rPr>
      </w:pPr>
      <w:r>
        <w:rPr>
          <w:rFonts w:ascii="Arial" w:cs="Arial" w:eastAsia="Arial" w:hAnsi="Arial"/>
          <w:sz w:val="18"/>
          <w:szCs w:val="18"/>
          <w:color w:val="auto"/>
        </w:rPr>
        <w:t>Xerox Canada Finance Inc.</w:t>
      </w:r>
    </w:p>
    <w:p>
      <w:pPr>
        <w:spacing w:after="0" w:line="235" w:lineRule="auto"/>
        <w:rPr>
          <w:sz w:val="20"/>
          <w:szCs w:val="20"/>
          <w:color w:val="auto"/>
        </w:rPr>
      </w:pPr>
      <w:r>
        <w:rPr>
          <w:rFonts w:ascii="Arial" w:cs="Arial" w:eastAsia="Arial" w:hAnsi="Arial"/>
          <w:sz w:val="18"/>
          <w:szCs w:val="18"/>
          <w:color w:val="auto"/>
        </w:rPr>
        <w:t>Xerox Canada Leasing Partnership</w:t>
      </w:r>
    </w:p>
    <w:p>
      <w:pPr>
        <w:spacing w:after="0" w:line="235" w:lineRule="auto"/>
        <w:rPr>
          <w:sz w:val="20"/>
          <w:szCs w:val="20"/>
          <w:color w:val="auto"/>
        </w:rPr>
      </w:pPr>
      <w:r>
        <w:rPr>
          <w:rFonts w:ascii="Arial" w:cs="Arial" w:eastAsia="Arial" w:hAnsi="Arial"/>
          <w:sz w:val="18"/>
          <w:szCs w:val="18"/>
          <w:color w:val="auto"/>
        </w:rPr>
        <w:t>Xerox Canada Ltd.</w:t>
      </w:r>
    </w:p>
    <w:p>
      <w:pPr>
        <w:spacing w:after="0" w:line="235" w:lineRule="auto"/>
        <w:rPr>
          <w:sz w:val="20"/>
          <w:szCs w:val="20"/>
          <w:color w:val="auto"/>
        </w:rPr>
      </w:pPr>
      <w:r>
        <w:rPr>
          <w:rFonts w:ascii="Arial" w:cs="Arial" w:eastAsia="Arial" w:hAnsi="Arial"/>
          <w:sz w:val="18"/>
          <w:szCs w:val="18"/>
          <w:color w:val="auto"/>
        </w:rPr>
        <w:t>Ionographic Operations Partnership</w:t>
      </w:r>
    </w:p>
    <w:p>
      <w:pPr>
        <w:spacing w:after="0" w:line="235" w:lineRule="auto"/>
        <w:rPr>
          <w:sz w:val="20"/>
          <w:szCs w:val="20"/>
          <w:color w:val="auto"/>
        </w:rPr>
      </w:pPr>
      <w:r>
        <w:rPr>
          <w:rFonts w:ascii="Arial" w:cs="Arial" w:eastAsia="Arial" w:hAnsi="Arial"/>
          <w:sz w:val="18"/>
          <w:szCs w:val="18"/>
          <w:color w:val="auto"/>
        </w:rPr>
        <w:t>Xerox Canada Leasing Company</w:t>
      </w:r>
    </w:p>
    <w:p>
      <w:pPr>
        <w:spacing w:after="0" w:line="235" w:lineRule="auto"/>
        <w:rPr>
          <w:sz w:val="20"/>
          <w:szCs w:val="20"/>
          <w:color w:val="auto"/>
        </w:rPr>
      </w:pPr>
      <w:r>
        <w:rPr>
          <w:rFonts w:ascii="Arial" w:cs="Arial" w:eastAsia="Arial" w:hAnsi="Arial"/>
          <w:sz w:val="18"/>
          <w:szCs w:val="18"/>
          <w:color w:val="auto"/>
        </w:rPr>
        <w:t>Xerox Capital, LLC</w:t>
      </w:r>
    </w:p>
    <w:p>
      <w:pPr>
        <w:spacing w:after="0" w:line="235" w:lineRule="auto"/>
        <w:rPr>
          <w:sz w:val="20"/>
          <w:szCs w:val="20"/>
          <w:color w:val="auto"/>
        </w:rPr>
      </w:pPr>
      <w:r>
        <w:rPr>
          <w:rFonts w:ascii="Arial" w:cs="Arial" w:eastAsia="Arial" w:hAnsi="Arial"/>
          <w:sz w:val="18"/>
          <w:szCs w:val="18"/>
          <w:color w:val="auto"/>
        </w:rPr>
        <w:t>Xerox Capital Services LLC</w:t>
      </w:r>
    </w:p>
    <w:p>
      <w:pPr>
        <w:spacing w:after="0" w:line="235" w:lineRule="auto"/>
        <w:rPr>
          <w:sz w:val="20"/>
          <w:szCs w:val="20"/>
          <w:color w:val="auto"/>
        </w:rPr>
      </w:pPr>
      <w:r>
        <w:rPr>
          <w:rFonts w:ascii="Arial" w:cs="Arial" w:eastAsia="Arial" w:hAnsi="Arial"/>
          <w:sz w:val="18"/>
          <w:szCs w:val="18"/>
          <w:color w:val="auto"/>
        </w:rPr>
        <w:t>Xerox Capital Trust I</w:t>
      </w:r>
    </w:p>
    <w:p>
      <w:pPr>
        <w:spacing w:after="0" w:line="235" w:lineRule="auto"/>
        <w:rPr>
          <w:sz w:val="20"/>
          <w:szCs w:val="20"/>
          <w:color w:val="auto"/>
        </w:rPr>
      </w:pPr>
      <w:r>
        <w:rPr>
          <w:rFonts w:ascii="Arial" w:cs="Arial" w:eastAsia="Arial" w:hAnsi="Arial"/>
          <w:sz w:val="18"/>
          <w:szCs w:val="18"/>
          <w:color w:val="auto"/>
        </w:rPr>
        <w:t>Xerox de Chile S.A.</w:t>
      </w:r>
    </w:p>
    <w:p>
      <w:pPr>
        <w:spacing w:after="0" w:line="234" w:lineRule="auto"/>
        <w:rPr>
          <w:sz w:val="20"/>
          <w:szCs w:val="20"/>
          <w:color w:val="auto"/>
        </w:rPr>
      </w:pPr>
      <w:r>
        <w:rPr>
          <w:rFonts w:ascii="Arial" w:cs="Arial" w:eastAsia="Arial" w:hAnsi="Arial"/>
          <w:sz w:val="18"/>
          <w:szCs w:val="18"/>
          <w:color w:val="auto"/>
        </w:rPr>
        <w:t>Xerox de Colombia S.A.</w:t>
      </w:r>
    </w:p>
    <w:p>
      <w:pPr>
        <w:spacing w:after="0" w:line="235" w:lineRule="auto"/>
        <w:rPr>
          <w:sz w:val="20"/>
          <w:szCs w:val="20"/>
          <w:color w:val="auto"/>
        </w:rPr>
      </w:pPr>
      <w:r>
        <w:rPr>
          <w:rFonts w:ascii="Arial" w:cs="Arial" w:eastAsia="Arial" w:hAnsi="Arial"/>
          <w:sz w:val="18"/>
          <w:szCs w:val="18"/>
          <w:color w:val="auto"/>
        </w:rPr>
        <w:t>Xerox Developing Markets Limited</w:t>
      </w:r>
    </w:p>
    <w:p>
      <w:pPr>
        <w:spacing w:after="0" w:line="235" w:lineRule="auto"/>
        <w:rPr>
          <w:sz w:val="20"/>
          <w:szCs w:val="20"/>
          <w:color w:val="auto"/>
        </w:rPr>
      </w:pPr>
      <w:r>
        <w:rPr>
          <w:rFonts w:ascii="Arial" w:cs="Arial" w:eastAsia="Arial" w:hAnsi="Arial"/>
          <w:sz w:val="18"/>
          <w:szCs w:val="18"/>
          <w:color w:val="auto"/>
        </w:rPr>
        <w:t>Sidh Securities Limited</w:t>
      </w:r>
    </w:p>
    <w:p>
      <w:pPr>
        <w:spacing w:after="0" w:line="235" w:lineRule="auto"/>
        <w:rPr>
          <w:sz w:val="20"/>
          <w:szCs w:val="20"/>
          <w:color w:val="auto"/>
        </w:rPr>
      </w:pPr>
      <w:r>
        <w:rPr>
          <w:rFonts w:ascii="Arial" w:cs="Arial" w:eastAsia="Arial" w:hAnsi="Arial"/>
          <w:sz w:val="18"/>
          <w:szCs w:val="18"/>
          <w:color w:val="auto"/>
        </w:rPr>
        <w:t>Xerox del Ecuador, S.A.</w:t>
      </w:r>
    </w:p>
    <w:p>
      <w:pPr>
        <w:spacing w:after="0" w:line="235" w:lineRule="auto"/>
        <w:rPr>
          <w:sz w:val="20"/>
          <w:szCs w:val="20"/>
          <w:color w:val="auto"/>
        </w:rPr>
      </w:pPr>
      <w:r>
        <w:rPr>
          <w:rFonts w:ascii="Arial" w:cs="Arial" w:eastAsia="Arial" w:hAnsi="Arial"/>
          <w:sz w:val="18"/>
          <w:szCs w:val="18"/>
          <w:color w:val="auto"/>
        </w:rPr>
        <w:t>Xerox Engineering Systems NV</w:t>
      </w:r>
    </w:p>
    <w:p>
      <w:pPr>
        <w:spacing w:after="0" w:line="235" w:lineRule="auto"/>
        <w:rPr>
          <w:sz w:val="20"/>
          <w:szCs w:val="20"/>
          <w:color w:val="auto"/>
        </w:rPr>
      </w:pPr>
      <w:r>
        <w:rPr>
          <w:rFonts w:ascii="Arial" w:cs="Arial" w:eastAsia="Arial" w:hAnsi="Arial"/>
          <w:sz w:val="18"/>
          <w:szCs w:val="18"/>
          <w:color w:val="auto"/>
        </w:rPr>
        <w:t>Xerox Export, LLC</w:t>
      </w:r>
    </w:p>
    <w:p>
      <w:pPr>
        <w:spacing w:after="0" w:line="235" w:lineRule="auto"/>
        <w:rPr>
          <w:sz w:val="20"/>
          <w:szCs w:val="20"/>
          <w:color w:val="auto"/>
        </w:rPr>
      </w:pPr>
      <w:r>
        <w:rPr>
          <w:rFonts w:ascii="Arial" w:cs="Arial" w:eastAsia="Arial" w:hAnsi="Arial"/>
          <w:sz w:val="18"/>
          <w:szCs w:val="18"/>
          <w:color w:val="auto"/>
        </w:rPr>
        <w:t>Xerox Europe Finance Limited Partnership</w:t>
      </w:r>
    </w:p>
    <w:p>
      <w:pPr>
        <w:spacing w:after="0" w:line="235" w:lineRule="auto"/>
        <w:rPr>
          <w:sz w:val="20"/>
          <w:szCs w:val="20"/>
          <w:color w:val="auto"/>
        </w:rPr>
      </w:pPr>
      <w:r>
        <w:rPr>
          <w:rFonts w:ascii="Arial" w:cs="Arial" w:eastAsia="Arial" w:hAnsi="Arial"/>
          <w:sz w:val="18"/>
          <w:szCs w:val="18"/>
          <w:color w:val="auto"/>
        </w:rPr>
        <w:t>Xerox European Funding LLC</w:t>
      </w:r>
    </w:p>
    <w:p>
      <w:pPr>
        <w:spacing w:after="0" w:line="235" w:lineRule="auto"/>
        <w:rPr>
          <w:sz w:val="20"/>
          <w:szCs w:val="20"/>
          <w:color w:val="auto"/>
        </w:rPr>
      </w:pPr>
      <w:r>
        <w:rPr>
          <w:rFonts w:ascii="Arial" w:cs="Arial" w:eastAsia="Arial" w:hAnsi="Arial"/>
          <w:sz w:val="18"/>
          <w:szCs w:val="18"/>
          <w:color w:val="auto"/>
        </w:rPr>
        <w:t>Xerox Finance, Inc.</w:t>
      </w:r>
    </w:p>
    <w:p>
      <w:pPr>
        <w:spacing w:after="0" w:line="234" w:lineRule="auto"/>
        <w:rPr>
          <w:sz w:val="20"/>
          <w:szCs w:val="20"/>
          <w:color w:val="auto"/>
        </w:rPr>
      </w:pPr>
      <w:r>
        <w:rPr>
          <w:rFonts w:ascii="Arial" w:cs="Arial" w:eastAsia="Arial" w:hAnsi="Arial"/>
          <w:sz w:val="18"/>
          <w:szCs w:val="18"/>
          <w:color w:val="auto"/>
        </w:rPr>
        <w:t>Xerox Investments Holding (Bermuda) Limited</w:t>
      </w:r>
    </w:p>
    <w:p>
      <w:pPr>
        <w:spacing w:after="0" w:line="235" w:lineRule="auto"/>
        <w:rPr>
          <w:sz w:val="20"/>
          <w:szCs w:val="20"/>
          <w:color w:val="auto"/>
        </w:rPr>
      </w:pPr>
      <w:r>
        <w:rPr>
          <w:rFonts w:ascii="Arial" w:cs="Arial" w:eastAsia="Arial" w:hAnsi="Arial"/>
          <w:sz w:val="18"/>
          <w:szCs w:val="18"/>
          <w:color w:val="auto"/>
        </w:rPr>
        <w:t>Xerox Financial Services, Inc.</w:t>
      </w:r>
    </w:p>
    <w:p>
      <w:pPr>
        <w:spacing w:after="0" w:line="235" w:lineRule="auto"/>
        <w:rPr>
          <w:sz w:val="20"/>
          <w:szCs w:val="20"/>
          <w:color w:val="auto"/>
        </w:rPr>
      </w:pPr>
      <w:r>
        <w:rPr>
          <w:rFonts w:ascii="Arial" w:cs="Arial" w:eastAsia="Arial" w:hAnsi="Arial"/>
          <w:sz w:val="18"/>
          <w:szCs w:val="18"/>
          <w:color w:val="auto"/>
        </w:rPr>
        <w:t>Talegen Holdings, Inc.</w:t>
      </w:r>
    </w:p>
    <w:p>
      <w:pPr>
        <w:spacing w:after="0" w:line="235" w:lineRule="auto"/>
        <w:rPr>
          <w:sz w:val="20"/>
          <w:szCs w:val="20"/>
          <w:color w:val="auto"/>
        </w:rPr>
      </w:pPr>
      <w:r>
        <w:rPr>
          <w:rFonts w:ascii="Arial" w:cs="Arial" w:eastAsia="Arial" w:hAnsi="Arial"/>
          <w:sz w:val="18"/>
          <w:szCs w:val="18"/>
          <w:color w:val="auto"/>
        </w:rPr>
        <w:t>Xerox Credit Corporation</w:t>
      </w:r>
    </w:p>
    <w:p>
      <w:pPr>
        <w:spacing w:after="0" w:line="235" w:lineRule="auto"/>
        <w:rPr>
          <w:sz w:val="20"/>
          <w:szCs w:val="20"/>
          <w:color w:val="auto"/>
        </w:rPr>
      </w:pPr>
      <w:r>
        <w:rPr>
          <w:rFonts w:ascii="Arial" w:cs="Arial" w:eastAsia="Arial" w:hAnsi="Arial"/>
          <w:sz w:val="18"/>
          <w:szCs w:val="18"/>
          <w:color w:val="auto"/>
        </w:rPr>
        <w:t>Xerox Foreign Sales Corporation</w:t>
      </w:r>
    </w:p>
    <w:p>
      <w:pPr>
        <w:spacing w:after="0" w:line="235" w:lineRule="auto"/>
        <w:rPr>
          <w:sz w:val="20"/>
          <w:szCs w:val="20"/>
          <w:color w:val="auto"/>
        </w:rPr>
      </w:pPr>
      <w:r>
        <w:rPr>
          <w:rFonts w:ascii="Arial" w:cs="Arial" w:eastAsia="Arial" w:hAnsi="Arial"/>
          <w:sz w:val="18"/>
          <w:szCs w:val="18"/>
          <w:color w:val="auto"/>
        </w:rPr>
        <w:t>Xerox d’Haiti, S.A.</w:t>
      </w:r>
    </w:p>
    <w:p>
      <w:pPr>
        <w:spacing w:after="0" w:line="235" w:lineRule="auto"/>
        <w:rPr>
          <w:sz w:val="20"/>
          <w:szCs w:val="20"/>
          <w:color w:val="auto"/>
        </w:rPr>
      </w:pPr>
      <w:r>
        <w:rPr>
          <w:rFonts w:ascii="Arial" w:cs="Arial" w:eastAsia="Arial" w:hAnsi="Arial"/>
          <w:sz w:val="18"/>
          <w:szCs w:val="18"/>
          <w:color w:val="auto"/>
        </w:rPr>
        <w:t>Xerox de Honduras, S.A.</w:t>
      </w:r>
    </w:p>
    <w:p>
      <w:pPr>
        <w:spacing w:after="0" w:line="235" w:lineRule="auto"/>
        <w:rPr>
          <w:sz w:val="20"/>
          <w:szCs w:val="20"/>
          <w:color w:val="auto"/>
        </w:rPr>
      </w:pPr>
      <w:r>
        <w:rPr>
          <w:rFonts w:ascii="Arial" w:cs="Arial" w:eastAsia="Arial" w:hAnsi="Arial"/>
          <w:sz w:val="18"/>
          <w:szCs w:val="18"/>
          <w:color w:val="auto"/>
        </w:rPr>
        <w:t>Xerox Imaging Systems, Inc.</w:t>
      </w:r>
    </w:p>
    <w:p>
      <w:pPr>
        <w:spacing w:after="0" w:line="235" w:lineRule="auto"/>
        <w:rPr>
          <w:sz w:val="20"/>
          <w:szCs w:val="20"/>
          <w:color w:val="auto"/>
        </w:rPr>
      </w:pPr>
      <w:r>
        <w:rPr>
          <w:rFonts w:ascii="Arial" w:cs="Arial" w:eastAsia="Arial" w:hAnsi="Arial"/>
          <w:sz w:val="18"/>
          <w:szCs w:val="18"/>
          <w:color w:val="auto"/>
        </w:rPr>
        <w:t>Xerox International Joint Marketing, Inc.</w:t>
      </w:r>
    </w:p>
    <w:p>
      <w:pPr>
        <w:spacing w:after="0" w:line="234" w:lineRule="auto"/>
        <w:rPr>
          <w:sz w:val="20"/>
          <w:szCs w:val="20"/>
          <w:color w:val="auto"/>
        </w:rPr>
      </w:pPr>
      <w:r>
        <w:rPr>
          <w:rFonts w:ascii="Arial" w:cs="Arial" w:eastAsia="Arial" w:hAnsi="Arial"/>
          <w:sz w:val="18"/>
          <w:szCs w:val="18"/>
          <w:color w:val="auto"/>
        </w:rPr>
        <w:t>Xerox International Partners</w:t>
      </w:r>
    </w:p>
    <w:p>
      <w:pPr>
        <w:spacing w:after="0" w:line="235" w:lineRule="auto"/>
        <w:rPr>
          <w:sz w:val="20"/>
          <w:szCs w:val="20"/>
          <w:color w:val="auto"/>
        </w:rPr>
      </w:pPr>
      <w:r>
        <w:rPr>
          <w:rFonts w:ascii="Arial" w:cs="Arial" w:eastAsia="Arial" w:hAnsi="Arial"/>
          <w:sz w:val="18"/>
          <w:szCs w:val="18"/>
          <w:color w:val="auto"/>
        </w:rPr>
        <w:t>Xerox Investments Europe B.V.</w:t>
      </w:r>
    </w:p>
    <w:p>
      <w:pPr>
        <w:spacing w:after="0" w:line="235" w:lineRule="auto"/>
        <w:rPr>
          <w:sz w:val="20"/>
          <w:szCs w:val="20"/>
          <w:color w:val="auto"/>
        </w:rPr>
      </w:pPr>
      <w:r>
        <w:rPr>
          <w:rFonts w:ascii="Arial" w:cs="Arial" w:eastAsia="Arial" w:hAnsi="Arial"/>
          <w:sz w:val="18"/>
          <w:szCs w:val="18"/>
          <w:color w:val="auto"/>
        </w:rPr>
        <w:t>XC Global Trading B.V.</w:t>
      </w:r>
    </w:p>
    <w:p>
      <w:pPr>
        <w:spacing w:after="0" w:line="235" w:lineRule="auto"/>
        <w:rPr>
          <w:sz w:val="20"/>
          <w:szCs w:val="20"/>
          <w:color w:val="auto"/>
        </w:rPr>
      </w:pPr>
      <w:r>
        <w:rPr>
          <w:rFonts w:ascii="Arial" w:cs="Arial" w:eastAsia="Arial" w:hAnsi="Arial"/>
          <w:sz w:val="18"/>
          <w:szCs w:val="18"/>
          <w:color w:val="auto"/>
        </w:rPr>
        <w:t>XC Trading Singapore Pte Ltd.</w:t>
      </w:r>
    </w:p>
    <w:p>
      <w:pPr>
        <w:spacing w:after="0" w:line="235" w:lineRule="auto"/>
        <w:rPr>
          <w:sz w:val="20"/>
          <w:szCs w:val="20"/>
          <w:color w:val="auto"/>
        </w:rPr>
      </w:pPr>
      <w:r>
        <w:rPr>
          <w:rFonts w:ascii="Arial" w:cs="Arial" w:eastAsia="Arial" w:hAnsi="Arial"/>
          <w:sz w:val="18"/>
          <w:szCs w:val="18"/>
          <w:color w:val="auto"/>
        </w:rPr>
        <w:t>XC Trading Hong Kong Limited</w:t>
      </w:r>
    </w:p>
    <w:p>
      <w:pPr>
        <w:spacing w:after="0" w:line="235" w:lineRule="auto"/>
        <w:rPr>
          <w:sz w:val="20"/>
          <w:szCs w:val="20"/>
          <w:color w:val="auto"/>
        </w:rPr>
      </w:pPr>
      <w:r>
        <w:rPr>
          <w:rFonts w:ascii="Arial" w:cs="Arial" w:eastAsia="Arial" w:hAnsi="Arial"/>
          <w:sz w:val="18"/>
          <w:szCs w:val="18"/>
          <w:color w:val="auto"/>
        </w:rPr>
        <w:t>XC Trading Japan G.K.</w:t>
      </w:r>
    </w:p>
    <w:p>
      <w:pPr>
        <w:spacing w:after="0" w:line="235" w:lineRule="auto"/>
        <w:rPr>
          <w:sz w:val="20"/>
          <w:szCs w:val="20"/>
          <w:color w:val="auto"/>
        </w:rPr>
      </w:pPr>
      <w:r>
        <w:rPr>
          <w:rFonts w:ascii="Arial" w:cs="Arial" w:eastAsia="Arial" w:hAnsi="Arial"/>
          <w:sz w:val="18"/>
          <w:szCs w:val="18"/>
          <w:color w:val="auto"/>
        </w:rPr>
        <w:t>XC Trading Korea VH</w:t>
      </w:r>
    </w:p>
    <w:p>
      <w:pPr>
        <w:spacing w:after="0" w:line="235" w:lineRule="auto"/>
        <w:rPr>
          <w:sz w:val="20"/>
          <w:szCs w:val="20"/>
          <w:color w:val="auto"/>
        </w:rPr>
      </w:pPr>
      <w:r>
        <w:rPr>
          <w:rFonts w:ascii="Arial" w:cs="Arial" w:eastAsia="Arial" w:hAnsi="Arial"/>
          <w:sz w:val="18"/>
          <w:szCs w:val="18"/>
          <w:color w:val="auto"/>
        </w:rPr>
        <w:t>XC Trading Malaysia</w:t>
      </w:r>
    </w:p>
    <w:p>
      <w:pPr>
        <w:spacing w:after="0" w:line="235" w:lineRule="auto"/>
        <w:rPr>
          <w:sz w:val="20"/>
          <w:szCs w:val="20"/>
          <w:color w:val="auto"/>
        </w:rPr>
      </w:pPr>
      <w:r>
        <w:rPr>
          <w:rFonts w:ascii="Arial" w:cs="Arial" w:eastAsia="Arial" w:hAnsi="Arial"/>
          <w:sz w:val="18"/>
          <w:szCs w:val="18"/>
          <w:color w:val="auto"/>
        </w:rPr>
        <w:t>XC Trading Shenzhen Co., Ltd.</w:t>
      </w:r>
    </w:p>
    <w:p>
      <w:pPr>
        <w:spacing w:after="0" w:line="235" w:lineRule="auto"/>
        <w:rPr>
          <w:sz w:val="20"/>
          <w:szCs w:val="20"/>
          <w:color w:val="auto"/>
        </w:rPr>
      </w:pPr>
      <w:r>
        <w:rPr>
          <w:rFonts w:ascii="Arial" w:cs="Arial" w:eastAsia="Arial" w:hAnsi="Arial"/>
          <w:sz w:val="18"/>
          <w:szCs w:val="18"/>
          <w:color w:val="auto"/>
        </w:rPr>
        <w:t>Xerox Holdings (Ireland) Limited</w:t>
      </w:r>
    </w:p>
    <w:p>
      <w:pPr>
        <w:spacing w:after="0" w:line="234" w:lineRule="auto"/>
        <w:rPr>
          <w:sz w:val="20"/>
          <w:szCs w:val="20"/>
          <w:color w:val="auto"/>
        </w:rPr>
      </w:pPr>
      <w:r>
        <w:rPr>
          <w:rFonts w:ascii="Arial" w:cs="Arial" w:eastAsia="Arial" w:hAnsi="Arial"/>
          <w:sz w:val="18"/>
          <w:szCs w:val="18"/>
          <w:color w:val="auto"/>
        </w:rPr>
        <w:t>Xerox (Europe) Limited</w:t>
      </w:r>
    </w:p>
    <w:p>
      <w:pPr>
        <w:spacing w:after="0" w:line="235" w:lineRule="auto"/>
        <w:rPr>
          <w:sz w:val="20"/>
          <w:szCs w:val="20"/>
          <w:color w:val="auto"/>
        </w:rPr>
      </w:pPr>
      <w:r>
        <w:rPr>
          <w:rFonts w:ascii="Arial" w:cs="Arial" w:eastAsia="Arial" w:hAnsi="Arial"/>
          <w:sz w:val="18"/>
          <w:szCs w:val="18"/>
          <w:color w:val="auto"/>
        </w:rPr>
        <w:t>Bipolar Limited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Monocolour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New York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-224155</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Venezuela</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Argentina (1)</w:t>
      </w:r>
    </w:p>
    <w:p>
      <w:pPr>
        <w:spacing w:after="0" w:line="234" w:lineRule="auto"/>
        <w:rPr>
          <w:sz w:val="20"/>
          <w:szCs w:val="20"/>
          <w:color w:val="auto"/>
        </w:rPr>
      </w:pPr>
      <w:r>
        <w:rPr>
          <w:rFonts w:ascii="Arial" w:cs="Arial" w:eastAsia="Arial" w:hAnsi="Arial"/>
          <w:sz w:val="18"/>
          <w:szCs w:val="18"/>
          <w:color w:val="auto"/>
        </w:rPr>
        <w:t>Canada</w:t>
      </w:r>
    </w:p>
    <w:p>
      <w:pPr>
        <w:spacing w:after="0" w:line="235" w:lineRule="auto"/>
        <w:rPr>
          <w:sz w:val="20"/>
          <w:szCs w:val="20"/>
          <w:color w:val="auto"/>
        </w:rPr>
      </w:pPr>
      <w:r>
        <w:rPr>
          <w:rFonts w:ascii="Arial" w:cs="Arial" w:eastAsia="Arial" w:hAnsi="Arial"/>
          <w:sz w:val="18"/>
          <w:szCs w:val="18"/>
          <w:color w:val="auto"/>
        </w:rPr>
        <w:t>Ontario</w:t>
      </w:r>
    </w:p>
    <w:p>
      <w:pPr>
        <w:spacing w:after="0" w:line="235" w:lineRule="auto"/>
        <w:rPr>
          <w:sz w:val="20"/>
          <w:szCs w:val="20"/>
          <w:color w:val="auto"/>
        </w:rPr>
      </w:pPr>
      <w:r>
        <w:rPr>
          <w:rFonts w:ascii="Arial" w:cs="Arial" w:eastAsia="Arial" w:hAnsi="Arial"/>
          <w:sz w:val="18"/>
          <w:szCs w:val="18"/>
          <w:color w:val="auto"/>
        </w:rPr>
        <w:t>Barbados (14)</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Barbados</w:t>
      </w:r>
    </w:p>
    <w:p>
      <w:pPr>
        <w:spacing w:after="0" w:line="235" w:lineRule="auto"/>
        <w:rPr>
          <w:sz w:val="20"/>
          <w:szCs w:val="20"/>
          <w:color w:val="auto"/>
        </w:rPr>
      </w:pPr>
      <w:r>
        <w:rPr>
          <w:rFonts w:ascii="Arial" w:cs="Arial" w:eastAsia="Arial" w:hAnsi="Arial"/>
          <w:sz w:val="18"/>
          <w:szCs w:val="18"/>
          <w:color w:val="auto"/>
        </w:rPr>
        <w:t>Luxembourg</w:t>
      </w:r>
    </w:p>
    <w:p>
      <w:pPr>
        <w:spacing w:after="0" w:line="234" w:lineRule="auto"/>
        <w:rPr>
          <w:sz w:val="20"/>
          <w:szCs w:val="20"/>
          <w:color w:val="auto"/>
        </w:rPr>
      </w:pPr>
      <w:r>
        <w:rPr>
          <w:rFonts w:ascii="Arial" w:cs="Arial" w:eastAsia="Arial" w:hAnsi="Arial"/>
          <w:sz w:val="18"/>
          <w:szCs w:val="18"/>
          <w:color w:val="auto"/>
        </w:rPr>
        <w:t>Ontario</w:t>
      </w:r>
    </w:p>
    <w:p>
      <w:pPr>
        <w:spacing w:after="0" w:line="235" w:lineRule="auto"/>
        <w:rPr>
          <w:sz w:val="20"/>
          <w:szCs w:val="20"/>
          <w:color w:val="auto"/>
        </w:rPr>
      </w:pPr>
      <w:r>
        <w:rPr>
          <w:rFonts w:ascii="Arial" w:cs="Arial" w:eastAsia="Arial" w:hAnsi="Arial"/>
          <w:sz w:val="18"/>
          <w:szCs w:val="18"/>
          <w:color w:val="auto"/>
        </w:rPr>
        <w:t>Ontario</w:t>
      </w:r>
    </w:p>
    <w:p>
      <w:pPr>
        <w:spacing w:after="0" w:line="235" w:lineRule="auto"/>
        <w:rPr>
          <w:sz w:val="20"/>
          <w:szCs w:val="20"/>
          <w:color w:val="auto"/>
        </w:rPr>
      </w:pPr>
      <w:r>
        <w:rPr>
          <w:rFonts w:ascii="Arial" w:cs="Arial" w:eastAsia="Arial" w:hAnsi="Arial"/>
          <w:sz w:val="18"/>
          <w:szCs w:val="18"/>
          <w:color w:val="auto"/>
        </w:rPr>
        <w:t>Ontario (16)</w:t>
      </w:r>
    </w:p>
    <w:p>
      <w:pPr>
        <w:spacing w:after="0" w:line="235" w:lineRule="auto"/>
        <w:rPr>
          <w:sz w:val="20"/>
          <w:szCs w:val="20"/>
          <w:color w:val="auto"/>
        </w:rPr>
      </w:pPr>
      <w:r>
        <w:rPr>
          <w:rFonts w:ascii="Arial" w:cs="Arial" w:eastAsia="Arial" w:hAnsi="Arial"/>
          <w:sz w:val="18"/>
          <w:szCs w:val="18"/>
          <w:color w:val="auto"/>
        </w:rPr>
        <w:t>Canada (4)</w:t>
      </w:r>
    </w:p>
    <w:p>
      <w:pPr>
        <w:spacing w:after="0" w:line="235" w:lineRule="auto"/>
        <w:rPr>
          <w:sz w:val="20"/>
          <w:szCs w:val="20"/>
          <w:color w:val="auto"/>
        </w:rPr>
      </w:pPr>
      <w:r>
        <w:rPr>
          <w:rFonts w:ascii="Arial" w:cs="Arial" w:eastAsia="Arial" w:hAnsi="Arial"/>
          <w:sz w:val="18"/>
          <w:szCs w:val="18"/>
          <w:color w:val="auto"/>
        </w:rPr>
        <w:t>Massachusetts (18)</w:t>
      </w:r>
    </w:p>
    <w:p>
      <w:pPr>
        <w:spacing w:after="0" w:line="235" w:lineRule="auto"/>
        <w:rPr>
          <w:sz w:val="20"/>
          <w:szCs w:val="20"/>
          <w:color w:val="auto"/>
        </w:rPr>
      </w:pPr>
      <w:r>
        <w:rPr>
          <w:rFonts w:ascii="Arial" w:cs="Arial" w:eastAsia="Arial" w:hAnsi="Arial"/>
          <w:sz w:val="18"/>
          <w:szCs w:val="18"/>
          <w:color w:val="auto"/>
        </w:rPr>
        <w:t>Nova Scotia</w:t>
      </w:r>
    </w:p>
    <w:p>
      <w:pPr>
        <w:spacing w:after="0"/>
        <w:rPr>
          <w:sz w:val="20"/>
          <w:szCs w:val="20"/>
          <w:color w:val="auto"/>
        </w:rPr>
      </w:pPr>
      <w:r>
        <w:rPr>
          <w:rFonts w:ascii="Arial" w:cs="Arial" w:eastAsia="Arial" w:hAnsi="Arial"/>
          <w:sz w:val="16"/>
          <w:szCs w:val="16"/>
          <w:color w:val="auto"/>
        </w:rPr>
        <w:t>Turks &amp; Caicos Islands (9)</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Delaware (17)</w:t>
      </w:r>
    </w:p>
    <w:p>
      <w:pPr>
        <w:spacing w:after="0" w:line="234" w:lineRule="auto"/>
        <w:rPr>
          <w:sz w:val="20"/>
          <w:szCs w:val="20"/>
          <w:color w:val="auto"/>
        </w:rPr>
      </w:pPr>
      <w:r>
        <w:rPr>
          <w:rFonts w:ascii="Arial" w:cs="Arial" w:eastAsia="Arial" w:hAnsi="Arial"/>
          <w:sz w:val="18"/>
          <w:szCs w:val="18"/>
          <w:color w:val="auto"/>
        </w:rPr>
        <w:t>Delaware (11)</w:t>
      </w:r>
    </w:p>
    <w:p>
      <w:pPr>
        <w:spacing w:after="0" w:line="235" w:lineRule="auto"/>
        <w:rPr>
          <w:sz w:val="20"/>
          <w:szCs w:val="20"/>
          <w:color w:val="auto"/>
        </w:rPr>
      </w:pPr>
      <w:r>
        <w:rPr>
          <w:rFonts w:ascii="Arial" w:cs="Arial" w:eastAsia="Arial" w:hAnsi="Arial"/>
          <w:sz w:val="18"/>
          <w:szCs w:val="18"/>
          <w:color w:val="auto"/>
        </w:rPr>
        <w:t>Chile (40)</w:t>
      </w:r>
    </w:p>
    <w:p>
      <w:pPr>
        <w:spacing w:after="0" w:line="235" w:lineRule="auto"/>
        <w:rPr>
          <w:sz w:val="20"/>
          <w:szCs w:val="20"/>
          <w:color w:val="auto"/>
        </w:rPr>
      </w:pPr>
      <w:r>
        <w:rPr>
          <w:rFonts w:ascii="Arial" w:cs="Arial" w:eastAsia="Arial" w:hAnsi="Arial"/>
          <w:sz w:val="18"/>
          <w:szCs w:val="18"/>
          <w:color w:val="auto"/>
        </w:rPr>
        <w:t>Colombia (29)</w:t>
      </w:r>
    </w:p>
    <w:p>
      <w:pPr>
        <w:spacing w:after="0" w:line="235" w:lineRule="auto"/>
        <w:rPr>
          <w:sz w:val="20"/>
          <w:szCs w:val="20"/>
          <w:color w:val="auto"/>
        </w:rPr>
      </w:pPr>
      <w:r>
        <w:rPr>
          <w:rFonts w:ascii="Arial" w:cs="Arial" w:eastAsia="Arial" w:hAnsi="Arial"/>
          <w:sz w:val="18"/>
          <w:szCs w:val="18"/>
          <w:color w:val="auto"/>
        </w:rPr>
        <w:t>Bermuda</w:t>
      </w:r>
    </w:p>
    <w:p>
      <w:pPr>
        <w:spacing w:after="0" w:line="235" w:lineRule="auto"/>
        <w:rPr>
          <w:sz w:val="20"/>
          <w:szCs w:val="20"/>
          <w:color w:val="auto"/>
        </w:rPr>
      </w:pPr>
      <w:r>
        <w:rPr>
          <w:rFonts w:ascii="Arial" w:cs="Arial" w:eastAsia="Arial" w:hAnsi="Arial"/>
          <w:sz w:val="18"/>
          <w:szCs w:val="18"/>
          <w:color w:val="auto"/>
        </w:rPr>
        <w:t>Mauritius</w:t>
      </w:r>
    </w:p>
    <w:p>
      <w:pPr>
        <w:spacing w:after="0" w:line="235" w:lineRule="auto"/>
        <w:rPr>
          <w:sz w:val="20"/>
          <w:szCs w:val="20"/>
          <w:color w:val="auto"/>
        </w:rPr>
      </w:pPr>
      <w:r>
        <w:rPr>
          <w:rFonts w:ascii="Arial" w:cs="Arial" w:eastAsia="Arial" w:hAnsi="Arial"/>
          <w:sz w:val="18"/>
          <w:szCs w:val="18"/>
          <w:color w:val="auto"/>
        </w:rPr>
        <w:t>Ecuador (32)</w:t>
      </w:r>
    </w:p>
    <w:p>
      <w:pPr>
        <w:spacing w:after="0" w:line="235" w:lineRule="auto"/>
        <w:rPr>
          <w:sz w:val="20"/>
          <w:szCs w:val="20"/>
          <w:color w:val="auto"/>
        </w:rPr>
      </w:pPr>
      <w:r>
        <w:rPr>
          <w:rFonts w:ascii="Arial" w:cs="Arial" w:eastAsia="Arial" w:hAnsi="Arial"/>
          <w:sz w:val="18"/>
          <w:szCs w:val="18"/>
          <w:color w:val="auto"/>
        </w:rPr>
        <w:t>Belgium</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Scotland (20)</w:t>
      </w:r>
    </w:p>
    <w:p>
      <w:pPr>
        <w:spacing w:after="0" w:line="234"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Bermuda</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Barbados</w:t>
      </w:r>
    </w:p>
    <w:p>
      <w:pPr>
        <w:spacing w:after="0" w:line="235" w:lineRule="auto"/>
        <w:rPr>
          <w:sz w:val="20"/>
          <w:szCs w:val="20"/>
          <w:color w:val="auto"/>
        </w:rPr>
      </w:pPr>
      <w:r>
        <w:rPr>
          <w:rFonts w:ascii="Arial" w:cs="Arial" w:eastAsia="Arial" w:hAnsi="Arial"/>
          <w:sz w:val="18"/>
          <w:szCs w:val="18"/>
          <w:color w:val="auto"/>
        </w:rPr>
        <w:t>Haiti</w:t>
      </w:r>
    </w:p>
    <w:p>
      <w:pPr>
        <w:spacing w:after="0" w:line="235" w:lineRule="auto"/>
        <w:rPr>
          <w:sz w:val="20"/>
          <w:szCs w:val="20"/>
          <w:color w:val="auto"/>
        </w:rPr>
      </w:pPr>
      <w:r>
        <w:rPr>
          <w:rFonts w:ascii="Arial" w:cs="Arial" w:eastAsia="Arial" w:hAnsi="Arial"/>
          <w:sz w:val="18"/>
          <w:szCs w:val="18"/>
          <w:color w:val="auto"/>
        </w:rPr>
        <w:t>Honduras</w:t>
      </w:r>
    </w:p>
    <w:p>
      <w:pPr>
        <w:spacing w:after="0" w:line="234"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California (10)</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Singapore</w:t>
      </w:r>
    </w:p>
    <w:p>
      <w:pPr>
        <w:spacing w:after="0" w:line="235" w:lineRule="auto"/>
        <w:rPr>
          <w:sz w:val="20"/>
          <w:szCs w:val="20"/>
          <w:color w:val="auto"/>
        </w:rPr>
      </w:pPr>
      <w:r>
        <w:rPr>
          <w:rFonts w:ascii="Arial" w:cs="Arial" w:eastAsia="Arial" w:hAnsi="Arial"/>
          <w:sz w:val="18"/>
          <w:szCs w:val="18"/>
          <w:color w:val="auto"/>
        </w:rPr>
        <w:t>Hong Kong</w:t>
      </w:r>
    </w:p>
    <w:p>
      <w:pPr>
        <w:spacing w:after="0" w:line="235" w:lineRule="auto"/>
        <w:rPr>
          <w:sz w:val="20"/>
          <w:szCs w:val="20"/>
          <w:color w:val="auto"/>
        </w:rPr>
      </w:pPr>
      <w:r>
        <w:rPr>
          <w:rFonts w:ascii="Arial" w:cs="Arial" w:eastAsia="Arial" w:hAnsi="Arial"/>
          <w:sz w:val="18"/>
          <w:szCs w:val="18"/>
          <w:color w:val="auto"/>
        </w:rPr>
        <w:t>Japan</w:t>
      </w:r>
    </w:p>
    <w:p>
      <w:pPr>
        <w:spacing w:after="0" w:line="235" w:lineRule="auto"/>
        <w:rPr>
          <w:sz w:val="20"/>
          <w:szCs w:val="20"/>
          <w:color w:val="auto"/>
        </w:rPr>
      </w:pPr>
      <w:r>
        <w:rPr>
          <w:rFonts w:ascii="Arial" w:cs="Arial" w:eastAsia="Arial" w:hAnsi="Arial"/>
          <w:sz w:val="18"/>
          <w:szCs w:val="18"/>
          <w:color w:val="auto"/>
        </w:rPr>
        <w:t>Korea</w:t>
      </w:r>
    </w:p>
    <w:p>
      <w:pPr>
        <w:spacing w:after="0" w:line="234" w:lineRule="auto"/>
        <w:rPr>
          <w:sz w:val="20"/>
          <w:szCs w:val="20"/>
          <w:color w:val="auto"/>
        </w:rPr>
      </w:pPr>
      <w:r>
        <w:rPr>
          <w:rFonts w:ascii="Arial" w:cs="Arial" w:eastAsia="Arial" w:hAnsi="Arial"/>
          <w:sz w:val="18"/>
          <w:szCs w:val="18"/>
          <w:color w:val="auto"/>
        </w:rPr>
        <w:t>Malaysia</w:t>
      </w:r>
    </w:p>
    <w:p>
      <w:pPr>
        <w:spacing w:after="0" w:line="235" w:lineRule="auto"/>
        <w:rPr>
          <w:sz w:val="20"/>
          <w:szCs w:val="20"/>
          <w:color w:val="auto"/>
        </w:rPr>
      </w:pPr>
      <w:r>
        <w:rPr>
          <w:rFonts w:ascii="Arial" w:cs="Arial" w:eastAsia="Arial" w:hAnsi="Arial"/>
          <w:sz w:val="18"/>
          <w:szCs w:val="18"/>
          <w:color w:val="auto"/>
        </w:rPr>
        <w:t>China</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Ireland</w:t>
      </w:r>
    </w:p>
    <w:p>
      <w:pPr>
        <w:spacing w:after="0"/>
        <w:rPr>
          <w:sz w:val="20"/>
          <w:szCs w:val="20"/>
          <w:color w:val="auto"/>
        </w:rPr>
      </w:pPr>
      <w:r>
        <w:rPr>
          <w:rFonts w:ascii="Arial" w:cs="Arial" w:eastAsia="Arial" w:hAnsi="Arial"/>
          <w:sz w:val="18"/>
          <w:szCs w:val="18"/>
          <w:color w:val="auto"/>
        </w:rPr>
        <w:t>Ireland</w:t>
      </w:r>
    </w:p>
    <w:p>
      <w:pPr>
        <w:sectPr>
          <w:pgSz w:w="11900" w:h="16838" w:orient="portrait"/>
          <w:cols w:equalWidth="0" w:num="2">
            <w:col w:w="5340" w:space="720"/>
            <w:col w:w="4159"/>
          </w:cols>
          <w:pgMar w:left="240" w:top="287" w:right="1440"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Pirrup Limited</w:t>
      </w:r>
    </w:p>
    <w:p>
      <w:pPr>
        <w:spacing w:after="0" w:line="234" w:lineRule="auto"/>
        <w:rPr>
          <w:sz w:val="20"/>
          <w:szCs w:val="20"/>
          <w:color w:val="auto"/>
        </w:rPr>
      </w:pPr>
      <w:r>
        <w:rPr>
          <w:rFonts w:ascii="Arial" w:cs="Arial" w:eastAsia="Arial" w:hAnsi="Arial"/>
          <w:sz w:val="18"/>
          <w:szCs w:val="18"/>
          <w:color w:val="auto"/>
        </w:rPr>
        <w:t>Toblersong Limited</w:t>
      </w:r>
    </w:p>
    <w:p>
      <w:pPr>
        <w:spacing w:after="0" w:line="235" w:lineRule="auto"/>
        <w:rPr>
          <w:sz w:val="20"/>
          <w:szCs w:val="20"/>
          <w:color w:val="auto"/>
        </w:rPr>
      </w:pPr>
      <w:r>
        <w:rPr>
          <w:rFonts w:ascii="Arial" w:cs="Arial" w:eastAsia="Arial" w:hAnsi="Arial"/>
          <w:sz w:val="18"/>
          <w:szCs w:val="18"/>
          <w:color w:val="auto"/>
        </w:rPr>
        <w:t>Xerox XF Holdings (Ireland) Limited</w:t>
      </w:r>
    </w:p>
    <w:p>
      <w:pPr>
        <w:spacing w:after="0" w:line="235" w:lineRule="auto"/>
        <w:rPr>
          <w:sz w:val="20"/>
          <w:szCs w:val="20"/>
          <w:color w:val="auto"/>
        </w:rPr>
      </w:pPr>
      <w:r>
        <w:rPr>
          <w:rFonts w:ascii="Arial" w:cs="Arial" w:eastAsia="Arial" w:hAnsi="Arial"/>
          <w:sz w:val="18"/>
          <w:szCs w:val="18"/>
          <w:color w:val="auto"/>
        </w:rPr>
        <w:t>Xerox Finance (Ireland) Limited</w:t>
      </w:r>
    </w:p>
    <w:p>
      <w:pPr>
        <w:spacing w:after="0" w:line="235" w:lineRule="auto"/>
        <w:rPr>
          <w:sz w:val="20"/>
          <w:szCs w:val="20"/>
          <w:color w:val="auto"/>
        </w:rPr>
      </w:pPr>
      <w:r>
        <w:rPr>
          <w:rFonts w:ascii="Arial" w:cs="Arial" w:eastAsia="Arial" w:hAnsi="Arial"/>
          <w:sz w:val="18"/>
          <w:szCs w:val="18"/>
          <w:color w:val="auto"/>
        </w:rPr>
        <w:t>Xerox Leasing Ireland Limited</w:t>
      </w:r>
    </w:p>
    <w:p>
      <w:pPr>
        <w:spacing w:after="0" w:line="235" w:lineRule="auto"/>
        <w:rPr>
          <w:sz w:val="20"/>
          <w:szCs w:val="20"/>
          <w:color w:val="auto"/>
        </w:rPr>
      </w:pPr>
      <w:r>
        <w:rPr>
          <w:rFonts w:ascii="Arial" w:cs="Arial" w:eastAsia="Arial" w:hAnsi="Arial"/>
          <w:sz w:val="18"/>
          <w:szCs w:val="18"/>
          <w:color w:val="auto"/>
        </w:rPr>
        <w:t>Xerox Israel Ltd.</w:t>
      </w:r>
    </w:p>
    <w:p>
      <w:pPr>
        <w:spacing w:after="0"/>
        <w:rPr>
          <w:sz w:val="20"/>
          <w:szCs w:val="20"/>
          <w:color w:val="auto"/>
        </w:rPr>
      </w:pPr>
      <w:r>
        <w:rPr>
          <w:rFonts w:ascii="Arial" w:cs="Arial" w:eastAsia="Arial" w:hAnsi="Arial"/>
          <w:sz w:val="16"/>
          <w:szCs w:val="16"/>
          <w:color w:val="auto"/>
        </w:rPr>
        <w:t>Xerox Middle East Investments (Bermuda) Limited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Bessemer Insurance Limited</w:t>
      </w:r>
    </w:p>
    <w:p>
      <w:pPr>
        <w:spacing w:after="0" w:line="234" w:lineRule="auto"/>
        <w:rPr>
          <w:sz w:val="20"/>
          <w:szCs w:val="20"/>
          <w:color w:val="auto"/>
        </w:rPr>
      </w:pPr>
      <w:r>
        <w:rPr>
          <w:rFonts w:ascii="Arial" w:cs="Arial" w:eastAsia="Arial" w:hAnsi="Arial"/>
          <w:sz w:val="18"/>
          <w:szCs w:val="18"/>
          <w:color w:val="auto"/>
        </w:rPr>
        <w:t>Reprographics Egypt Limited</w:t>
      </w:r>
    </w:p>
    <w:p>
      <w:pPr>
        <w:spacing w:after="0" w:line="235" w:lineRule="auto"/>
        <w:rPr>
          <w:sz w:val="20"/>
          <w:szCs w:val="20"/>
          <w:color w:val="auto"/>
        </w:rPr>
      </w:pPr>
      <w:r>
        <w:rPr>
          <w:rFonts w:ascii="Arial" w:cs="Arial" w:eastAsia="Arial" w:hAnsi="Arial"/>
          <w:sz w:val="18"/>
          <w:szCs w:val="18"/>
          <w:color w:val="auto"/>
        </w:rPr>
        <w:t>Xerox Egypt S.A.E.</w:t>
      </w:r>
    </w:p>
    <w:p>
      <w:pPr>
        <w:spacing w:after="0" w:line="235" w:lineRule="auto"/>
        <w:rPr>
          <w:sz w:val="20"/>
          <w:szCs w:val="20"/>
          <w:color w:val="auto"/>
        </w:rPr>
      </w:pPr>
      <w:r>
        <w:rPr>
          <w:rFonts w:ascii="Arial" w:cs="Arial" w:eastAsia="Arial" w:hAnsi="Arial"/>
          <w:sz w:val="18"/>
          <w:szCs w:val="18"/>
          <w:color w:val="auto"/>
        </w:rPr>
        <w:t>Xerox Finance Leasing S.A.E.</w:t>
      </w:r>
    </w:p>
    <w:p>
      <w:pPr>
        <w:spacing w:after="0" w:line="235" w:lineRule="auto"/>
        <w:rPr>
          <w:sz w:val="20"/>
          <w:szCs w:val="20"/>
          <w:color w:val="auto"/>
        </w:rPr>
      </w:pPr>
      <w:r>
        <w:rPr>
          <w:rFonts w:ascii="Arial" w:cs="Arial" w:eastAsia="Arial" w:hAnsi="Arial"/>
          <w:sz w:val="18"/>
          <w:szCs w:val="18"/>
          <w:color w:val="auto"/>
        </w:rPr>
        <w:t>Xerox Equipment Limited</w:t>
      </w:r>
    </w:p>
    <w:p>
      <w:pPr>
        <w:spacing w:after="0" w:line="235" w:lineRule="auto"/>
        <w:rPr>
          <w:sz w:val="20"/>
          <w:szCs w:val="20"/>
          <w:color w:val="auto"/>
        </w:rPr>
      </w:pPr>
      <w:r>
        <w:rPr>
          <w:rFonts w:ascii="Arial" w:cs="Arial" w:eastAsia="Arial" w:hAnsi="Arial"/>
          <w:sz w:val="18"/>
          <w:szCs w:val="18"/>
          <w:color w:val="auto"/>
        </w:rPr>
        <w:t>Xerox Maroc S.A.</w:t>
      </w:r>
    </w:p>
    <w:p>
      <w:pPr>
        <w:spacing w:after="0" w:line="235" w:lineRule="auto"/>
        <w:rPr>
          <w:sz w:val="20"/>
          <w:szCs w:val="20"/>
          <w:color w:val="auto"/>
        </w:rPr>
      </w:pPr>
      <w:r>
        <w:rPr>
          <w:rFonts w:ascii="Arial" w:cs="Arial" w:eastAsia="Arial" w:hAnsi="Arial"/>
          <w:sz w:val="18"/>
          <w:szCs w:val="18"/>
          <w:color w:val="auto"/>
        </w:rPr>
        <w:t>Xerox Products Limited</w:t>
      </w:r>
    </w:p>
    <w:p>
      <w:pPr>
        <w:spacing w:after="0" w:line="235" w:lineRule="auto"/>
        <w:rPr>
          <w:sz w:val="20"/>
          <w:szCs w:val="20"/>
          <w:color w:val="auto"/>
        </w:rPr>
      </w:pPr>
      <w:r>
        <w:rPr>
          <w:rFonts w:ascii="Arial" w:cs="Arial" w:eastAsia="Arial" w:hAnsi="Arial"/>
          <w:sz w:val="18"/>
          <w:szCs w:val="18"/>
          <w:color w:val="auto"/>
        </w:rPr>
        <w:t>Xerox UK Holdings Limited</w:t>
      </w:r>
    </w:p>
    <w:p>
      <w:pPr>
        <w:spacing w:after="0" w:line="235" w:lineRule="auto"/>
        <w:rPr>
          <w:sz w:val="20"/>
          <w:szCs w:val="20"/>
          <w:color w:val="auto"/>
        </w:rPr>
      </w:pPr>
      <w:r>
        <w:rPr>
          <w:rFonts w:ascii="Arial" w:cs="Arial" w:eastAsia="Arial" w:hAnsi="Arial"/>
          <w:sz w:val="18"/>
          <w:szCs w:val="18"/>
          <w:color w:val="auto"/>
        </w:rPr>
        <w:t>Triton Business Finance Limited</w:t>
      </w:r>
    </w:p>
    <w:p>
      <w:pPr>
        <w:spacing w:after="0" w:line="235" w:lineRule="auto"/>
        <w:rPr>
          <w:sz w:val="20"/>
          <w:szCs w:val="20"/>
          <w:color w:val="auto"/>
        </w:rPr>
      </w:pPr>
      <w:r>
        <w:rPr>
          <w:rFonts w:ascii="Arial" w:cs="Arial" w:eastAsia="Arial" w:hAnsi="Arial"/>
          <w:sz w:val="18"/>
          <w:szCs w:val="18"/>
          <w:color w:val="auto"/>
        </w:rPr>
        <w:t>Xerox Trading Enterprises Limited</w:t>
      </w:r>
    </w:p>
    <w:p>
      <w:pPr>
        <w:spacing w:after="0" w:line="234" w:lineRule="auto"/>
        <w:rPr>
          <w:sz w:val="20"/>
          <w:szCs w:val="20"/>
          <w:color w:val="auto"/>
        </w:rPr>
      </w:pPr>
      <w:r>
        <w:rPr>
          <w:rFonts w:ascii="Arial" w:cs="Arial" w:eastAsia="Arial" w:hAnsi="Arial"/>
          <w:sz w:val="18"/>
          <w:szCs w:val="18"/>
          <w:color w:val="auto"/>
        </w:rPr>
        <w:t>Xerox Overseas Holdings Limited</w:t>
      </w:r>
    </w:p>
    <w:p>
      <w:pPr>
        <w:spacing w:after="0" w:line="235" w:lineRule="auto"/>
        <w:rPr>
          <w:sz w:val="20"/>
          <w:szCs w:val="20"/>
          <w:color w:val="auto"/>
        </w:rPr>
      </w:pPr>
      <w:r>
        <w:rPr>
          <w:rFonts w:ascii="Arial" w:cs="Arial" w:eastAsia="Arial" w:hAnsi="Arial"/>
          <w:sz w:val="18"/>
          <w:szCs w:val="18"/>
          <w:color w:val="auto"/>
        </w:rPr>
        <w:t>Xerox Business Equipment Limited</w:t>
      </w:r>
    </w:p>
    <w:p>
      <w:pPr>
        <w:spacing w:after="0" w:line="235" w:lineRule="auto"/>
        <w:rPr>
          <w:sz w:val="20"/>
          <w:szCs w:val="20"/>
          <w:color w:val="auto"/>
        </w:rPr>
      </w:pPr>
      <w:r>
        <w:rPr>
          <w:rFonts w:ascii="Arial" w:cs="Arial" w:eastAsia="Arial" w:hAnsi="Arial"/>
          <w:sz w:val="18"/>
          <w:szCs w:val="18"/>
          <w:color w:val="auto"/>
        </w:rPr>
        <w:t>Xerox Computer Services Limited</w:t>
      </w:r>
    </w:p>
    <w:p>
      <w:pPr>
        <w:spacing w:after="0" w:line="235" w:lineRule="auto"/>
        <w:rPr>
          <w:sz w:val="20"/>
          <w:szCs w:val="20"/>
          <w:color w:val="auto"/>
        </w:rPr>
      </w:pPr>
      <w:r>
        <w:rPr>
          <w:rFonts w:ascii="Arial" w:cs="Arial" w:eastAsia="Arial" w:hAnsi="Arial"/>
          <w:sz w:val="18"/>
          <w:szCs w:val="18"/>
          <w:color w:val="auto"/>
        </w:rPr>
        <w:t>Xerox Mailing Systems Limited</w:t>
      </w:r>
    </w:p>
    <w:p>
      <w:pPr>
        <w:spacing w:after="0" w:line="235" w:lineRule="auto"/>
        <w:rPr>
          <w:sz w:val="20"/>
          <w:szCs w:val="20"/>
          <w:color w:val="auto"/>
        </w:rPr>
      </w:pPr>
      <w:r>
        <w:rPr>
          <w:rFonts w:ascii="Arial" w:cs="Arial" w:eastAsia="Arial" w:hAnsi="Arial"/>
          <w:sz w:val="18"/>
          <w:szCs w:val="18"/>
          <w:color w:val="auto"/>
        </w:rPr>
        <w:t>Xerox Holding (Nederland) B.V.</w:t>
      </w:r>
    </w:p>
    <w:p>
      <w:pPr>
        <w:spacing w:after="0" w:line="235" w:lineRule="auto"/>
        <w:rPr>
          <w:sz w:val="20"/>
          <w:szCs w:val="20"/>
          <w:color w:val="auto"/>
        </w:rPr>
      </w:pPr>
      <w:r>
        <w:rPr>
          <w:rFonts w:ascii="Arial" w:cs="Arial" w:eastAsia="Arial" w:hAnsi="Arial"/>
          <w:sz w:val="18"/>
          <w:szCs w:val="18"/>
          <w:color w:val="auto"/>
        </w:rPr>
        <w:t>Xerox Manufacturing (Nederland) B.V.</w:t>
      </w:r>
    </w:p>
    <w:p>
      <w:pPr>
        <w:spacing w:after="0" w:line="235" w:lineRule="auto"/>
        <w:rPr>
          <w:sz w:val="20"/>
          <w:szCs w:val="20"/>
          <w:color w:val="auto"/>
        </w:rPr>
      </w:pPr>
      <w:r>
        <w:rPr>
          <w:rFonts w:ascii="Arial" w:cs="Arial" w:eastAsia="Arial" w:hAnsi="Arial"/>
          <w:sz w:val="18"/>
          <w:szCs w:val="18"/>
          <w:color w:val="auto"/>
        </w:rPr>
        <w:t>Xerox Office Printing Distribution B.V.</w:t>
      </w:r>
    </w:p>
    <w:p>
      <w:pPr>
        <w:spacing w:after="0" w:line="235" w:lineRule="auto"/>
        <w:rPr>
          <w:sz w:val="20"/>
          <w:szCs w:val="20"/>
          <w:color w:val="auto"/>
        </w:rPr>
      </w:pPr>
      <w:r>
        <w:rPr>
          <w:rFonts w:ascii="Arial" w:cs="Arial" w:eastAsia="Arial" w:hAnsi="Arial"/>
          <w:sz w:val="18"/>
          <w:szCs w:val="18"/>
          <w:color w:val="auto"/>
        </w:rPr>
        <w:t>Xerox Limited</w:t>
      </w:r>
    </w:p>
    <w:p>
      <w:pPr>
        <w:spacing w:after="0" w:line="235" w:lineRule="auto"/>
        <w:rPr>
          <w:sz w:val="20"/>
          <w:szCs w:val="20"/>
          <w:color w:val="auto"/>
        </w:rPr>
      </w:pPr>
      <w:r>
        <w:rPr>
          <w:rFonts w:ascii="Arial" w:cs="Arial" w:eastAsia="Arial" w:hAnsi="Arial"/>
          <w:sz w:val="18"/>
          <w:szCs w:val="18"/>
          <w:color w:val="auto"/>
        </w:rPr>
        <w:t>Continua Limited</w:t>
      </w:r>
    </w:p>
    <w:p>
      <w:pPr>
        <w:spacing w:after="0" w:line="234" w:lineRule="auto"/>
        <w:rPr>
          <w:sz w:val="20"/>
          <w:szCs w:val="20"/>
          <w:color w:val="auto"/>
        </w:rPr>
      </w:pPr>
      <w:r>
        <w:rPr>
          <w:rFonts w:ascii="Arial" w:cs="Arial" w:eastAsia="Arial" w:hAnsi="Arial"/>
          <w:sz w:val="18"/>
          <w:szCs w:val="18"/>
          <w:color w:val="auto"/>
        </w:rPr>
        <w:t>Continua Sanctum Limited</w:t>
      </w:r>
    </w:p>
    <w:p>
      <w:pPr>
        <w:spacing w:after="0" w:line="235" w:lineRule="auto"/>
        <w:rPr>
          <w:sz w:val="20"/>
          <w:szCs w:val="20"/>
          <w:color w:val="auto"/>
        </w:rPr>
      </w:pPr>
      <w:r>
        <w:rPr>
          <w:rFonts w:ascii="Arial" w:cs="Arial" w:eastAsia="Arial" w:hAnsi="Arial"/>
          <w:sz w:val="18"/>
          <w:szCs w:val="18"/>
          <w:color w:val="auto"/>
        </w:rPr>
        <w:t>Limited Liability Company Xerox (C.I.S.)</w:t>
      </w:r>
    </w:p>
    <w:p>
      <w:pPr>
        <w:spacing w:after="0" w:line="235" w:lineRule="auto"/>
        <w:rPr>
          <w:sz w:val="20"/>
          <w:szCs w:val="20"/>
          <w:color w:val="auto"/>
        </w:rPr>
      </w:pPr>
      <w:r>
        <w:rPr>
          <w:rFonts w:ascii="Arial" w:cs="Arial" w:eastAsia="Arial" w:hAnsi="Arial"/>
          <w:sz w:val="18"/>
          <w:szCs w:val="18"/>
          <w:color w:val="auto"/>
        </w:rPr>
        <w:t>The Xerox (UK) Trust</w:t>
      </w:r>
    </w:p>
    <w:p>
      <w:pPr>
        <w:spacing w:after="0" w:line="235" w:lineRule="auto"/>
        <w:rPr>
          <w:sz w:val="20"/>
          <w:szCs w:val="20"/>
          <w:color w:val="auto"/>
        </w:rPr>
      </w:pPr>
      <w:r>
        <w:rPr>
          <w:rFonts w:ascii="Arial" w:cs="Arial" w:eastAsia="Arial" w:hAnsi="Arial"/>
          <w:sz w:val="18"/>
          <w:szCs w:val="18"/>
          <w:color w:val="auto"/>
        </w:rPr>
        <w:t>Xerox AG</w:t>
      </w:r>
    </w:p>
    <w:p>
      <w:pPr>
        <w:spacing w:after="0" w:line="235" w:lineRule="auto"/>
        <w:rPr>
          <w:sz w:val="20"/>
          <w:szCs w:val="20"/>
          <w:color w:val="auto"/>
        </w:rPr>
      </w:pPr>
      <w:r>
        <w:rPr>
          <w:rFonts w:ascii="Arial" w:cs="Arial" w:eastAsia="Arial" w:hAnsi="Arial"/>
          <w:sz w:val="18"/>
          <w:szCs w:val="18"/>
          <w:color w:val="auto"/>
        </w:rPr>
        <w:t>Xerox A/S</w:t>
      </w:r>
    </w:p>
    <w:p>
      <w:pPr>
        <w:spacing w:after="0" w:line="235" w:lineRule="auto"/>
        <w:rPr>
          <w:sz w:val="20"/>
          <w:szCs w:val="20"/>
          <w:color w:val="auto"/>
        </w:rPr>
      </w:pPr>
      <w:r>
        <w:rPr>
          <w:rFonts w:ascii="Arial" w:cs="Arial" w:eastAsia="Arial" w:hAnsi="Arial"/>
          <w:sz w:val="18"/>
          <w:szCs w:val="18"/>
          <w:color w:val="auto"/>
        </w:rPr>
        <w:t>Xerox Financial Services Danmark A/S</w:t>
      </w:r>
    </w:p>
    <w:p>
      <w:pPr>
        <w:spacing w:after="0" w:line="235" w:lineRule="auto"/>
        <w:rPr>
          <w:sz w:val="20"/>
          <w:szCs w:val="20"/>
          <w:color w:val="auto"/>
        </w:rPr>
      </w:pPr>
      <w:r>
        <w:rPr>
          <w:rFonts w:ascii="Arial" w:cs="Arial" w:eastAsia="Arial" w:hAnsi="Arial"/>
          <w:sz w:val="18"/>
          <w:szCs w:val="18"/>
          <w:color w:val="auto"/>
        </w:rPr>
        <w:t>Xerox AS</w:t>
      </w:r>
    </w:p>
    <w:p>
      <w:pPr>
        <w:spacing w:after="0" w:line="235" w:lineRule="auto"/>
        <w:rPr>
          <w:sz w:val="20"/>
          <w:szCs w:val="20"/>
          <w:color w:val="auto"/>
        </w:rPr>
      </w:pPr>
      <w:r>
        <w:rPr>
          <w:rFonts w:ascii="Arial" w:cs="Arial" w:eastAsia="Arial" w:hAnsi="Arial"/>
          <w:sz w:val="18"/>
          <w:szCs w:val="18"/>
          <w:color w:val="auto"/>
        </w:rPr>
        <w:t>Xerox Austria GmbH</w:t>
      </w:r>
    </w:p>
    <w:p>
      <w:pPr>
        <w:spacing w:after="0" w:line="235" w:lineRule="auto"/>
        <w:rPr>
          <w:sz w:val="20"/>
          <w:szCs w:val="20"/>
          <w:color w:val="auto"/>
        </w:rPr>
      </w:pPr>
      <w:r>
        <w:rPr>
          <w:rFonts w:ascii="Arial" w:cs="Arial" w:eastAsia="Arial" w:hAnsi="Arial"/>
          <w:sz w:val="18"/>
          <w:szCs w:val="18"/>
          <w:color w:val="auto"/>
        </w:rPr>
        <w:t>Xerox Global Services GmbH</w:t>
      </w:r>
    </w:p>
    <w:p>
      <w:pPr>
        <w:spacing w:after="0" w:line="234" w:lineRule="auto"/>
        <w:rPr>
          <w:sz w:val="20"/>
          <w:szCs w:val="20"/>
          <w:color w:val="auto"/>
        </w:rPr>
      </w:pPr>
      <w:r>
        <w:rPr>
          <w:rFonts w:ascii="Arial" w:cs="Arial" w:eastAsia="Arial" w:hAnsi="Arial"/>
          <w:sz w:val="18"/>
          <w:szCs w:val="18"/>
          <w:color w:val="auto"/>
        </w:rPr>
        <w:t>Xerox Leasing GmbH</w:t>
      </w:r>
    </w:p>
    <w:p>
      <w:pPr>
        <w:spacing w:after="0" w:line="235" w:lineRule="auto"/>
        <w:rPr>
          <w:sz w:val="20"/>
          <w:szCs w:val="20"/>
          <w:color w:val="auto"/>
        </w:rPr>
      </w:pPr>
      <w:r>
        <w:rPr>
          <w:rFonts w:ascii="Arial" w:cs="Arial" w:eastAsia="Arial" w:hAnsi="Arial"/>
          <w:sz w:val="18"/>
          <w:szCs w:val="18"/>
          <w:color w:val="auto"/>
        </w:rPr>
        <w:t>Xerox Office Supplies GmbH</w:t>
      </w:r>
    </w:p>
    <w:p>
      <w:pPr>
        <w:spacing w:after="0" w:line="235" w:lineRule="auto"/>
        <w:rPr>
          <w:sz w:val="20"/>
          <w:szCs w:val="20"/>
          <w:color w:val="auto"/>
        </w:rPr>
      </w:pPr>
      <w:r>
        <w:rPr>
          <w:rFonts w:ascii="Arial" w:cs="Arial" w:eastAsia="Arial" w:hAnsi="Arial"/>
          <w:sz w:val="18"/>
          <w:szCs w:val="18"/>
          <w:color w:val="auto"/>
        </w:rPr>
        <w:t>Xerox Bulgaria EOOD</w:t>
      </w:r>
    </w:p>
    <w:p>
      <w:pPr>
        <w:spacing w:after="0" w:line="235" w:lineRule="auto"/>
        <w:rPr>
          <w:sz w:val="20"/>
          <w:szCs w:val="20"/>
          <w:color w:val="auto"/>
        </w:rPr>
      </w:pPr>
      <w:r>
        <w:rPr>
          <w:rFonts w:ascii="Arial" w:cs="Arial" w:eastAsia="Arial" w:hAnsi="Arial"/>
          <w:sz w:val="18"/>
          <w:szCs w:val="18"/>
          <w:color w:val="auto"/>
        </w:rPr>
        <w:t>Xerox Buro Araciari Ticaret ve Servis A.S.</w:t>
      </w:r>
    </w:p>
    <w:p>
      <w:pPr>
        <w:spacing w:after="0" w:line="235" w:lineRule="auto"/>
        <w:rPr>
          <w:sz w:val="20"/>
          <w:szCs w:val="20"/>
          <w:color w:val="auto"/>
        </w:rPr>
      </w:pPr>
      <w:r>
        <w:rPr>
          <w:rFonts w:ascii="Arial" w:cs="Arial" w:eastAsia="Arial" w:hAnsi="Arial"/>
          <w:sz w:val="18"/>
          <w:szCs w:val="18"/>
          <w:color w:val="auto"/>
        </w:rPr>
        <w:t>Xerox Capital (Europe) Limited</w:t>
      </w:r>
    </w:p>
    <w:p>
      <w:pPr>
        <w:spacing w:after="0" w:line="235" w:lineRule="auto"/>
        <w:rPr>
          <w:sz w:val="20"/>
          <w:szCs w:val="20"/>
          <w:color w:val="auto"/>
        </w:rPr>
      </w:pPr>
      <w:r>
        <w:rPr>
          <w:rFonts w:ascii="Arial" w:cs="Arial" w:eastAsia="Arial" w:hAnsi="Arial"/>
          <w:sz w:val="18"/>
          <w:szCs w:val="18"/>
          <w:color w:val="auto"/>
        </w:rPr>
        <w:t>Veenman B.V.</w:t>
      </w:r>
    </w:p>
    <w:p>
      <w:pPr>
        <w:spacing w:after="0" w:line="235" w:lineRule="auto"/>
        <w:rPr>
          <w:sz w:val="20"/>
          <w:szCs w:val="20"/>
          <w:color w:val="auto"/>
        </w:rPr>
      </w:pPr>
      <w:r>
        <w:rPr>
          <w:rFonts w:ascii="Arial" w:cs="Arial" w:eastAsia="Arial" w:hAnsi="Arial"/>
          <w:sz w:val="18"/>
          <w:szCs w:val="18"/>
          <w:color w:val="auto"/>
        </w:rPr>
        <w:t>Veenman Financial Services B.V.</w:t>
      </w:r>
    </w:p>
    <w:p>
      <w:pPr>
        <w:spacing w:after="0" w:line="235" w:lineRule="auto"/>
        <w:rPr>
          <w:sz w:val="20"/>
          <w:szCs w:val="20"/>
          <w:color w:val="auto"/>
        </w:rPr>
      </w:pPr>
      <w:r>
        <w:rPr>
          <w:rFonts w:ascii="Arial" w:cs="Arial" w:eastAsia="Arial" w:hAnsi="Arial"/>
          <w:sz w:val="18"/>
          <w:szCs w:val="18"/>
          <w:color w:val="auto"/>
        </w:rPr>
        <w:t>Xerox AG</w:t>
      </w:r>
    </w:p>
    <w:p>
      <w:pPr>
        <w:spacing w:after="0" w:line="235" w:lineRule="auto"/>
        <w:rPr>
          <w:sz w:val="20"/>
          <w:szCs w:val="20"/>
          <w:color w:val="auto"/>
        </w:rPr>
      </w:pPr>
      <w:r>
        <w:rPr>
          <w:rFonts w:ascii="Arial" w:cs="Arial" w:eastAsia="Arial" w:hAnsi="Arial"/>
          <w:sz w:val="18"/>
          <w:szCs w:val="18"/>
          <w:color w:val="auto"/>
        </w:rPr>
        <w:t>Xerox A/S</w:t>
      </w:r>
    </w:p>
    <w:p>
      <w:pPr>
        <w:spacing w:after="0" w:line="234" w:lineRule="auto"/>
        <w:rPr>
          <w:sz w:val="20"/>
          <w:szCs w:val="20"/>
          <w:color w:val="auto"/>
        </w:rPr>
      </w:pPr>
      <w:r>
        <w:rPr>
          <w:rFonts w:ascii="Arial" w:cs="Arial" w:eastAsia="Arial" w:hAnsi="Arial"/>
          <w:sz w:val="18"/>
          <w:szCs w:val="18"/>
          <w:color w:val="auto"/>
        </w:rPr>
        <w:t>Xerox Financial Services Danmark A/S</w:t>
      </w:r>
    </w:p>
    <w:p>
      <w:pPr>
        <w:spacing w:after="0" w:line="235" w:lineRule="auto"/>
        <w:rPr>
          <w:sz w:val="20"/>
          <w:szCs w:val="20"/>
          <w:color w:val="auto"/>
        </w:rPr>
      </w:pPr>
      <w:r>
        <w:rPr>
          <w:rFonts w:ascii="Arial" w:cs="Arial" w:eastAsia="Arial" w:hAnsi="Arial"/>
          <w:sz w:val="18"/>
          <w:szCs w:val="18"/>
          <w:color w:val="auto"/>
        </w:rPr>
        <w:t>Xerox Finance AG</w:t>
      </w:r>
    </w:p>
    <w:p>
      <w:pPr>
        <w:spacing w:after="0" w:line="235" w:lineRule="auto"/>
        <w:rPr>
          <w:sz w:val="20"/>
          <w:szCs w:val="20"/>
          <w:color w:val="auto"/>
        </w:rPr>
      </w:pPr>
      <w:r>
        <w:rPr>
          <w:rFonts w:ascii="Arial" w:cs="Arial" w:eastAsia="Arial" w:hAnsi="Arial"/>
          <w:sz w:val="18"/>
          <w:szCs w:val="18"/>
          <w:color w:val="auto"/>
        </w:rPr>
        <w:t>Xerox Sverige AB</w:t>
      </w:r>
    </w:p>
    <w:p>
      <w:pPr>
        <w:spacing w:after="0" w:line="235" w:lineRule="auto"/>
        <w:rPr>
          <w:sz w:val="20"/>
          <w:szCs w:val="20"/>
          <w:color w:val="auto"/>
        </w:rPr>
      </w:pPr>
      <w:r>
        <w:rPr>
          <w:rFonts w:ascii="Arial" w:cs="Arial" w:eastAsia="Arial" w:hAnsi="Arial"/>
          <w:sz w:val="18"/>
          <w:szCs w:val="18"/>
          <w:color w:val="auto"/>
        </w:rPr>
        <w:t>Xerox (UK) Limited</w:t>
      </w:r>
    </w:p>
    <w:p>
      <w:pPr>
        <w:spacing w:after="0" w:line="235" w:lineRule="auto"/>
        <w:rPr>
          <w:sz w:val="20"/>
          <w:szCs w:val="20"/>
          <w:color w:val="auto"/>
        </w:rPr>
      </w:pPr>
      <w:r>
        <w:rPr>
          <w:rFonts w:ascii="Arial" w:cs="Arial" w:eastAsia="Arial" w:hAnsi="Arial"/>
          <w:sz w:val="18"/>
          <w:szCs w:val="18"/>
          <w:color w:val="auto"/>
        </w:rPr>
        <w:t>Bessemer Trust Limited</w:t>
      </w:r>
    </w:p>
    <w:p>
      <w:pPr>
        <w:spacing w:after="0" w:line="235" w:lineRule="auto"/>
        <w:rPr>
          <w:sz w:val="20"/>
          <w:szCs w:val="20"/>
          <w:color w:val="auto"/>
        </w:rPr>
      </w:pPr>
      <w:r>
        <w:rPr>
          <w:rFonts w:ascii="Arial" w:cs="Arial" w:eastAsia="Arial" w:hAnsi="Arial"/>
          <w:sz w:val="18"/>
          <w:szCs w:val="18"/>
          <w:color w:val="auto"/>
        </w:rPr>
        <w:t>Inserco Manufacturing Limited</w:t>
      </w:r>
    </w:p>
    <w:p>
      <w:pPr>
        <w:spacing w:after="0" w:line="235" w:lineRule="auto"/>
        <w:rPr>
          <w:sz w:val="20"/>
          <w:szCs w:val="20"/>
          <w:color w:val="auto"/>
        </w:rPr>
      </w:pPr>
      <w:r>
        <w:rPr>
          <w:rFonts w:ascii="Arial" w:cs="Arial" w:eastAsia="Arial" w:hAnsi="Arial"/>
          <w:sz w:val="18"/>
          <w:szCs w:val="18"/>
          <w:color w:val="auto"/>
        </w:rPr>
        <w:t>Xerox Finance Limited</w:t>
      </w:r>
    </w:p>
    <w:p>
      <w:pPr>
        <w:spacing w:after="0" w:line="235" w:lineRule="auto"/>
        <w:rPr>
          <w:sz w:val="20"/>
          <w:szCs w:val="20"/>
          <w:color w:val="auto"/>
        </w:rPr>
      </w:pPr>
      <w:r>
        <w:rPr>
          <w:rFonts w:ascii="Arial" w:cs="Arial" w:eastAsia="Arial" w:hAnsi="Arial"/>
          <w:sz w:val="18"/>
          <w:szCs w:val="18"/>
          <w:color w:val="auto"/>
        </w:rPr>
        <w:t>Xerox Office Supplies Limited</w:t>
      </w:r>
    </w:p>
    <w:p>
      <w:pPr>
        <w:spacing w:after="0" w:line="235" w:lineRule="auto"/>
        <w:rPr>
          <w:sz w:val="20"/>
          <w:szCs w:val="20"/>
          <w:color w:val="auto"/>
        </w:rPr>
      </w:pPr>
      <w:r>
        <w:rPr>
          <w:rFonts w:ascii="Arial" w:cs="Arial" w:eastAsia="Arial" w:hAnsi="Arial"/>
          <w:sz w:val="18"/>
          <w:szCs w:val="18"/>
          <w:color w:val="auto"/>
        </w:rPr>
        <w:t>Xerox (R &amp; S) Limited</w:t>
      </w:r>
    </w:p>
    <w:p>
      <w:pPr>
        <w:spacing w:after="0" w:line="235" w:lineRule="auto"/>
        <w:rPr>
          <w:sz w:val="20"/>
          <w:szCs w:val="20"/>
          <w:color w:val="auto"/>
        </w:rPr>
      </w:pPr>
      <w:r>
        <w:rPr>
          <w:rFonts w:ascii="Arial" w:cs="Arial" w:eastAsia="Arial" w:hAnsi="Arial"/>
          <w:sz w:val="18"/>
          <w:szCs w:val="18"/>
          <w:color w:val="auto"/>
        </w:rPr>
        <w:t>Xerox Channels Limited</w:t>
      </w:r>
    </w:p>
    <w:p>
      <w:pPr>
        <w:spacing w:after="0" w:line="234" w:lineRule="auto"/>
        <w:rPr>
          <w:sz w:val="20"/>
          <w:szCs w:val="20"/>
          <w:color w:val="auto"/>
        </w:rPr>
      </w:pPr>
      <w:r>
        <w:rPr>
          <w:rFonts w:ascii="Arial" w:cs="Arial" w:eastAsia="Arial" w:hAnsi="Arial"/>
          <w:sz w:val="18"/>
          <w:szCs w:val="18"/>
          <w:color w:val="auto"/>
        </w:rPr>
        <w:t>XEROX CZECH Republic s r.o.</w:t>
      </w:r>
    </w:p>
    <w:p>
      <w:pPr>
        <w:spacing w:after="0" w:line="235" w:lineRule="auto"/>
        <w:rPr>
          <w:sz w:val="20"/>
          <w:szCs w:val="20"/>
          <w:color w:val="auto"/>
        </w:rPr>
      </w:pPr>
      <w:r>
        <w:rPr>
          <w:rFonts w:ascii="Arial" w:cs="Arial" w:eastAsia="Arial" w:hAnsi="Arial"/>
          <w:sz w:val="18"/>
          <w:szCs w:val="18"/>
          <w:color w:val="auto"/>
        </w:rPr>
        <w:t>Xerox Direct Rhein-Main GmbH</w:t>
      </w:r>
    </w:p>
    <w:p>
      <w:pPr>
        <w:spacing w:after="0" w:line="235" w:lineRule="auto"/>
        <w:rPr>
          <w:sz w:val="20"/>
          <w:szCs w:val="20"/>
          <w:color w:val="auto"/>
        </w:rPr>
      </w:pPr>
      <w:r>
        <w:rPr>
          <w:rFonts w:ascii="Arial" w:cs="Arial" w:eastAsia="Arial" w:hAnsi="Arial"/>
          <w:sz w:val="18"/>
          <w:szCs w:val="18"/>
          <w:color w:val="auto"/>
        </w:rPr>
        <w:t>Xerox Espana, S.A.U.</w:t>
      </w:r>
    </w:p>
    <w:p>
      <w:pPr>
        <w:spacing w:after="0" w:line="235" w:lineRule="auto"/>
        <w:rPr>
          <w:sz w:val="20"/>
          <w:szCs w:val="20"/>
          <w:color w:val="auto"/>
        </w:rPr>
      </w:pPr>
      <w:r>
        <w:rPr>
          <w:rFonts w:ascii="Arial" w:cs="Arial" w:eastAsia="Arial" w:hAnsi="Arial"/>
          <w:sz w:val="18"/>
          <w:szCs w:val="18"/>
          <w:color w:val="auto"/>
        </w:rPr>
        <w:t>Xerox Fabricacion S.A.U.</w:t>
      </w:r>
    </w:p>
    <w:p>
      <w:pPr>
        <w:spacing w:after="0" w:line="235" w:lineRule="auto"/>
        <w:rPr>
          <w:sz w:val="20"/>
          <w:szCs w:val="20"/>
          <w:color w:val="auto"/>
        </w:rPr>
      </w:pPr>
      <w:r>
        <w:rPr>
          <w:rFonts w:ascii="Arial" w:cs="Arial" w:eastAsia="Arial" w:hAnsi="Arial"/>
          <w:sz w:val="18"/>
          <w:szCs w:val="18"/>
          <w:color w:val="auto"/>
        </w:rPr>
        <w:t>Xerox Renting S.A.U.</w:t>
      </w:r>
    </w:p>
    <w:p>
      <w:pPr>
        <w:spacing w:after="0"/>
        <w:rPr>
          <w:sz w:val="20"/>
          <w:szCs w:val="20"/>
          <w:color w:val="auto"/>
        </w:rPr>
      </w:pPr>
      <w:r>
        <w:rPr>
          <w:rFonts w:ascii="Arial" w:cs="Arial" w:eastAsia="Arial" w:hAnsi="Arial"/>
          <w:sz w:val="18"/>
          <w:szCs w:val="18"/>
          <w:color w:val="auto"/>
        </w:rPr>
        <w:t>Xerox Office Supplies S.A.U.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-224155</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Jersey</w:t>
      </w:r>
    </w:p>
    <w:p>
      <w:pPr>
        <w:spacing w:after="0" w:line="235" w:lineRule="auto"/>
        <w:rPr>
          <w:sz w:val="20"/>
          <w:szCs w:val="20"/>
          <w:color w:val="auto"/>
        </w:rPr>
      </w:pPr>
      <w:r>
        <w:rPr>
          <w:rFonts w:ascii="Arial" w:cs="Arial" w:eastAsia="Arial" w:hAnsi="Arial"/>
          <w:sz w:val="18"/>
          <w:szCs w:val="18"/>
          <w:color w:val="auto"/>
        </w:rPr>
        <w:t>Israel</w:t>
      </w:r>
    </w:p>
    <w:p>
      <w:pPr>
        <w:spacing w:after="0" w:line="235" w:lineRule="auto"/>
        <w:rPr>
          <w:sz w:val="20"/>
          <w:szCs w:val="20"/>
          <w:color w:val="auto"/>
        </w:rPr>
      </w:pPr>
      <w:r>
        <w:rPr>
          <w:rFonts w:ascii="Arial" w:cs="Arial" w:eastAsia="Arial" w:hAnsi="Arial"/>
          <w:sz w:val="18"/>
          <w:szCs w:val="18"/>
          <w:color w:val="auto"/>
        </w:rPr>
        <w:t>Bermuda</w:t>
      </w:r>
    </w:p>
    <w:p>
      <w:pPr>
        <w:spacing w:after="0" w:line="235" w:lineRule="auto"/>
        <w:rPr>
          <w:sz w:val="20"/>
          <w:szCs w:val="20"/>
          <w:color w:val="auto"/>
        </w:rPr>
      </w:pPr>
      <w:r>
        <w:rPr>
          <w:rFonts w:ascii="Arial" w:cs="Arial" w:eastAsia="Arial" w:hAnsi="Arial"/>
          <w:sz w:val="18"/>
          <w:szCs w:val="18"/>
          <w:color w:val="auto"/>
        </w:rPr>
        <w:t>Bermuda</w:t>
      </w:r>
    </w:p>
    <w:p>
      <w:pPr>
        <w:spacing w:after="0" w:line="235" w:lineRule="auto"/>
        <w:rPr>
          <w:sz w:val="20"/>
          <w:szCs w:val="20"/>
          <w:color w:val="auto"/>
        </w:rPr>
      </w:pPr>
      <w:r>
        <w:rPr>
          <w:rFonts w:ascii="Arial" w:cs="Arial" w:eastAsia="Arial" w:hAnsi="Arial"/>
          <w:sz w:val="18"/>
          <w:szCs w:val="18"/>
          <w:color w:val="auto"/>
        </w:rPr>
        <w:t>Egypt</w:t>
      </w:r>
    </w:p>
    <w:p>
      <w:pPr>
        <w:spacing w:after="0" w:line="235" w:lineRule="auto"/>
        <w:rPr>
          <w:sz w:val="20"/>
          <w:szCs w:val="20"/>
          <w:color w:val="auto"/>
        </w:rPr>
      </w:pPr>
      <w:r>
        <w:rPr>
          <w:rFonts w:ascii="Arial" w:cs="Arial" w:eastAsia="Arial" w:hAnsi="Arial"/>
          <w:sz w:val="18"/>
          <w:szCs w:val="18"/>
          <w:color w:val="auto"/>
        </w:rPr>
        <w:t>Egypt</w:t>
      </w:r>
    </w:p>
    <w:p>
      <w:pPr>
        <w:spacing w:after="0" w:line="234" w:lineRule="auto"/>
        <w:rPr>
          <w:sz w:val="20"/>
          <w:szCs w:val="20"/>
          <w:color w:val="auto"/>
        </w:rPr>
      </w:pPr>
      <w:r>
        <w:rPr>
          <w:rFonts w:ascii="Arial" w:cs="Arial" w:eastAsia="Arial" w:hAnsi="Arial"/>
          <w:sz w:val="18"/>
          <w:szCs w:val="18"/>
          <w:color w:val="auto"/>
        </w:rPr>
        <w:t>Egypt</w:t>
      </w:r>
    </w:p>
    <w:p>
      <w:pPr>
        <w:spacing w:after="0" w:line="235" w:lineRule="auto"/>
        <w:rPr>
          <w:sz w:val="20"/>
          <w:szCs w:val="20"/>
          <w:color w:val="auto"/>
        </w:rPr>
      </w:pPr>
      <w:r>
        <w:rPr>
          <w:rFonts w:ascii="Arial" w:cs="Arial" w:eastAsia="Arial" w:hAnsi="Arial"/>
          <w:sz w:val="18"/>
          <w:szCs w:val="18"/>
          <w:color w:val="auto"/>
        </w:rPr>
        <w:t>Bermuda</w:t>
      </w:r>
    </w:p>
    <w:p>
      <w:pPr>
        <w:spacing w:after="0" w:line="235" w:lineRule="auto"/>
        <w:rPr>
          <w:sz w:val="20"/>
          <w:szCs w:val="20"/>
          <w:color w:val="auto"/>
        </w:rPr>
      </w:pPr>
      <w:r>
        <w:rPr>
          <w:rFonts w:ascii="Arial" w:cs="Arial" w:eastAsia="Arial" w:hAnsi="Arial"/>
          <w:sz w:val="18"/>
          <w:szCs w:val="18"/>
          <w:color w:val="auto"/>
        </w:rPr>
        <w:t>Morocco (2)</w:t>
      </w:r>
    </w:p>
    <w:p>
      <w:pPr>
        <w:spacing w:after="0" w:line="235" w:lineRule="auto"/>
        <w:rPr>
          <w:sz w:val="20"/>
          <w:szCs w:val="20"/>
          <w:color w:val="auto"/>
        </w:rPr>
      </w:pPr>
      <w:r>
        <w:rPr>
          <w:rFonts w:ascii="Arial" w:cs="Arial" w:eastAsia="Arial" w:hAnsi="Arial"/>
          <w:sz w:val="18"/>
          <w:szCs w:val="18"/>
          <w:color w:val="auto"/>
        </w:rPr>
        <w:t>Bermuda</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4"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United Kingdom (6)</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Russia</w:t>
      </w:r>
    </w:p>
    <w:p>
      <w:pPr>
        <w:spacing w:after="0" w:line="234"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Switzerland</w:t>
      </w:r>
    </w:p>
    <w:p>
      <w:pPr>
        <w:spacing w:after="0" w:line="235" w:lineRule="auto"/>
        <w:rPr>
          <w:sz w:val="20"/>
          <w:szCs w:val="20"/>
          <w:color w:val="auto"/>
        </w:rPr>
      </w:pPr>
      <w:r>
        <w:rPr>
          <w:rFonts w:ascii="Arial" w:cs="Arial" w:eastAsia="Arial" w:hAnsi="Arial"/>
          <w:sz w:val="18"/>
          <w:szCs w:val="18"/>
          <w:color w:val="auto"/>
        </w:rPr>
        <w:t>Denmark</w:t>
      </w:r>
    </w:p>
    <w:p>
      <w:pPr>
        <w:spacing w:after="0" w:line="235" w:lineRule="auto"/>
        <w:rPr>
          <w:sz w:val="20"/>
          <w:szCs w:val="20"/>
          <w:color w:val="auto"/>
        </w:rPr>
      </w:pPr>
      <w:r>
        <w:rPr>
          <w:rFonts w:ascii="Arial" w:cs="Arial" w:eastAsia="Arial" w:hAnsi="Arial"/>
          <w:sz w:val="18"/>
          <w:szCs w:val="18"/>
          <w:color w:val="auto"/>
        </w:rPr>
        <w:t>Denmark</w:t>
      </w:r>
    </w:p>
    <w:p>
      <w:pPr>
        <w:spacing w:after="0" w:line="235" w:lineRule="auto"/>
        <w:rPr>
          <w:sz w:val="20"/>
          <w:szCs w:val="20"/>
          <w:color w:val="auto"/>
        </w:rPr>
      </w:pPr>
      <w:r>
        <w:rPr>
          <w:rFonts w:ascii="Arial" w:cs="Arial" w:eastAsia="Arial" w:hAnsi="Arial"/>
          <w:sz w:val="18"/>
          <w:szCs w:val="18"/>
          <w:color w:val="auto"/>
        </w:rPr>
        <w:t>Norway</w:t>
      </w:r>
    </w:p>
    <w:p>
      <w:pPr>
        <w:spacing w:after="0" w:line="235" w:lineRule="auto"/>
        <w:rPr>
          <w:sz w:val="20"/>
          <w:szCs w:val="20"/>
          <w:color w:val="auto"/>
        </w:rPr>
      </w:pPr>
      <w:r>
        <w:rPr>
          <w:rFonts w:ascii="Arial" w:cs="Arial" w:eastAsia="Arial" w:hAnsi="Arial"/>
          <w:sz w:val="18"/>
          <w:szCs w:val="18"/>
          <w:color w:val="auto"/>
        </w:rPr>
        <w:t>Austria</w:t>
      </w:r>
    </w:p>
    <w:p>
      <w:pPr>
        <w:spacing w:after="0" w:line="235" w:lineRule="auto"/>
        <w:rPr>
          <w:sz w:val="20"/>
          <w:szCs w:val="20"/>
          <w:color w:val="auto"/>
        </w:rPr>
      </w:pPr>
      <w:r>
        <w:rPr>
          <w:rFonts w:ascii="Arial" w:cs="Arial" w:eastAsia="Arial" w:hAnsi="Arial"/>
          <w:sz w:val="18"/>
          <w:szCs w:val="18"/>
          <w:color w:val="auto"/>
        </w:rPr>
        <w:t>Austria</w:t>
      </w:r>
    </w:p>
    <w:p>
      <w:pPr>
        <w:spacing w:after="0" w:line="235" w:lineRule="auto"/>
        <w:rPr>
          <w:sz w:val="20"/>
          <w:szCs w:val="20"/>
          <w:color w:val="auto"/>
        </w:rPr>
      </w:pPr>
      <w:r>
        <w:rPr>
          <w:rFonts w:ascii="Arial" w:cs="Arial" w:eastAsia="Arial" w:hAnsi="Arial"/>
          <w:sz w:val="18"/>
          <w:szCs w:val="18"/>
          <w:color w:val="auto"/>
        </w:rPr>
        <w:t>Austria</w:t>
      </w:r>
    </w:p>
    <w:p>
      <w:pPr>
        <w:spacing w:after="0" w:line="235" w:lineRule="auto"/>
        <w:rPr>
          <w:sz w:val="20"/>
          <w:szCs w:val="20"/>
          <w:color w:val="auto"/>
        </w:rPr>
      </w:pPr>
      <w:r>
        <w:rPr>
          <w:rFonts w:ascii="Arial" w:cs="Arial" w:eastAsia="Arial" w:hAnsi="Arial"/>
          <w:sz w:val="18"/>
          <w:szCs w:val="18"/>
          <w:color w:val="auto"/>
        </w:rPr>
        <w:t>Austria</w:t>
      </w:r>
    </w:p>
    <w:p>
      <w:pPr>
        <w:spacing w:after="0" w:line="234" w:lineRule="auto"/>
        <w:rPr>
          <w:sz w:val="20"/>
          <w:szCs w:val="20"/>
          <w:color w:val="auto"/>
        </w:rPr>
      </w:pPr>
      <w:r>
        <w:rPr>
          <w:rFonts w:ascii="Arial" w:cs="Arial" w:eastAsia="Arial" w:hAnsi="Arial"/>
          <w:sz w:val="18"/>
          <w:szCs w:val="18"/>
          <w:color w:val="auto"/>
        </w:rPr>
        <w:t>Bulgaria</w:t>
      </w:r>
    </w:p>
    <w:p>
      <w:pPr>
        <w:spacing w:after="0" w:line="235" w:lineRule="auto"/>
        <w:rPr>
          <w:sz w:val="20"/>
          <w:szCs w:val="20"/>
          <w:color w:val="auto"/>
        </w:rPr>
      </w:pPr>
      <w:r>
        <w:rPr>
          <w:rFonts w:ascii="Arial" w:cs="Arial" w:eastAsia="Arial" w:hAnsi="Arial"/>
          <w:sz w:val="18"/>
          <w:szCs w:val="18"/>
          <w:color w:val="auto"/>
        </w:rPr>
        <w:t>Turkey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(12)</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4"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Switzerland</w:t>
      </w:r>
    </w:p>
    <w:p>
      <w:pPr>
        <w:spacing w:after="0" w:line="235" w:lineRule="auto"/>
        <w:rPr>
          <w:sz w:val="20"/>
          <w:szCs w:val="20"/>
          <w:color w:val="auto"/>
        </w:rPr>
      </w:pPr>
      <w:r>
        <w:rPr>
          <w:rFonts w:ascii="Arial" w:cs="Arial" w:eastAsia="Arial" w:hAnsi="Arial"/>
          <w:sz w:val="18"/>
          <w:szCs w:val="18"/>
          <w:color w:val="auto"/>
        </w:rPr>
        <w:t>Denmark</w:t>
      </w:r>
    </w:p>
    <w:p>
      <w:pPr>
        <w:spacing w:after="0" w:line="235" w:lineRule="auto"/>
        <w:rPr>
          <w:sz w:val="20"/>
          <w:szCs w:val="20"/>
          <w:color w:val="auto"/>
        </w:rPr>
      </w:pPr>
      <w:r>
        <w:rPr>
          <w:rFonts w:ascii="Arial" w:cs="Arial" w:eastAsia="Arial" w:hAnsi="Arial"/>
          <w:sz w:val="18"/>
          <w:szCs w:val="18"/>
          <w:color w:val="auto"/>
        </w:rPr>
        <w:t>Denmark</w:t>
      </w:r>
    </w:p>
    <w:p>
      <w:pPr>
        <w:spacing w:after="0" w:line="235" w:lineRule="auto"/>
        <w:rPr>
          <w:sz w:val="20"/>
          <w:szCs w:val="20"/>
          <w:color w:val="auto"/>
        </w:rPr>
      </w:pPr>
      <w:r>
        <w:rPr>
          <w:rFonts w:ascii="Arial" w:cs="Arial" w:eastAsia="Arial" w:hAnsi="Arial"/>
          <w:sz w:val="18"/>
          <w:szCs w:val="18"/>
          <w:color w:val="auto"/>
        </w:rPr>
        <w:t>Switzerland</w:t>
      </w:r>
    </w:p>
    <w:p>
      <w:pPr>
        <w:spacing w:after="0" w:line="235" w:lineRule="auto"/>
        <w:rPr>
          <w:sz w:val="20"/>
          <w:szCs w:val="20"/>
          <w:color w:val="auto"/>
        </w:rPr>
      </w:pPr>
      <w:r>
        <w:rPr>
          <w:rFonts w:ascii="Arial" w:cs="Arial" w:eastAsia="Arial" w:hAnsi="Arial"/>
          <w:sz w:val="18"/>
          <w:szCs w:val="18"/>
          <w:color w:val="auto"/>
        </w:rPr>
        <w:t>Sweden</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4"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Czech Republic</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Spain</w:t>
      </w:r>
    </w:p>
    <w:p>
      <w:pPr>
        <w:spacing w:after="0" w:line="235" w:lineRule="auto"/>
        <w:rPr>
          <w:sz w:val="20"/>
          <w:szCs w:val="20"/>
          <w:color w:val="auto"/>
        </w:rPr>
      </w:pPr>
      <w:r>
        <w:rPr>
          <w:rFonts w:ascii="Arial" w:cs="Arial" w:eastAsia="Arial" w:hAnsi="Arial"/>
          <w:sz w:val="18"/>
          <w:szCs w:val="18"/>
          <w:color w:val="auto"/>
        </w:rPr>
        <w:t>Spain</w:t>
      </w:r>
    </w:p>
    <w:p>
      <w:pPr>
        <w:spacing w:after="0" w:line="235" w:lineRule="auto"/>
        <w:rPr>
          <w:sz w:val="20"/>
          <w:szCs w:val="20"/>
          <w:color w:val="auto"/>
        </w:rPr>
      </w:pPr>
      <w:r>
        <w:rPr>
          <w:rFonts w:ascii="Arial" w:cs="Arial" w:eastAsia="Arial" w:hAnsi="Arial"/>
          <w:sz w:val="18"/>
          <w:szCs w:val="18"/>
          <w:color w:val="auto"/>
        </w:rPr>
        <w:t>Spain</w:t>
      </w:r>
    </w:p>
    <w:p>
      <w:pPr>
        <w:spacing w:after="0"/>
        <w:rPr>
          <w:sz w:val="20"/>
          <w:szCs w:val="20"/>
          <w:color w:val="auto"/>
        </w:rPr>
      </w:pPr>
      <w:r>
        <w:rPr>
          <w:rFonts w:ascii="Arial" w:cs="Arial" w:eastAsia="Arial" w:hAnsi="Arial"/>
          <w:sz w:val="18"/>
          <w:szCs w:val="18"/>
          <w:color w:val="auto"/>
        </w:rPr>
        <w:t>Spain</w:t>
      </w:r>
    </w:p>
    <w:p>
      <w:pPr>
        <w:sectPr>
          <w:pgSz w:w="11900" w:h="16838" w:orient="portrait"/>
          <w:cols w:equalWidth="0" w:num="2">
            <w:col w:w="5340" w:space="720"/>
            <w:col w:w="4159"/>
          </w:cols>
          <w:pgMar w:left="240" w:top="287" w:right="1440"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Xerox Exports Limited</w:t>
      </w:r>
    </w:p>
    <w:p>
      <w:pPr>
        <w:spacing w:after="0" w:line="234" w:lineRule="auto"/>
        <w:rPr>
          <w:sz w:val="20"/>
          <w:szCs w:val="20"/>
          <w:color w:val="auto"/>
        </w:rPr>
      </w:pPr>
      <w:r>
        <w:rPr>
          <w:rFonts w:ascii="Arial" w:cs="Arial" w:eastAsia="Arial" w:hAnsi="Arial"/>
          <w:sz w:val="18"/>
          <w:szCs w:val="18"/>
          <w:color w:val="auto"/>
        </w:rPr>
        <w:t>Xerox Financial Services Belux NV</w:t>
      </w:r>
    </w:p>
    <w:p>
      <w:pPr>
        <w:spacing w:after="0" w:line="235" w:lineRule="auto"/>
        <w:rPr>
          <w:sz w:val="20"/>
          <w:szCs w:val="20"/>
          <w:color w:val="auto"/>
        </w:rPr>
      </w:pPr>
      <w:r>
        <w:rPr>
          <w:rFonts w:ascii="Arial" w:cs="Arial" w:eastAsia="Arial" w:hAnsi="Arial"/>
          <w:sz w:val="18"/>
          <w:szCs w:val="18"/>
          <w:color w:val="auto"/>
        </w:rPr>
        <w:t>Xerox Financial Services Norway AS</w:t>
      </w:r>
    </w:p>
    <w:p>
      <w:pPr>
        <w:spacing w:after="0" w:line="235" w:lineRule="auto"/>
        <w:rPr>
          <w:sz w:val="20"/>
          <w:szCs w:val="20"/>
          <w:color w:val="auto"/>
        </w:rPr>
      </w:pPr>
      <w:r>
        <w:rPr>
          <w:rFonts w:ascii="Arial" w:cs="Arial" w:eastAsia="Arial" w:hAnsi="Arial"/>
          <w:sz w:val="18"/>
          <w:szCs w:val="18"/>
          <w:color w:val="auto"/>
        </w:rPr>
        <w:t>Xerox Financial Services Sverige AB</w:t>
      </w:r>
    </w:p>
    <w:p>
      <w:pPr>
        <w:spacing w:after="0" w:line="235" w:lineRule="auto"/>
        <w:rPr>
          <w:sz w:val="20"/>
          <w:szCs w:val="20"/>
          <w:color w:val="auto"/>
        </w:rPr>
      </w:pPr>
      <w:r>
        <w:rPr>
          <w:rFonts w:ascii="Arial" w:cs="Arial" w:eastAsia="Arial" w:hAnsi="Arial"/>
          <w:sz w:val="18"/>
          <w:szCs w:val="18"/>
          <w:color w:val="auto"/>
        </w:rPr>
        <w:t>Xerox GmbH</w:t>
      </w:r>
    </w:p>
    <w:p>
      <w:pPr>
        <w:spacing w:after="0" w:line="235" w:lineRule="auto"/>
        <w:rPr>
          <w:sz w:val="20"/>
          <w:szCs w:val="20"/>
          <w:color w:val="auto"/>
        </w:rPr>
      </w:pPr>
      <w:r>
        <w:rPr>
          <w:rFonts w:ascii="Arial" w:cs="Arial" w:eastAsia="Arial" w:hAnsi="Arial"/>
          <w:sz w:val="18"/>
          <w:szCs w:val="18"/>
          <w:color w:val="auto"/>
        </w:rPr>
        <w:t>Xerox Capital Services Verwaltungs GmbH</w:t>
      </w:r>
    </w:p>
    <w:p>
      <w:pPr>
        <w:spacing w:after="0" w:line="235" w:lineRule="auto"/>
        <w:rPr>
          <w:sz w:val="20"/>
          <w:szCs w:val="20"/>
          <w:color w:val="auto"/>
        </w:rPr>
      </w:pPr>
      <w:r>
        <w:rPr>
          <w:rFonts w:ascii="Arial" w:cs="Arial" w:eastAsia="Arial" w:hAnsi="Arial"/>
          <w:sz w:val="18"/>
          <w:szCs w:val="18"/>
          <w:color w:val="auto"/>
        </w:rPr>
        <w:t>Xerox Capital Services GmbH &amp; Co. KG</w:t>
      </w:r>
    </w:p>
    <w:p>
      <w:pPr>
        <w:spacing w:after="0" w:line="235" w:lineRule="auto"/>
        <w:rPr>
          <w:sz w:val="20"/>
          <w:szCs w:val="20"/>
          <w:color w:val="auto"/>
        </w:rPr>
      </w:pPr>
      <w:r>
        <w:rPr>
          <w:rFonts w:ascii="Arial" w:cs="Arial" w:eastAsia="Arial" w:hAnsi="Arial"/>
          <w:sz w:val="18"/>
          <w:szCs w:val="18"/>
          <w:color w:val="auto"/>
        </w:rPr>
        <w:t>Xerox Dienstleistungsgesellschaft GmbH</w:t>
      </w:r>
    </w:p>
    <w:p>
      <w:pPr>
        <w:spacing w:after="0" w:line="235" w:lineRule="auto"/>
        <w:rPr>
          <w:sz w:val="20"/>
          <w:szCs w:val="20"/>
          <w:color w:val="auto"/>
        </w:rPr>
      </w:pPr>
      <w:r>
        <w:rPr>
          <w:rFonts w:ascii="Arial" w:cs="Arial" w:eastAsia="Arial" w:hAnsi="Arial"/>
          <w:sz w:val="18"/>
          <w:szCs w:val="18"/>
          <w:color w:val="auto"/>
        </w:rPr>
        <w:t>Xerox Leasing Deutschland GmbH</w:t>
      </w:r>
    </w:p>
    <w:p>
      <w:pPr>
        <w:spacing w:after="0" w:line="235" w:lineRule="auto"/>
        <w:rPr>
          <w:sz w:val="20"/>
          <w:szCs w:val="20"/>
          <w:color w:val="auto"/>
        </w:rPr>
      </w:pPr>
      <w:r>
        <w:rPr>
          <w:rFonts w:ascii="Arial" w:cs="Arial" w:eastAsia="Arial" w:hAnsi="Arial"/>
          <w:sz w:val="18"/>
          <w:szCs w:val="18"/>
          <w:color w:val="auto"/>
        </w:rPr>
        <w:t>Xerox Reprographische Services GmbH</w:t>
      </w:r>
    </w:p>
    <w:p>
      <w:pPr>
        <w:spacing w:after="0" w:line="234" w:lineRule="auto"/>
        <w:rPr>
          <w:sz w:val="20"/>
          <w:szCs w:val="20"/>
          <w:color w:val="auto"/>
        </w:rPr>
      </w:pPr>
      <w:r>
        <w:rPr>
          <w:rFonts w:ascii="Arial" w:cs="Arial" w:eastAsia="Arial" w:hAnsi="Arial"/>
          <w:sz w:val="18"/>
          <w:szCs w:val="18"/>
          <w:color w:val="auto"/>
        </w:rPr>
        <w:t>Xerox Hellas AEE</w:t>
      </w:r>
    </w:p>
    <w:p>
      <w:pPr>
        <w:spacing w:after="0" w:line="235" w:lineRule="auto"/>
        <w:rPr>
          <w:sz w:val="20"/>
          <w:szCs w:val="20"/>
          <w:color w:val="auto"/>
        </w:rPr>
      </w:pPr>
      <w:r>
        <w:rPr>
          <w:rFonts w:ascii="Arial" w:cs="Arial" w:eastAsia="Arial" w:hAnsi="Arial"/>
          <w:sz w:val="18"/>
          <w:szCs w:val="18"/>
          <w:color w:val="auto"/>
        </w:rPr>
        <w:t>Xerox Hungary Trading Limited</w:t>
      </w:r>
    </w:p>
    <w:p>
      <w:pPr>
        <w:spacing w:after="0" w:line="235" w:lineRule="auto"/>
        <w:rPr>
          <w:sz w:val="20"/>
          <w:szCs w:val="20"/>
          <w:color w:val="auto"/>
        </w:rPr>
      </w:pPr>
      <w:r>
        <w:rPr>
          <w:rFonts w:ascii="Arial" w:cs="Arial" w:eastAsia="Arial" w:hAnsi="Arial"/>
          <w:sz w:val="18"/>
          <w:szCs w:val="18"/>
          <w:color w:val="auto"/>
        </w:rPr>
        <w:t>Xerox (Ireland) Limited</w:t>
      </w:r>
    </w:p>
    <w:p>
      <w:pPr>
        <w:spacing w:after="0" w:line="235" w:lineRule="auto"/>
        <w:rPr>
          <w:sz w:val="20"/>
          <w:szCs w:val="20"/>
          <w:color w:val="auto"/>
        </w:rPr>
      </w:pPr>
      <w:r>
        <w:rPr>
          <w:rFonts w:ascii="Arial" w:cs="Arial" w:eastAsia="Arial" w:hAnsi="Arial"/>
          <w:sz w:val="18"/>
          <w:szCs w:val="18"/>
          <w:color w:val="auto"/>
        </w:rPr>
        <w:t>Xerox India Limited</w:t>
      </w:r>
    </w:p>
    <w:p>
      <w:pPr>
        <w:spacing w:after="0" w:line="235" w:lineRule="auto"/>
        <w:rPr>
          <w:sz w:val="20"/>
          <w:szCs w:val="20"/>
          <w:color w:val="auto"/>
        </w:rPr>
      </w:pPr>
      <w:r>
        <w:rPr>
          <w:rFonts w:ascii="Arial" w:cs="Arial" w:eastAsia="Arial" w:hAnsi="Arial"/>
          <w:sz w:val="18"/>
          <w:szCs w:val="18"/>
          <w:color w:val="auto"/>
        </w:rPr>
        <w:t>Xerox Kazakhstan Limited Liability Partnership</w:t>
      </w:r>
    </w:p>
    <w:p>
      <w:pPr>
        <w:spacing w:after="0" w:line="235" w:lineRule="auto"/>
        <w:rPr>
          <w:sz w:val="20"/>
          <w:szCs w:val="20"/>
          <w:color w:val="auto"/>
        </w:rPr>
      </w:pPr>
      <w:r>
        <w:rPr>
          <w:rFonts w:ascii="Arial" w:cs="Arial" w:eastAsia="Arial" w:hAnsi="Arial"/>
          <w:sz w:val="18"/>
          <w:szCs w:val="18"/>
          <w:color w:val="auto"/>
        </w:rPr>
        <w:t>Xerox Management Services N.V.</w:t>
      </w:r>
    </w:p>
    <w:p>
      <w:pPr>
        <w:spacing w:after="0" w:line="235" w:lineRule="auto"/>
        <w:rPr>
          <w:sz w:val="20"/>
          <w:szCs w:val="20"/>
          <w:color w:val="auto"/>
        </w:rPr>
      </w:pPr>
      <w:r>
        <w:rPr>
          <w:rFonts w:ascii="Arial" w:cs="Arial" w:eastAsia="Arial" w:hAnsi="Arial"/>
          <w:sz w:val="18"/>
          <w:szCs w:val="18"/>
          <w:color w:val="auto"/>
        </w:rPr>
        <w:t>Xerox N.V.</w:t>
      </w:r>
    </w:p>
    <w:p>
      <w:pPr>
        <w:spacing w:after="0" w:line="235" w:lineRule="auto"/>
        <w:rPr>
          <w:sz w:val="20"/>
          <w:szCs w:val="20"/>
          <w:color w:val="auto"/>
        </w:rPr>
      </w:pPr>
      <w:r>
        <w:rPr>
          <w:rFonts w:ascii="Arial" w:cs="Arial" w:eastAsia="Arial" w:hAnsi="Arial"/>
          <w:sz w:val="18"/>
          <w:szCs w:val="18"/>
          <w:color w:val="auto"/>
        </w:rPr>
        <w:t>Xerox Luxembourg S.A.</w:t>
      </w:r>
    </w:p>
    <w:p>
      <w:pPr>
        <w:spacing w:after="0" w:line="235" w:lineRule="auto"/>
        <w:rPr>
          <w:sz w:val="20"/>
          <w:szCs w:val="20"/>
          <w:color w:val="auto"/>
        </w:rPr>
      </w:pPr>
      <w:r>
        <w:rPr>
          <w:rFonts w:ascii="Arial" w:cs="Arial" w:eastAsia="Arial" w:hAnsi="Arial"/>
          <w:sz w:val="18"/>
          <w:szCs w:val="18"/>
          <w:color w:val="auto"/>
        </w:rPr>
        <w:t>Xerox (Nederland) BV</w:t>
      </w:r>
    </w:p>
    <w:p>
      <w:pPr>
        <w:spacing w:after="0" w:line="234" w:lineRule="auto"/>
        <w:rPr>
          <w:sz w:val="20"/>
          <w:szCs w:val="20"/>
          <w:color w:val="auto"/>
        </w:rPr>
      </w:pPr>
      <w:r>
        <w:rPr>
          <w:rFonts w:ascii="Arial" w:cs="Arial" w:eastAsia="Arial" w:hAnsi="Arial"/>
          <w:sz w:val="18"/>
          <w:szCs w:val="18"/>
          <w:color w:val="auto"/>
        </w:rPr>
        <w:t>“Veco” Beheer Onroerend Goed BV</w:t>
      </w:r>
    </w:p>
    <w:p>
      <w:pPr>
        <w:spacing w:after="0" w:line="235" w:lineRule="auto"/>
        <w:rPr>
          <w:sz w:val="20"/>
          <w:szCs w:val="20"/>
          <w:color w:val="auto"/>
        </w:rPr>
      </w:pPr>
      <w:r>
        <w:rPr>
          <w:rFonts w:ascii="Arial" w:cs="Arial" w:eastAsia="Arial" w:hAnsi="Arial"/>
          <w:sz w:val="18"/>
          <w:szCs w:val="18"/>
          <w:color w:val="auto"/>
        </w:rPr>
        <w:t>Xerox Document Supplies BV</w:t>
      </w:r>
    </w:p>
    <w:p>
      <w:pPr>
        <w:spacing w:after="0" w:line="235" w:lineRule="auto"/>
        <w:rPr>
          <w:sz w:val="20"/>
          <w:szCs w:val="20"/>
          <w:color w:val="auto"/>
        </w:rPr>
      </w:pPr>
      <w:r>
        <w:rPr>
          <w:rFonts w:ascii="Arial" w:cs="Arial" w:eastAsia="Arial" w:hAnsi="Arial"/>
          <w:sz w:val="18"/>
          <w:szCs w:val="18"/>
          <w:color w:val="auto"/>
        </w:rPr>
        <w:t>Xerox Financial Services B.V.</w:t>
      </w:r>
    </w:p>
    <w:p>
      <w:pPr>
        <w:spacing w:after="0" w:line="235" w:lineRule="auto"/>
        <w:rPr>
          <w:sz w:val="20"/>
          <w:szCs w:val="20"/>
          <w:color w:val="auto"/>
        </w:rPr>
      </w:pPr>
      <w:r>
        <w:rPr>
          <w:rFonts w:ascii="Arial" w:cs="Arial" w:eastAsia="Arial" w:hAnsi="Arial"/>
          <w:sz w:val="18"/>
          <w:szCs w:val="18"/>
          <w:color w:val="auto"/>
        </w:rPr>
        <w:t>Xerox Rentalease BV</w:t>
      </w:r>
    </w:p>
    <w:p>
      <w:pPr>
        <w:spacing w:after="0" w:line="235" w:lineRule="auto"/>
        <w:rPr>
          <w:sz w:val="20"/>
          <w:szCs w:val="20"/>
          <w:color w:val="auto"/>
        </w:rPr>
      </w:pPr>
      <w:r>
        <w:rPr>
          <w:rFonts w:ascii="Arial" w:cs="Arial" w:eastAsia="Arial" w:hAnsi="Arial"/>
          <w:sz w:val="18"/>
          <w:szCs w:val="18"/>
          <w:color w:val="auto"/>
        </w:rPr>
        <w:t>Xerox Services BV</w:t>
      </w:r>
    </w:p>
    <w:p>
      <w:pPr>
        <w:spacing w:after="0" w:line="235" w:lineRule="auto"/>
        <w:rPr>
          <w:sz w:val="20"/>
          <w:szCs w:val="20"/>
          <w:color w:val="auto"/>
        </w:rPr>
      </w:pPr>
      <w:r>
        <w:rPr>
          <w:rFonts w:ascii="Arial" w:cs="Arial" w:eastAsia="Arial" w:hAnsi="Arial"/>
          <w:sz w:val="18"/>
          <w:szCs w:val="18"/>
          <w:color w:val="auto"/>
        </w:rPr>
        <w:t>Xerox Oy</w:t>
      </w:r>
    </w:p>
    <w:p>
      <w:pPr>
        <w:spacing w:after="0" w:line="235" w:lineRule="auto"/>
        <w:rPr>
          <w:sz w:val="20"/>
          <w:szCs w:val="20"/>
          <w:color w:val="auto"/>
        </w:rPr>
      </w:pPr>
      <w:r>
        <w:rPr>
          <w:rFonts w:ascii="Arial" w:cs="Arial" w:eastAsia="Arial" w:hAnsi="Arial"/>
          <w:sz w:val="18"/>
          <w:szCs w:val="18"/>
          <w:color w:val="auto"/>
        </w:rPr>
        <w:t>Xerox Financial Services Finland Oy</w:t>
      </w:r>
    </w:p>
    <w:p>
      <w:pPr>
        <w:spacing w:after="0" w:line="235" w:lineRule="auto"/>
        <w:rPr>
          <w:sz w:val="20"/>
          <w:szCs w:val="20"/>
          <w:color w:val="auto"/>
        </w:rPr>
      </w:pPr>
      <w:r>
        <w:rPr>
          <w:rFonts w:ascii="Arial" w:cs="Arial" w:eastAsia="Arial" w:hAnsi="Arial"/>
          <w:sz w:val="18"/>
          <w:szCs w:val="18"/>
          <w:color w:val="auto"/>
        </w:rPr>
        <w:t>Xerox Pensions Limited</w:t>
      </w:r>
    </w:p>
    <w:p>
      <w:pPr>
        <w:spacing w:after="0" w:line="235" w:lineRule="auto"/>
        <w:rPr>
          <w:sz w:val="20"/>
          <w:szCs w:val="20"/>
          <w:color w:val="auto"/>
        </w:rPr>
      </w:pPr>
      <w:r>
        <w:rPr>
          <w:rFonts w:ascii="Arial" w:cs="Arial" w:eastAsia="Arial" w:hAnsi="Arial"/>
          <w:sz w:val="18"/>
          <w:szCs w:val="18"/>
          <w:color w:val="auto"/>
        </w:rPr>
        <w:t>Xerox Polska Sp.zo.o</w:t>
      </w:r>
    </w:p>
    <w:p>
      <w:pPr>
        <w:spacing w:after="0"/>
        <w:rPr>
          <w:sz w:val="20"/>
          <w:szCs w:val="20"/>
          <w:color w:val="auto"/>
        </w:rPr>
      </w:pPr>
      <w:r>
        <w:rPr>
          <w:rFonts w:ascii="Arial" w:cs="Arial" w:eastAsia="Arial" w:hAnsi="Arial"/>
          <w:sz w:val="16"/>
          <w:szCs w:val="16"/>
          <w:color w:val="auto"/>
        </w:rPr>
        <w:t>Xerox Portugal Equipamentos de Escritorio, Limitada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CREDITEX—Aluguer de Equipamentos S.A.</w:t>
      </w:r>
    </w:p>
    <w:p>
      <w:pPr>
        <w:spacing w:after="0" w:line="234" w:lineRule="auto"/>
        <w:rPr>
          <w:sz w:val="20"/>
          <w:szCs w:val="20"/>
          <w:color w:val="auto"/>
        </w:rPr>
      </w:pPr>
      <w:r>
        <w:rPr>
          <w:rFonts w:ascii="Arial" w:cs="Arial" w:eastAsia="Arial" w:hAnsi="Arial"/>
          <w:sz w:val="18"/>
          <w:szCs w:val="18"/>
          <w:color w:val="auto"/>
        </w:rPr>
        <w:t>Xerox Professional Services Limited</w:t>
      </w:r>
    </w:p>
    <w:p>
      <w:pPr>
        <w:spacing w:after="0" w:line="235" w:lineRule="auto"/>
        <w:rPr>
          <w:sz w:val="20"/>
          <w:szCs w:val="20"/>
          <w:color w:val="auto"/>
        </w:rPr>
      </w:pPr>
      <w:r>
        <w:rPr>
          <w:rFonts w:ascii="Arial" w:cs="Arial" w:eastAsia="Arial" w:hAnsi="Arial"/>
          <w:sz w:val="18"/>
          <w:szCs w:val="18"/>
          <w:color w:val="auto"/>
        </w:rPr>
        <w:t>Xerox Property Services Limited</w:t>
      </w:r>
    </w:p>
    <w:p>
      <w:pPr>
        <w:spacing w:after="0" w:line="235" w:lineRule="auto"/>
        <w:rPr>
          <w:sz w:val="20"/>
          <w:szCs w:val="20"/>
          <w:color w:val="auto"/>
        </w:rPr>
      </w:pPr>
      <w:r>
        <w:rPr>
          <w:rFonts w:ascii="Arial" w:cs="Arial" w:eastAsia="Arial" w:hAnsi="Arial"/>
          <w:sz w:val="18"/>
          <w:szCs w:val="18"/>
          <w:color w:val="auto"/>
        </w:rPr>
        <w:t>Xerox (Romania) Echipmante Si Servici S.A.</w:t>
      </w:r>
    </w:p>
    <w:p>
      <w:pPr>
        <w:spacing w:after="0" w:line="235" w:lineRule="auto"/>
        <w:rPr>
          <w:sz w:val="20"/>
          <w:szCs w:val="20"/>
          <w:color w:val="auto"/>
        </w:rPr>
      </w:pPr>
      <w:r>
        <w:rPr>
          <w:rFonts w:ascii="Arial" w:cs="Arial" w:eastAsia="Arial" w:hAnsi="Arial"/>
          <w:sz w:val="18"/>
          <w:szCs w:val="18"/>
          <w:color w:val="auto"/>
        </w:rPr>
        <w:t>Xerox Slovenia d.o.o.</w:t>
      </w:r>
    </w:p>
    <w:p>
      <w:pPr>
        <w:spacing w:after="0" w:line="235" w:lineRule="auto"/>
        <w:rPr>
          <w:sz w:val="20"/>
          <w:szCs w:val="20"/>
          <w:color w:val="auto"/>
        </w:rPr>
      </w:pPr>
      <w:r>
        <w:rPr>
          <w:rFonts w:ascii="Arial" w:cs="Arial" w:eastAsia="Arial" w:hAnsi="Arial"/>
          <w:sz w:val="18"/>
          <w:szCs w:val="18"/>
          <w:color w:val="auto"/>
        </w:rPr>
        <w:t>Xerox S.p.A.</w:t>
      </w:r>
    </w:p>
    <w:p>
      <w:pPr>
        <w:spacing w:after="0" w:line="235" w:lineRule="auto"/>
        <w:rPr>
          <w:sz w:val="20"/>
          <w:szCs w:val="20"/>
          <w:color w:val="auto"/>
        </w:rPr>
      </w:pPr>
      <w:r>
        <w:rPr>
          <w:rFonts w:ascii="Arial" w:cs="Arial" w:eastAsia="Arial" w:hAnsi="Arial"/>
          <w:sz w:val="18"/>
          <w:szCs w:val="18"/>
          <w:color w:val="auto"/>
        </w:rPr>
        <w:t>Xerox Italia Rental Services S.r.l.</w:t>
      </w:r>
    </w:p>
    <w:p>
      <w:pPr>
        <w:spacing w:after="0" w:line="235" w:lineRule="auto"/>
        <w:rPr>
          <w:sz w:val="20"/>
          <w:szCs w:val="20"/>
          <w:color w:val="auto"/>
        </w:rPr>
      </w:pPr>
      <w:r>
        <w:rPr>
          <w:rFonts w:ascii="Arial" w:cs="Arial" w:eastAsia="Arial" w:hAnsi="Arial"/>
          <w:sz w:val="18"/>
          <w:szCs w:val="18"/>
          <w:color w:val="auto"/>
        </w:rPr>
        <w:t>Xerox Telebusiness GmbH</w:t>
      </w:r>
    </w:p>
    <w:p>
      <w:pPr>
        <w:spacing w:after="0" w:line="235" w:lineRule="auto"/>
        <w:rPr>
          <w:sz w:val="20"/>
          <w:szCs w:val="20"/>
          <w:color w:val="auto"/>
        </w:rPr>
      </w:pPr>
      <w:r>
        <w:rPr>
          <w:rFonts w:ascii="Arial" w:cs="Arial" w:eastAsia="Arial" w:hAnsi="Arial"/>
          <w:sz w:val="18"/>
          <w:szCs w:val="18"/>
          <w:color w:val="auto"/>
        </w:rPr>
        <w:t>Xerox (Ukraine) Ltd LLC</w:t>
      </w:r>
    </w:p>
    <w:p>
      <w:pPr>
        <w:spacing w:after="0" w:line="235" w:lineRule="auto"/>
        <w:rPr>
          <w:sz w:val="20"/>
          <w:szCs w:val="20"/>
          <w:color w:val="auto"/>
        </w:rPr>
      </w:pPr>
      <w:r>
        <w:rPr>
          <w:rFonts w:ascii="Arial" w:cs="Arial" w:eastAsia="Arial" w:hAnsi="Arial"/>
          <w:sz w:val="18"/>
          <w:szCs w:val="18"/>
          <w:color w:val="auto"/>
        </w:rPr>
        <w:t>XWA Limited</w:t>
      </w:r>
    </w:p>
    <w:p>
      <w:pPr>
        <w:spacing w:after="0" w:line="234" w:lineRule="auto"/>
        <w:rPr>
          <w:sz w:val="20"/>
          <w:szCs w:val="20"/>
          <w:color w:val="auto"/>
        </w:rPr>
      </w:pPr>
      <w:r>
        <w:rPr>
          <w:rFonts w:ascii="Arial" w:cs="Arial" w:eastAsia="Arial" w:hAnsi="Arial"/>
          <w:sz w:val="18"/>
          <w:szCs w:val="18"/>
          <w:color w:val="auto"/>
        </w:rPr>
        <w:t>Xexco Trading Limited</w:t>
      </w:r>
    </w:p>
    <w:p>
      <w:pPr>
        <w:spacing w:after="0" w:line="235" w:lineRule="auto"/>
        <w:rPr>
          <w:sz w:val="20"/>
          <w:szCs w:val="20"/>
          <w:color w:val="auto"/>
        </w:rPr>
      </w:pPr>
      <w:r>
        <w:rPr>
          <w:rFonts w:ascii="Arial" w:cs="Arial" w:eastAsia="Arial" w:hAnsi="Arial"/>
          <w:sz w:val="18"/>
          <w:szCs w:val="18"/>
          <w:color w:val="auto"/>
        </w:rPr>
        <w:t>Xerox S.A.S.</w:t>
      </w:r>
    </w:p>
    <w:p>
      <w:pPr>
        <w:spacing w:after="0" w:line="235" w:lineRule="auto"/>
        <w:rPr>
          <w:sz w:val="20"/>
          <w:szCs w:val="20"/>
          <w:color w:val="auto"/>
        </w:rPr>
      </w:pPr>
      <w:r>
        <w:rPr>
          <w:rFonts w:ascii="Arial" w:cs="Arial" w:eastAsia="Arial" w:hAnsi="Arial"/>
          <w:sz w:val="18"/>
          <w:szCs w:val="18"/>
          <w:color w:val="auto"/>
        </w:rPr>
        <w:t>Xerobail SAS</w:t>
      </w:r>
    </w:p>
    <w:p>
      <w:pPr>
        <w:spacing w:after="0" w:line="235" w:lineRule="auto"/>
        <w:rPr>
          <w:sz w:val="20"/>
          <w:szCs w:val="20"/>
          <w:color w:val="auto"/>
        </w:rPr>
      </w:pPr>
      <w:r>
        <w:rPr>
          <w:rFonts w:ascii="Arial" w:cs="Arial" w:eastAsia="Arial" w:hAnsi="Arial"/>
          <w:sz w:val="18"/>
          <w:szCs w:val="18"/>
          <w:color w:val="auto"/>
        </w:rPr>
        <w:t>Xerox Financial Services SAS</w:t>
      </w:r>
    </w:p>
    <w:p>
      <w:pPr>
        <w:spacing w:after="0" w:line="235" w:lineRule="auto"/>
        <w:rPr>
          <w:sz w:val="20"/>
          <w:szCs w:val="20"/>
          <w:color w:val="auto"/>
        </w:rPr>
      </w:pPr>
      <w:r>
        <w:rPr>
          <w:rFonts w:ascii="Arial" w:cs="Arial" w:eastAsia="Arial" w:hAnsi="Arial"/>
          <w:sz w:val="18"/>
          <w:szCs w:val="18"/>
          <w:color w:val="auto"/>
        </w:rPr>
        <w:t>Xerox Document Supplies SNC</w:t>
      </w:r>
    </w:p>
    <w:p>
      <w:pPr>
        <w:spacing w:after="0" w:line="235" w:lineRule="auto"/>
        <w:rPr>
          <w:sz w:val="20"/>
          <w:szCs w:val="20"/>
          <w:color w:val="auto"/>
        </w:rPr>
      </w:pPr>
      <w:r>
        <w:rPr>
          <w:rFonts w:ascii="Arial" w:cs="Arial" w:eastAsia="Arial" w:hAnsi="Arial"/>
          <w:sz w:val="18"/>
          <w:szCs w:val="18"/>
          <w:color w:val="auto"/>
        </w:rPr>
        <w:t>Xerox Global Services SAS</w:t>
      </w:r>
    </w:p>
    <w:p>
      <w:pPr>
        <w:spacing w:after="0" w:line="235" w:lineRule="auto"/>
        <w:rPr>
          <w:sz w:val="20"/>
          <w:szCs w:val="20"/>
          <w:color w:val="auto"/>
        </w:rPr>
      </w:pPr>
      <w:r>
        <w:rPr>
          <w:rFonts w:ascii="Arial" w:cs="Arial" w:eastAsia="Arial" w:hAnsi="Arial"/>
          <w:sz w:val="18"/>
          <w:szCs w:val="18"/>
          <w:color w:val="auto"/>
        </w:rPr>
        <w:t>Xerox General Services SAS</w:t>
      </w:r>
    </w:p>
    <w:p>
      <w:pPr>
        <w:spacing w:after="0" w:line="235" w:lineRule="auto"/>
        <w:rPr>
          <w:sz w:val="20"/>
          <w:szCs w:val="20"/>
          <w:color w:val="auto"/>
        </w:rPr>
      </w:pPr>
      <w:r>
        <w:rPr>
          <w:rFonts w:ascii="Arial" w:cs="Arial" w:eastAsia="Arial" w:hAnsi="Arial"/>
          <w:sz w:val="18"/>
          <w:szCs w:val="18"/>
          <w:color w:val="auto"/>
        </w:rPr>
        <w:t>Xerox XHB Limited</w:t>
      </w:r>
    </w:p>
    <w:p>
      <w:pPr>
        <w:spacing w:after="0" w:line="235" w:lineRule="auto"/>
        <w:rPr>
          <w:sz w:val="20"/>
          <w:szCs w:val="20"/>
          <w:color w:val="auto"/>
        </w:rPr>
      </w:pPr>
      <w:r>
        <w:rPr>
          <w:rFonts w:ascii="Arial" w:cs="Arial" w:eastAsia="Arial" w:hAnsi="Arial"/>
          <w:sz w:val="18"/>
          <w:szCs w:val="18"/>
          <w:color w:val="auto"/>
        </w:rPr>
        <w:t>Xerox XIB Limited</w:t>
      </w:r>
    </w:p>
    <w:p>
      <w:pPr>
        <w:spacing w:after="0" w:line="234" w:lineRule="auto"/>
        <w:rPr>
          <w:sz w:val="20"/>
          <w:szCs w:val="20"/>
          <w:color w:val="auto"/>
        </w:rPr>
      </w:pPr>
      <w:r>
        <w:rPr>
          <w:rFonts w:ascii="Arial" w:cs="Arial" w:eastAsia="Arial" w:hAnsi="Arial"/>
          <w:sz w:val="18"/>
          <w:szCs w:val="18"/>
          <w:color w:val="auto"/>
        </w:rPr>
        <w:t>XRO Limited</w:t>
      </w:r>
    </w:p>
    <w:p>
      <w:pPr>
        <w:spacing w:after="0" w:line="235" w:lineRule="auto"/>
        <w:rPr>
          <w:sz w:val="20"/>
          <w:szCs w:val="20"/>
          <w:color w:val="auto"/>
        </w:rPr>
      </w:pPr>
      <w:r>
        <w:rPr>
          <w:rFonts w:ascii="Arial" w:cs="Arial" w:eastAsia="Arial" w:hAnsi="Arial"/>
          <w:sz w:val="18"/>
          <w:szCs w:val="18"/>
          <w:color w:val="auto"/>
        </w:rPr>
        <w:t>Nemo (AKS) Limited</w:t>
      </w:r>
    </w:p>
    <w:p>
      <w:pPr>
        <w:spacing w:after="0" w:line="235" w:lineRule="auto"/>
        <w:rPr>
          <w:sz w:val="20"/>
          <w:szCs w:val="20"/>
          <w:color w:val="auto"/>
        </w:rPr>
      </w:pPr>
      <w:r>
        <w:rPr>
          <w:rFonts w:ascii="Arial" w:cs="Arial" w:eastAsia="Arial" w:hAnsi="Arial"/>
          <w:sz w:val="18"/>
          <w:szCs w:val="18"/>
          <w:color w:val="auto"/>
        </w:rPr>
        <w:t>XRI Limited</w:t>
      </w:r>
    </w:p>
    <w:p>
      <w:pPr>
        <w:spacing w:after="0" w:line="235" w:lineRule="auto"/>
        <w:rPr>
          <w:sz w:val="20"/>
          <w:szCs w:val="20"/>
          <w:color w:val="auto"/>
        </w:rPr>
      </w:pPr>
      <w:r>
        <w:rPr>
          <w:rFonts w:ascii="Arial" w:cs="Arial" w:eastAsia="Arial" w:hAnsi="Arial"/>
          <w:sz w:val="18"/>
          <w:szCs w:val="18"/>
          <w:color w:val="auto"/>
        </w:rPr>
        <w:t>RRXH Limited</w:t>
      </w:r>
    </w:p>
    <w:p>
      <w:pPr>
        <w:spacing w:after="0" w:line="235" w:lineRule="auto"/>
        <w:rPr>
          <w:sz w:val="20"/>
          <w:szCs w:val="20"/>
          <w:color w:val="auto"/>
        </w:rPr>
      </w:pPr>
      <w:r>
        <w:rPr>
          <w:rFonts w:ascii="Arial" w:cs="Arial" w:eastAsia="Arial" w:hAnsi="Arial"/>
          <w:sz w:val="18"/>
          <w:szCs w:val="18"/>
          <w:color w:val="auto"/>
        </w:rPr>
        <w:t>RRXO Limited</w:t>
      </w:r>
    </w:p>
    <w:p>
      <w:pPr>
        <w:spacing w:after="0" w:line="235" w:lineRule="auto"/>
        <w:rPr>
          <w:sz w:val="20"/>
          <w:szCs w:val="20"/>
          <w:color w:val="auto"/>
        </w:rPr>
      </w:pPr>
      <w:r>
        <w:rPr>
          <w:rFonts w:ascii="Arial" w:cs="Arial" w:eastAsia="Arial" w:hAnsi="Arial"/>
          <w:sz w:val="18"/>
          <w:szCs w:val="18"/>
          <w:color w:val="auto"/>
        </w:rPr>
        <w:t>RRXIL Limited</w:t>
      </w:r>
    </w:p>
    <w:p>
      <w:pPr>
        <w:spacing w:after="0" w:line="235" w:lineRule="auto"/>
        <w:rPr>
          <w:sz w:val="20"/>
          <w:szCs w:val="20"/>
          <w:color w:val="auto"/>
        </w:rPr>
      </w:pPr>
      <w:r>
        <w:rPr>
          <w:rFonts w:ascii="Arial" w:cs="Arial" w:eastAsia="Arial" w:hAnsi="Arial"/>
          <w:sz w:val="18"/>
          <w:szCs w:val="18"/>
          <w:color w:val="auto"/>
        </w:rPr>
        <w:t>Xerox Latinamerican Holdings, Inc.</w:t>
      </w:r>
    </w:p>
    <w:p>
      <w:pPr>
        <w:spacing w:after="0" w:line="235" w:lineRule="auto"/>
        <w:rPr>
          <w:sz w:val="20"/>
          <w:szCs w:val="20"/>
          <w:color w:val="auto"/>
        </w:rPr>
      </w:pPr>
      <w:r>
        <w:rPr>
          <w:rFonts w:ascii="Arial" w:cs="Arial" w:eastAsia="Arial" w:hAnsi="Arial"/>
          <w:sz w:val="18"/>
          <w:szCs w:val="18"/>
          <w:color w:val="auto"/>
        </w:rPr>
        <w:t>XGUA Servicios, Ltda.</w:t>
      </w:r>
    </w:p>
    <w:p>
      <w:pPr>
        <w:spacing w:after="0" w:line="235" w:lineRule="auto"/>
        <w:rPr>
          <w:sz w:val="20"/>
          <w:szCs w:val="20"/>
          <w:color w:val="auto"/>
        </w:rPr>
      </w:pPr>
      <w:r>
        <w:rPr>
          <w:rFonts w:ascii="Arial" w:cs="Arial" w:eastAsia="Arial" w:hAnsi="Arial"/>
          <w:sz w:val="18"/>
          <w:szCs w:val="18"/>
          <w:color w:val="auto"/>
        </w:rPr>
        <w:t>Xerox Lease Funding LLC</w:t>
      </w:r>
    </w:p>
    <w:p>
      <w:pPr>
        <w:spacing w:after="0" w:line="234" w:lineRule="auto"/>
        <w:rPr>
          <w:sz w:val="20"/>
          <w:szCs w:val="20"/>
          <w:color w:val="auto"/>
        </w:rPr>
      </w:pPr>
      <w:r>
        <w:rPr>
          <w:rFonts w:ascii="Arial" w:cs="Arial" w:eastAsia="Arial" w:hAnsi="Arial"/>
          <w:sz w:val="18"/>
          <w:szCs w:val="18"/>
          <w:color w:val="auto"/>
        </w:rPr>
        <w:t>Xerox Lease Equipment LLC</w:t>
      </w:r>
    </w:p>
    <w:p>
      <w:pPr>
        <w:spacing w:after="0" w:line="235" w:lineRule="auto"/>
        <w:rPr>
          <w:sz w:val="20"/>
          <w:szCs w:val="20"/>
          <w:color w:val="auto"/>
        </w:rPr>
      </w:pPr>
      <w:r>
        <w:rPr>
          <w:rFonts w:ascii="Arial" w:cs="Arial" w:eastAsia="Arial" w:hAnsi="Arial"/>
          <w:sz w:val="18"/>
          <w:szCs w:val="18"/>
          <w:color w:val="auto"/>
        </w:rPr>
        <w:t>Xerox Mexicana, S.A. de C.V.</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Xerox Mortgage Services,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-224155</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Belgium</w:t>
      </w:r>
    </w:p>
    <w:p>
      <w:pPr>
        <w:spacing w:after="0" w:line="235" w:lineRule="auto"/>
        <w:rPr>
          <w:sz w:val="20"/>
          <w:szCs w:val="20"/>
          <w:color w:val="auto"/>
        </w:rPr>
      </w:pPr>
      <w:r>
        <w:rPr>
          <w:rFonts w:ascii="Arial" w:cs="Arial" w:eastAsia="Arial" w:hAnsi="Arial"/>
          <w:sz w:val="18"/>
          <w:szCs w:val="18"/>
          <w:color w:val="auto"/>
        </w:rPr>
        <w:t>Norway</w:t>
      </w:r>
    </w:p>
    <w:p>
      <w:pPr>
        <w:spacing w:after="0" w:line="235" w:lineRule="auto"/>
        <w:rPr>
          <w:sz w:val="20"/>
          <w:szCs w:val="20"/>
          <w:color w:val="auto"/>
        </w:rPr>
      </w:pPr>
      <w:r>
        <w:rPr>
          <w:rFonts w:ascii="Arial" w:cs="Arial" w:eastAsia="Arial" w:hAnsi="Arial"/>
          <w:sz w:val="18"/>
          <w:szCs w:val="18"/>
          <w:color w:val="auto"/>
        </w:rPr>
        <w:t>Sweden</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Germany (19)</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Germany</w:t>
      </w:r>
    </w:p>
    <w:p>
      <w:pPr>
        <w:spacing w:after="0" w:line="235" w:lineRule="auto"/>
        <w:rPr>
          <w:sz w:val="20"/>
          <w:szCs w:val="20"/>
          <w:color w:val="auto"/>
        </w:rPr>
      </w:pPr>
      <w:r>
        <w:rPr>
          <w:rFonts w:ascii="Arial" w:cs="Arial" w:eastAsia="Arial" w:hAnsi="Arial"/>
          <w:sz w:val="18"/>
          <w:szCs w:val="18"/>
          <w:color w:val="auto"/>
        </w:rPr>
        <w:t>Germany</w:t>
      </w:r>
    </w:p>
    <w:p>
      <w:pPr>
        <w:spacing w:after="0" w:line="234" w:lineRule="auto"/>
        <w:rPr>
          <w:sz w:val="20"/>
          <w:szCs w:val="20"/>
          <w:color w:val="auto"/>
        </w:rPr>
      </w:pPr>
      <w:r>
        <w:rPr>
          <w:rFonts w:ascii="Arial" w:cs="Arial" w:eastAsia="Arial" w:hAnsi="Arial"/>
          <w:sz w:val="18"/>
          <w:szCs w:val="18"/>
          <w:color w:val="auto"/>
        </w:rPr>
        <w:t>Greece</w:t>
      </w:r>
    </w:p>
    <w:p>
      <w:pPr>
        <w:spacing w:after="0" w:line="235" w:lineRule="auto"/>
        <w:rPr>
          <w:sz w:val="20"/>
          <w:szCs w:val="20"/>
          <w:color w:val="auto"/>
        </w:rPr>
      </w:pPr>
      <w:r>
        <w:rPr>
          <w:rFonts w:ascii="Arial" w:cs="Arial" w:eastAsia="Arial" w:hAnsi="Arial"/>
          <w:sz w:val="18"/>
          <w:szCs w:val="18"/>
          <w:color w:val="auto"/>
        </w:rPr>
        <w:t>Hungary</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India (8)</w:t>
      </w:r>
    </w:p>
    <w:p>
      <w:pPr>
        <w:spacing w:after="0" w:line="235" w:lineRule="auto"/>
        <w:rPr>
          <w:sz w:val="20"/>
          <w:szCs w:val="20"/>
          <w:color w:val="auto"/>
        </w:rPr>
      </w:pPr>
      <w:r>
        <w:rPr>
          <w:rFonts w:ascii="Arial" w:cs="Arial" w:eastAsia="Arial" w:hAnsi="Arial"/>
          <w:sz w:val="18"/>
          <w:szCs w:val="18"/>
          <w:color w:val="auto"/>
        </w:rPr>
        <w:t>Kazakhstan (38)</w:t>
      </w:r>
    </w:p>
    <w:p>
      <w:pPr>
        <w:spacing w:after="0" w:line="235" w:lineRule="auto"/>
        <w:rPr>
          <w:sz w:val="20"/>
          <w:szCs w:val="20"/>
          <w:color w:val="auto"/>
        </w:rPr>
      </w:pPr>
      <w:r>
        <w:rPr>
          <w:rFonts w:ascii="Arial" w:cs="Arial" w:eastAsia="Arial" w:hAnsi="Arial"/>
          <w:sz w:val="18"/>
          <w:szCs w:val="18"/>
          <w:color w:val="auto"/>
        </w:rPr>
        <w:t>Belgium</w:t>
      </w:r>
    </w:p>
    <w:p>
      <w:pPr>
        <w:spacing w:after="0" w:line="235" w:lineRule="auto"/>
        <w:rPr>
          <w:sz w:val="20"/>
          <w:szCs w:val="20"/>
          <w:color w:val="auto"/>
        </w:rPr>
      </w:pPr>
      <w:r>
        <w:rPr>
          <w:rFonts w:ascii="Arial" w:cs="Arial" w:eastAsia="Arial" w:hAnsi="Arial"/>
          <w:sz w:val="18"/>
          <w:szCs w:val="18"/>
          <w:color w:val="auto"/>
        </w:rPr>
        <w:t>Belgium</w:t>
      </w:r>
    </w:p>
    <w:p>
      <w:pPr>
        <w:spacing w:after="0" w:line="235" w:lineRule="auto"/>
        <w:rPr>
          <w:sz w:val="20"/>
          <w:szCs w:val="20"/>
          <w:color w:val="auto"/>
        </w:rPr>
      </w:pPr>
      <w:r>
        <w:rPr>
          <w:rFonts w:ascii="Arial" w:cs="Arial" w:eastAsia="Arial" w:hAnsi="Arial"/>
          <w:sz w:val="18"/>
          <w:szCs w:val="18"/>
          <w:color w:val="auto"/>
        </w:rPr>
        <w:t>Luxembourg (27)</w:t>
      </w:r>
    </w:p>
    <w:p>
      <w:pPr>
        <w:spacing w:after="0" w:line="235" w:lineRule="auto"/>
        <w:rPr>
          <w:sz w:val="20"/>
          <w:szCs w:val="20"/>
          <w:color w:val="auto"/>
        </w:rPr>
      </w:pPr>
      <w:r>
        <w:rPr>
          <w:rFonts w:ascii="Arial" w:cs="Arial" w:eastAsia="Arial" w:hAnsi="Arial"/>
          <w:sz w:val="18"/>
          <w:szCs w:val="18"/>
          <w:color w:val="auto"/>
        </w:rPr>
        <w:t>Netherlands</w:t>
      </w:r>
    </w:p>
    <w:p>
      <w:pPr>
        <w:spacing w:after="0" w:line="234"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Netherlands</w:t>
      </w:r>
    </w:p>
    <w:p>
      <w:pPr>
        <w:spacing w:after="0" w:line="235" w:lineRule="auto"/>
        <w:rPr>
          <w:sz w:val="20"/>
          <w:szCs w:val="20"/>
          <w:color w:val="auto"/>
        </w:rPr>
      </w:pPr>
      <w:r>
        <w:rPr>
          <w:rFonts w:ascii="Arial" w:cs="Arial" w:eastAsia="Arial" w:hAnsi="Arial"/>
          <w:sz w:val="18"/>
          <w:szCs w:val="18"/>
          <w:color w:val="auto"/>
        </w:rPr>
        <w:t>Finland</w:t>
      </w:r>
    </w:p>
    <w:p>
      <w:pPr>
        <w:spacing w:after="0" w:line="235" w:lineRule="auto"/>
        <w:rPr>
          <w:sz w:val="20"/>
          <w:szCs w:val="20"/>
          <w:color w:val="auto"/>
        </w:rPr>
      </w:pPr>
      <w:r>
        <w:rPr>
          <w:rFonts w:ascii="Arial" w:cs="Arial" w:eastAsia="Arial" w:hAnsi="Arial"/>
          <w:sz w:val="18"/>
          <w:szCs w:val="18"/>
          <w:color w:val="auto"/>
        </w:rPr>
        <w:t>Finland</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Poland</w:t>
      </w:r>
    </w:p>
    <w:p>
      <w:pPr>
        <w:spacing w:after="0" w:line="234" w:lineRule="auto"/>
        <w:rPr>
          <w:sz w:val="20"/>
          <w:szCs w:val="20"/>
          <w:color w:val="auto"/>
        </w:rPr>
      </w:pPr>
      <w:r>
        <w:rPr>
          <w:rFonts w:ascii="Arial" w:cs="Arial" w:eastAsia="Arial" w:hAnsi="Arial"/>
          <w:sz w:val="18"/>
          <w:szCs w:val="18"/>
          <w:color w:val="auto"/>
        </w:rPr>
        <w:t>Portugal (21)</w:t>
      </w:r>
    </w:p>
    <w:p>
      <w:pPr>
        <w:spacing w:after="0" w:line="235" w:lineRule="auto"/>
        <w:rPr>
          <w:sz w:val="20"/>
          <w:szCs w:val="20"/>
          <w:color w:val="auto"/>
        </w:rPr>
      </w:pPr>
      <w:r>
        <w:rPr>
          <w:rFonts w:ascii="Arial" w:cs="Arial" w:eastAsia="Arial" w:hAnsi="Arial"/>
          <w:sz w:val="18"/>
          <w:szCs w:val="18"/>
          <w:color w:val="auto"/>
        </w:rPr>
        <w:t>Portugal</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Romania</w:t>
      </w:r>
    </w:p>
    <w:p>
      <w:pPr>
        <w:spacing w:after="0" w:line="235" w:lineRule="auto"/>
        <w:rPr>
          <w:sz w:val="20"/>
          <w:szCs w:val="20"/>
          <w:color w:val="auto"/>
        </w:rPr>
      </w:pPr>
      <w:r>
        <w:rPr>
          <w:rFonts w:ascii="Arial" w:cs="Arial" w:eastAsia="Arial" w:hAnsi="Arial"/>
          <w:sz w:val="18"/>
          <w:szCs w:val="18"/>
          <w:color w:val="auto"/>
        </w:rPr>
        <w:t>Slovenia</w:t>
      </w:r>
    </w:p>
    <w:p>
      <w:pPr>
        <w:spacing w:after="0" w:line="235" w:lineRule="auto"/>
        <w:rPr>
          <w:sz w:val="20"/>
          <w:szCs w:val="20"/>
          <w:color w:val="auto"/>
        </w:rPr>
      </w:pPr>
      <w:r>
        <w:rPr>
          <w:rFonts w:ascii="Arial" w:cs="Arial" w:eastAsia="Arial" w:hAnsi="Arial"/>
          <w:sz w:val="18"/>
          <w:szCs w:val="18"/>
          <w:color w:val="auto"/>
        </w:rPr>
        <w:t>Italy</w:t>
      </w:r>
    </w:p>
    <w:p>
      <w:pPr>
        <w:spacing w:after="0" w:line="235" w:lineRule="auto"/>
        <w:rPr>
          <w:sz w:val="20"/>
          <w:szCs w:val="20"/>
          <w:color w:val="auto"/>
        </w:rPr>
      </w:pPr>
      <w:r>
        <w:rPr>
          <w:rFonts w:ascii="Arial" w:cs="Arial" w:eastAsia="Arial" w:hAnsi="Arial"/>
          <w:sz w:val="18"/>
          <w:szCs w:val="18"/>
          <w:color w:val="auto"/>
        </w:rPr>
        <w:t>Italy</w:t>
      </w:r>
    </w:p>
    <w:p>
      <w:pPr>
        <w:spacing w:after="0" w:line="235" w:lineRule="auto"/>
        <w:rPr>
          <w:sz w:val="20"/>
          <w:szCs w:val="20"/>
          <w:color w:val="auto"/>
        </w:rPr>
      </w:pPr>
      <w:r>
        <w:rPr>
          <w:rFonts w:ascii="Arial" w:cs="Arial" w:eastAsia="Arial" w:hAnsi="Arial"/>
          <w:sz w:val="18"/>
          <w:szCs w:val="18"/>
          <w:color w:val="auto"/>
        </w:rPr>
        <w:t>Germany</w:t>
      </w:r>
    </w:p>
    <w:p>
      <w:pPr>
        <w:spacing w:after="0" w:line="234" w:lineRule="auto"/>
        <w:rPr>
          <w:sz w:val="20"/>
          <w:szCs w:val="20"/>
          <w:color w:val="auto"/>
        </w:rPr>
      </w:pPr>
      <w:r>
        <w:rPr>
          <w:rFonts w:ascii="Arial" w:cs="Arial" w:eastAsia="Arial" w:hAnsi="Arial"/>
          <w:sz w:val="18"/>
          <w:szCs w:val="18"/>
          <w:color w:val="auto"/>
        </w:rPr>
        <w:t>Ukraine</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France (22)</w:t>
      </w:r>
    </w:p>
    <w:p>
      <w:pPr>
        <w:spacing w:after="0" w:line="235" w:lineRule="auto"/>
        <w:rPr>
          <w:sz w:val="20"/>
          <w:szCs w:val="20"/>
          <w:color w:val="auto"/>
        </w:rPr>
      </w:pPr>
      <w:r>
        <w:rPr>
          <w:rFonts w:ascii="Arial" w:cs="Arial" w:eastAsia="Arial" w:hAnsi="Arial"/>
          <w:sz w:val="18"/>
          <w:szCs w:val="18"/>
          <w:color w:val="auto"/>
        </w:rPr>
        <w:t>France</w:t>
      </w:r>
    </w:p>
    <w:p>
      <w:pPr>
        <w:spacing w:after="0" w:line="235" w:lineRule="auto"/>
        <w:rPr>
          <w:sz w:val="20"/>
          <w:szCs w:val="20"/>
          <w:color w:val="auto"/>
        </w:rPr>
      </w:pPr>
      <w:r>
        <w:rPr>
          <w:rFonts w:ascii="Arial" w:cs="Arial" w:eastAsia="Arial" w:hAnsi="Arial"/>
          <w:sz w:val="18"/>
          <w:szCs w:val="18"/>
          <w:color w:val="auto"/>
        </w:rPr>
        <w:t>France (23)</w:t>
      </w:r>
    </w:p>
    <w:p>
      <w:pPr>
        <w:spacing w:after="0" w:line="235" w:lineRule="auto"/>
        <w:rPr>
          <w:sz w:val="20"/>
          <w:szCs w:val="20"/>
          <w:color w:val="auto"/>
        </w:rPr>
      </w:pPr>
      <w:r>
        <w:rPr>
          <w:rFonts w:ascii="Arial" w:cs="Arial" w:eastAsia="Arial" w:hAnsi="Arial"/>
          <w:sz w:val="18"/>
          <w:szCs w:val="18"/>
          <w:color w:val="auto"/>
        </w:rPr>
        <w:t>France (24)</w:t>
      </w:r>
    </w:p>
    <w:p>
      <w:pPr>
        <w:spacing w:after="0" w:line="235" w:lineRule="auto"/>
        <w:rPr>
          <w:sz w:val="20"/>
          <w:szCs w:val="20"/>
          <w:color w:val="auto"/>
        </w:rPr>
      </w:pPr>
      <w:r>
        <w:rPr>
          <w:rFonts w:ascii="Arial" w:cs="Arial" w:eastAsia="Arial" w:hAnsi="Arial"/>
          <w:sz w:val="18"/>
          <w:szCs w:val="18"/>
          <w:color w:val="auto"/>
        </w:rPr>
        <w:t>France</w:t>
      </w:r>
    </w:p>
    <w:p>
      <w:pPr>
        <w:spacing w:after="0" w:line="235" w:lineRule="auto"/>
        <w:rPr>
          <w:sz w:val="20"/>
          <w:szCs w:val="20"/>
          <w:color w:val="auto"/>
        </w:rPr>
      </w:pPr>
      <w:r>
        <w:rPr>
          <w:rFonts w:ascii="Arial" w:cs="Arial" w:eastAsia="Arial" w:hAnsi="Arial"/>
          <w:sz w:val="18"/>
          <w:szCs w:val="18"/>
          <w:color w:val="auto"/>
        </w:rPr>
        <w:t>France</w:t>
      </w:r>
    </w:p>
    <w:p>
      <w:pPr>
        <w:spacing w:after="0" w:line="235" w:lineRule="auto"/>
        <w:rPr>
          <w:sz w:val="20"/>
          <w:szCs w:val="20"/>
          <w:color w:val="auto"/>
        </w:rPr>
      </w:pPr>
      <w:r>
        <w:rPr>
          <w:rFonts w:ascii="Arial" w:cs="Arial" w:eastAsia="Arial" w:hAnsi="Arial"/>
          <w:sz w:val="18"/>
          <w:szCs w:val="18"/>
          <w:color w:val="auto"/>
        </w:rPr>
        <w:t>Bermuda (6)</w:t>
      </w:r>
    </w:p>
    <w:p>
      <w:pPr>
        <w:spacing w:after="0" w:line="234" w:lineRule="auto"/>
        <w:rPr>
          <w:sz w:val="20"/>
          <w:szCs w:val="20"/>
          <w:color w:val="auto"/>
        </w:rPr>
      </w:pPr>
      <w:r>
        <w:rPr>
          <w:rFonts w:ascii="Arial" w:cs="Arial" w:eastAsia="Arial" w:hAnsi="Arial"/>
          <w:sz w:val="18"/>
          <w:szCs w:val="18"/>
          <w:color w:val="auto"/>
        </w:rPr>
        <w:t>Bermuda (6)</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line="235" w:lineRule="auto"/>
        <w:rPr>
          <w:sz w:val="20"/>
          <w:szCs w:val="20"/>
          <w:color w:val="auto"/>
        </w:rPr>
      </w:pPr>
      <w:r>
        <w:rPr>
          <w:rFonts w:ascii="Arial" w:cs="Arial" w:eastAsia="Arial" w:hAnsi="Arial"/>
          <w:sz w:val="18"/>
          <w:szCs w:val="18"/>
          <w:color w:val="auto"/>
        </w:rPr>
        <w:t>United Kingdom</w:t>
      </w:r>
    </w:p>
    <w:p>
      <w:pPr>
        <w:spacing w:after="0"/>
        <w:rPr>
          <w:sz w:val="20"/>
          <w:szCs w:val="20"/>
          <w:color w:val="auto"/>
        </w:rPr>
      </w:pPr>
      <w:r>
        <w:rPr>
          <w:rFonts w:ascii="Arial" w:cs="Arial" w:eastAsia="Arial" w:hAnsi="Arial"/>
          <w:sz w:val="16"/>
          <w:szCs w:val="16"/>
          <w:color w:val="auto"/>
        </w:rPr>
        <w:t>United Kingdom (6)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4" w:lineRule="auto"/>
        <w:rPr>
          <w:sz w:val="20"/>
          <w:szCs w:val="20"/>
          <w:color w:val="auto"/>
        </w:rPr>
      </w:pPr>
      <w:r>
        <w:rPr>
          <w:rFonts w:ascii="Arial" w:cs="Arial" w:eastAsia="Arial" w:hAnsi="Arial"/>
          <w:sz w:val="18"/>
          <w:szCs w:val="18"/>
          <w:color w:val="auto"/>
        </w:rPr>
        <w:t>Guatemala (39)</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Mexico (28)</w:t>
      </w: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340" w:space="720"/>
            <w:col w:w="4159"/>
          </w:cols>
          <w:pgMar w:left="240" w:top="287" w:right="1440"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Xerox Overseas, Inc.</w:t>
      </w:r>
    </w:p>
    <w:p>
      <w:pPr>
        <w:spacing w:after="0" w:line="234" w:lineRule="auto"/>
        <w:rPr>
          <w:sz w:val="20"/>
          <w:szCs w:val="20"/>
          <w:color w:val="auto"/>
        </w:rPr>
      </w:pPr>
      <w:r>
        <w:rPr>
          <w:rFonts w:ascii="Arial" w:cs="Arial" w:eastAsia="Arial" w:hAnsi="Arial"/>
          <w:sz w:val="18"/>
          <w:szCs w:val="18"/>
          <w:color w:val="auto"/>
        </w:rPr>
        <w:t>XC Asia LLC</w:t>
      </w:r>
    </w:p>
    <w:p>
      <w:pPr>
        <w:spacing w:after="0" w:line="235" w:lineRule="auto"/>
        <w:rPr>
          <w:sz w:val="20"/>
          <w:szCs w:val="20"/>
          <w:color w:val="auto"/>
        </w:rPr>
      </w:pPr>
      <w:r>
        <w:rPr>
          <w:rFonts w:ascii="Arial" w:cs="Arial" w:eastAsia="Arial" w:hAnsi="Arial"/>
          <w:sz w:val="18"/>
          <w:szCs w:val="18"/>
          <w:color w:val="auto"/>
        </w:rPr>
        <w:t>Xerox Serviços e Participacoes Ltda.</w:t>
      </w:r>
    </w:p>
    <w:p>
      <w:pPr>
        <w:spacing w:after="0" w:line="235" w:lineRule="auto"/>
        <w:rPr>
          <w:sz w:val="20"/>
          <w:szCs w:val="20"/>
          <w:color w:val="auto"/>
        </w:rPr>
      </w:pPr>
      <w:r>
        <w:rPr>
          <w:rFonts w:ascii="Arial" w:cs="Arial" w:eastAsia="Arial" w:hAnsi="Arial"/>
          <w:sz w:val="18"/>
          <w:szCs w:val="18"/>
          <w:color w:val="auto"/>
        </w:rPr>
        <w:t>Xerox Comercio e Industria Ltda</w:t>
      </w:r>
    </w:p>
    <w:p>
      <w:pPr>
        <w:spacing w:after="0" w:line="235" w:lineRule="auto"/>
        <w:rPr>
          <w:sz w:val="20"/>
          <w:szCs w:val="20"/>
          <w:color w:val="auto"/>
        </w:rPr>
      </w:pPr>
      <w:r>
        <w:rPr>
          <w:rFonts w:ascii="Arial" w:cs="Arial" w:eastAsia="Arial" w:hAnsi="Arial"/>
          <w:sz w:val="18"/>
          <w:szCs w:val="18"/>
          <w:color w:val="auto"/>
        </w:rPr>
        <w:t>Xerox del Peru, S.A.</w:t>
      </w:r>
    </w:p>
    <w:p>
      <w:pPr>
        <w:spacing w:after="0" w:line="235" w:lineRule="auto"/>
        <w:rPr>
          <w:sz w:val="20"/>
          <w:szCs w:val="20"/>
          <w:color w:val="auto"/>
        </w:rPr>
      </w:pPr>
      <w:r>
        <w:rPr>
          <w:rFonts w:ascii="Arial" w:cs="Arial" w:eastAsia="Arial" w:hAnsi="Arial"/>
          <w:sz w:val="18"/>
          <w:szCs w:val="18"/>
          <w:color w:val="auto"/>
        </w:rPr>
        <w:t>Xerox Realty Corporation</w:t>
      </w:r>
    </w:p>
    <w:p>
      <w:pPr>
        <w:spacing w:after="0" w:line="235" w:lineRule="auto"/>
        <w:rPr>
          <w:sz w:val="20"/>
          <w:szCs w:val="20"/>
          <w:color w:val="auto"/>
        </w:rPr>
      </w:pPr>
      <w:r>
        <w:rPr>
          <w:rFonts w:ascii="Arial" w:cs="Arial" w:eastAsia="Arial" w:hAnsi="Arial"/>
          <w:sz w:val="18"/>
          <w:szCs w:val="18"/>
          <w:color w:val="auto"/>
        </w:rPr>
        <w:t>Xerox Trinidad Limited</w:t>
      </w:r>
    </w:p>
    <w:p>
      <w:pPr>
        <w:spacing w:after="0" w:line="235" w:lineRule="auto"/>
        <w:rPr>
          <w:sz w:val="20"/>
          <w:szCs w:val="20"/>
          <w:color w:val="auto"/>
        </w:rPr>
      </w:pPr>
      <w:r>
        <w:rPr>
          <w:rFonts w:ascii="Arial" w:cs="Arial" w:eastAsia="Arial" w:hAnsi="Arial"/>
          <w:sz w:val="18"/>
          <w:szCs w:val="18"/>
          <w:color w:val="auto"/>
        </w:rPr>
        <w:t>Xerox de Venezuela, C.A.</w:t>
      </w:r>
    </w:p>
    <w:p>
      <w:pPr>
        <w:spacing w:after="0" w:line="235" w:lineRule="auto"/>
        <w:rPr>
          <w:sz w:val="20"/>
          <w:szCs w:val="20"/>
          <w:color w:val="auto"/>
        </w:rPr>
      </w:pPr>
      <w:r>
        <w:rPr>
          <w:rFonts w:ascii="Arial" w:cs="Arial" w:eastAsia="Arial" w:hAnsi="Arial"/>
          <w:sz w:val="18"/>
          <w:szCs w:val="18"/>
          <w:color w:val="auto"/>
        </w:rPr>
        <w:t>Xerox XBS Warehouse Holding LLC</w:t>
      </w:r>
    </w:p>
    <w:p>
      <w:pPr>
        <w:spacing w:after="0"/>
        <w:rPr>
          <w:sz w:val="20"/>
          <w:szCs w:val="20"/>
          <w:color w:val="auto"/>
        </w:rPr>
      </w:pPr>
      <w:r>
        <w:rPr>
          <w:rFonts w:ascii="Arial" w:cs="Arial" w:eastAsia="Arial" w:hAnsi="Arial"/>
          <w:sz w:val="16"/>
          <w:szCs w:val="16"/>
          <w:color w:val="auto"/>
        </w:rPr>
        <w:t>Xerox XBS Warehouse Funding II LLC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Xerox XBS Warehouse Funding LLC</w:t>
      </w:r>
    </w:p>
    <w:p>
      <w:pPr>
        <w:spacing w:after="0"/>
        <w:rPr>
          <w:sz w:val="20"/>
          <w:szCs w:val="20"/>
          <w:color w:val="auto"/>
        </w:rPr>
      </w:pPr>
      <w:r>
        <w:rPr>
          <w:rFonts w:ascii="Arial" w:cs="Arial" w:eastAsia="Arial" w:hAnsi="Arial"/>
          <w:sz w:val="16"/>
          <w:szCs w:val="16"/>
          <w:color w:val="auto"/>
        </w:rPr>
        <w:t>XESystems Foreign Sales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XMPie Inc.</w:t>
      </w:r>
    </w:p>
    <w:p>
      <w:pPr>
        <w:spacing w:after="0" w:line="234" w:lineRule="auto"/>
        <w:rPr>
          <w:sz w:val="20"/>
          <w:szCs w:val="20"/>
          <w:color w:val="auto"/>
        </w:rPr>
      </w:pPr>
      <w:r>
        <w:rPr>
          <w:rFonts w:ascii="Arial" w:cs="Arial" w:eastAsia="Arial" w:hAnsi="Arial"/>
          <w:sz w:val="18"/>
          <w:szCs w:val="18"/>
          <w:color w:val="auto"/>
        </w:rPr>
        <w:t>Nuvisio, Inc.</w:t>
      </w:r>
    </w:p>
    <w:p>
      <w:pPr>
        <w:spacing w:after="0" w:line="235" w:lineRule="auto"/>
        <w:rPr>
          <w:sz w:val="20"/>
          <w:szCs w:val="20"/>
          <w:color w:val="auto"/>
        </w:rPr>
      </w:pPr>
      <w:r>
        <w:rPr>
          <w:rFonts w:ascii="Arial" w:cs="Arial" w:eastAsia="Arial" w:hAnsi="Arial"/>
          <w:sz w:val="18"/>
          <w:szCs w:val="18"/>
          <w:color w:val="auto"/>
        </w:rPr>
        <w:t>Nuvisio, Ltd.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XMPie,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-224155</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Brazil</w:t>
      </w:r>
    </w:p>
    <w:p>
      <w:pPr>
        <w:spacing w:after="0" w:line="235" w:lineRule="auto"/>
        <w:rPr>
          <w:sz w:val="20"/>
          <w:szCs w:val="20"/>
          <w:color w:val="auto"/>
        </w:rPr>
      </w:pPr>
      <w:r>
        <w:rPr>
          <w:rFonts w:ascii="Arial" w:cs="Arial" w:eastAsia="Arial" w:hAnsi="Arial"/>
          <w:sz w:val="18"/>
          <w:szCs w:val="18"/>
          <w:color w:val="auto"/>
        </w:rPr>
        <w:t>Brazil</w:t>
      </w:r>
    </w:p>
    <w:p>
      <w:pPr>
        <w:spacing w:after="0" w:line="235" w:lineRule="auto"/>
        <w:rPr>
          <w:sz w:val="20"/>
          <w:szCs w:val="20"/>
          <w:color w:val="auto"/>
        </w:rPr>
      </w:pPr>
      <w:r>
        <w:rPr>
          <w:rFonts w:ascii="Arial" w:cs="Arial" w:eastAsia="Arial" w:hAnsi="Arial"/>
          <w:sz w:val="18"/>
          <w:szCs w:val="18"/>
          <w:color w:val="auto"/>
        </w:rPr>
        <w:t>Peru (30)</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Trinidad</w:t>
      </w:r>
    </w:p>
    <w:p>
      <w:pPr>
        <w:spacing w:after="0"/>
        <w:rPr>
          <w:sz w:val="20"/>
          <w:szCs w:val="20"/>
          <w:color w:val="auto"/>
        </w:rPr>
      </w:pPr>
      <w:r>
        <w:rPr>
          <w:rFonts w:ascii="Arial" w:cs="Arial" w:eastAsia="Arial" w:hAnsi="Arial"/>
          <w:sz w:val="16"/>
          <w:szCs w:val="16"/>
          <w:color w:val="auto"/>
        </w:rPr>
        <w:t>Venezuela (5)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4"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Barbados</w:t>
      </w:r>
    </w:p>
    <w:p>
      <w:pPr>
        <w:spacing w:after="0" w:line="235" w:lineRule="auto"/>
        <w:rPr>
          <w:sz w:val="20"/>
          <w:szCs w:val="20"/>
          <w:color w:val="auto"/>
        </w:rPr>
      </w:pPr>
      <w:r>
        <w:rPr>
          <w:rFonts w:ascii="Arial" w:cs="Arial" w:eastAsia="Arial" w:hAnsi="Arial"/>
          <w:sz w:val="18"/>
          <w:szCs w:val="18"/>
          <w:color w:val="auto"/>
        </w:rPr>
        <w:t>Delaware</w:t>
      </w:r>
    </w:p>
    <w:p>
      <w:pPr>
        <w:spacing w:after="0" w:line="235" w:lineRule="auto"/>
        <w:rPr>
          <w:sz w:val="20"/>
          <w:szCs w:val="20"/>
          <w:color w:val="auto"/>
        </w:rPr>
      </w:pPr>
      <w:r>
        <w:rPr>
          <w:rFonts w:ascii="Arial" w:cs="Arial" w:eastAsia="Arial" w:hAnsi="Arial"/>
          <w:sz w:val="18"/>
          <w:szCs w:val="18"/>
          <w:color w:val="auto"/>
        </w:rPr>
        <w:t>New York</w:t>
      </w:r>
    </w:p>
    <w:p>
      <w:pPr>
        <w:spacing w:after="0" w:line="235" w:lineRule="auto"/>
        <w:rPr>
          <w:sz w:val="20"/>
          <w:szCs w:val="20"/>
          <w:color w:val="auto"/>
        </w:rPr>
      </w:pPr>
      <w:r>
        <w:rPr>
          <w:rFonts w:ascii="Arial" w:cs="Arial" w:eastAsia="Arial" w:hAnsi="Arial"/>
          <w:sz w:val="18"/>
          <w:szCs w:val="18"/>
          <w:color w:val="auto"/>
        </w:rPr>
        <w:t>Israel</w:t>
      </w:r>
    </w:p>
    <w:p>
      <w:pPr>
        <w:spacing w:after="0"/>
        <w:rPr>
          <w:sz w:val="20"/>
          <w:szCs w:val="20"/>
          <w:color w:val="auto"/>
        </w:rPr>
      </w:pPr>
      <w:r>
        <w:rPr>
          <w:rFonts w:ascii="Arial" w:cs="Arial" w:eastAsia="Arial" w:hAnsi="Arial"/>
          <w:sz w:val="18"/>
          <w:szCs w:val="18"/>
          <w:color w:val="auto"/>
        </w:rPr>
        <w:t>Israel</w:t>
      </w:r>
    </w:p>
    <w:p>
      <w:pPr>
        <w:spacing w:after="0" w:line="77" w:lineRule="exact"/>
        <w:rPr>
          <w:sz w:val="20"/>
          <w:szCs w:val="20"/>
          <w:color w:val="auto"/>
        </w:rPr>
      </w:pPr>
    </w:p>
    <w:p>
      <w:pPr>
        <w:sectPr>
          <w:pgSz w:w="11900" w:h="16838" w:orient="portrait"/>
          <w:cols w:equalWidth="0" w:num="2">
            <w:col w:w="5340" w:space="720"/>
            <w:col w:w="5260"/>
          </w:cols>
          <w:pgMar w:left="240" w:top="287" w:right="339" w:bottom="1440" w:gutter="0" w:footer="0" w:header="0"/>
        </w:sectPr>
      </w:pPr>
    </w:p>
    <w:p>
      <w:pPr>
        <w:ind w:left="460" w:right="7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Xerox Corporation owns 90% of the shares of Xerox Argentina; the remaining 10% is owned by Pacific Services and Development Corporation, a wholly-owned subsidiary of Xerox Corporation.</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99.9% by XMEIBL and .1% by several individuals.</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[Reserved]</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65% by Xerox Canada Inc. and 35% by Xerox Canada Finance Inc.</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86.75% by Xerox Corporation, and 13.25% by Pacific Services and Development Corporation.</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indirect holdings.</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[Reserved]</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Xerox Corporation indirectly owns 89.3% and 10.7% is privately held.</w:t>
      </w:r>
    </w:p>
    <w:p>
      <w:pPr>
        <w:ind w:left="460" w:right="60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99.9% by Xerox Corporation and .1% by Pacific Services and Development Corporation, a wholly-owned subsidiary of Xerox Corporation.</w:t>
      </w:r>
    </w:p>
    <w:p>
      <w:pPr>
        <w:spacing w:after="0" w:line="1" w:lineRule="exact"/>
        <w:rPr>
          <w:rFonts w:ascii="Arial" w:cs="Arial" w:eastAsia="Arial" w:hAnsi="Arial"/>
          <w:sz w:val="18"/>
          <w:szCs w:val="18"/>
          <w:color w:val="auto"/>
        </w:rPr>
      </w:pPr>
    </w:p>
    <w:p>
      <w:pPr>
        <w:ind w:left="460" w:right="8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Xerox International Partners is a California general partnership between FX Global, Inc. (49%) and Xerox International Joint Marketing, Inc. (51%).</w:t>
      </w:r>
    </w:p>
    <w:p>
      <w:pPr>
        <w:spacing w:after="0" w:line="1" w:lineRule="exact"/>
        <w:rPr>
          <w:rFonts w:ascii="Arial" w:cs="Arial" w:eastAsia="Arial" w:hAnsi="Arial"/>
          <w:sz w:val="18"/>
          <w:szCs w:val="18"/>
          <w:color w:val="auto"/>
        </w:rPr>
      </w:pPr>
    </w:p>
    <w:p>
      <w:pPr>
        <w:ind w:left="460" w:right="18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Xerox Capital Trust I is a Delaware statutory business trust which is 100% beneficially owned by Xerox Corporation. The Trust is a special purpose financing vehicle.</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[Reserved]</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[Reserved]</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88.27% by Xerox Canada Inc. and 11.73% by Xerox Corporation.</w:t>
      </w:r>
    </w:p>
    <w:p>
      <w:pPr>
        <w:ind w:left="460" w:right="5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This is a not-for-profit corporation which will act as a research and development consortium of businesses and universities. The initial members are Xerox, Corning, Kodak, University of Rochester, RIT and Cornell.</w:t>
      </w:r>
    </w:p>
    <w:p>
      <w:pPr>
        <w:spacing w:after="0" w:line="1" w:lineRule="exact"/>
        <w:rPr>
          <w:rFonts w:ascii="Arial" w:cs="Arial" w:eastAsia="Arial" w:hAnsi="Arial"/>
          <w:sz w:val="18"/>
          <w:szCs w:val="18"/>
          <w:color w:val="auto"/>
        </w:rPr>
      </w:pPr>
    </w:p>
    <w:p>
      <w:pPr>
        <w:ind w:left="460" w:right="28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Xerox Canada Leasing Partnership is an Ontario general partnership between Xerox Canada Inc. (99%) and Xerox Canada Finance Inc. (1%).</w:t>
      </w:r>
    </w:p>
    <w:p>
      <w:pPr>
        <w:spacing w:after="0" w:line="1" w:lineRule="exact"/>
        <w:rPr>
          <w:rFonts w:ascii="Arial" w:cs="Arial" w:eastAsia="Arial" w:hAnsi="Arial"/>
          <w:sz w:val="18"/>
          <w:szCs w:val="18"/>
          <w:color w:val="auto"/>
        </w:rPr>
      </w:pPr>
    </w:p>
    <w:p>
      <w:pPr>
        <w:ind w:left="460" w:right="7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19% by Xerox Corporation and 81% by GE Capital Information Technology Solutions, Inc. [Included in Xerox Corporation’s consolidated financial statements.]</w:t>
      </w:r>
    </w:p>
    <w:p>
      <w:pPr>
        <w:spacing w:after="0" w:line="1"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Owned 66.995% by Xerox Canada Ltd. and 33.005% by Xerox Canada Inc. It was formerly known as Delphax Systems Partnership but changed to Ionographic Operations Partnership on 2/12/02. This name was registered under the Business Names Act in Ontario on 2/13/02.</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[Reserved]</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Xerox Europe Finance Limited Partnership is owned 99.9% by Xerox Export LLC and .1% by Xerox Corporation.</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74% by Xerox Limited and 26% by Xerox Property Services Limited.</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Remaining shares transferred in Xerox SAS to Xerox Overseas Holding Limited after share capital reduction exercise.</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87.5% by Xerobail SAS and 12.5% by Xerox SAS.</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99.99% by XEROX S.A.S. and .01% by Xerobail SAS.</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[Reserved]</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[Reserved]</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99% by NV Xerox SA and 1% by Xerox Financial Services Belux NV.</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99.99% by Xerox Corporation and .01% by Pacific Services and Development Corporation.</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94.24% by Xerox Corporation, 5.56% by Pacific Services and Development Corporation and .20% by a Minority owner.</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95.73% by Xerox Corporation and 4.27% by Pacific Services and Development Corporation.</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[Reserved]</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99.99% by Xerox Corporation and .01% by Pacific Services and Development Corporation. (PSDC owns only one share)</w:t>
      </w:r>
    </w:p>
    <w:p>
      <w:pPr>
        <w:ind w:left="460" w:hanging="452"/>
        <w:spacing w:after="0" w:line="234"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[Reserved]</w:t>
      </w: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Owned 99% by Conway Office Products, LLC (limited partner) and 1% by Global Imaging Systems, Inc. (general partner).</w:t>
      </w:r>
    </w:p>
    <w:p>
      <w:pPr>
        <w:sectPr>
          <w:pgSz w:w="11900" w:h="16838" w:orient="portrait"/>
          <w:cols w:equalWidth="0" w:num="1">
            <w:col w:w="11320"/>
          </w:cols>
          <w:pgMar w:left="240" w:top="287" w:right="339" w:bottom="1440" w:gutter="0" w:footer="0" w:header="0"/>
          <w:type w:val="continuous"/>
        </w:sectPr>
      </w:pPr>
    </w:p>
    <w:bookmarkStart w:id="177" w:name="page178"/>
    <w:bookmarkEnd w:id="177"/>
    <w:p>
      <w:pPr>
        <w:ind w:left="452" w:hanging="452"/>
        <w:spacing w:after="0"/>
        <w:tabs>
          <w:tab w:leader="none" w:pos="452"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[Reserved]</w:t>
      </w:r>
    </w:p>
    <w:p>
      <w:pPr>
        <w:ind w:left="452" w:hanging="452"/>
        <w:spacing w:after="0" w:line="234" w:lineRule="auto"/>
        <w:tabs>
          <w:tab w:leader="none" w:pos="45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[Reserved]</w:t>
      </w:r>
    </w:p>
    <w:p>
      <w:pPr>
        <w:ind w:left="452" w:hanging="452"/>
        <w:spacing w:after="0" w:line="234" w:lineRule="auto"/>
        <w:tabs>
          <w:tab w:leader="none" w:pos="45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[Reserved]</w:t>
      </w:r>
    </w:p>
    <w:p>
      <w:pPr>
        <w:ind w:left="452" w:hanging="452"/>
        <w:spacing w:after="0" w:line="234" w:lineRule="auto"/>
        <w:tabs>
          <w:tab w:leader="none" w:pos="45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Owned 99% by Xerox Limited and 1% by Xerox Property Services Limited.</w:t>
      </w:r>
    </w:p>
    <w:p>
      <w:pPr>
        <w:ind w:left="452" w:hanging="452"/>
        <w:spacing w:after="0"/>
        <w:tabs>
          <w:tab w:leader="none" w:pos="45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Owned 50% by Xerox Latinamerican Holdings, Inc. and 50% by Pacific Services and Development Corporation.</w:t>
      </w:r>
    </w:p>
    <w:p>
      <w:pPr>
        <w:spacing w:after="0" w:line="18" w:lineRule="exact"/>
        <w:rPr>
          <w:rFonts w:ascii="Arial" w:cs="Arial" w:eastAsia="Arial" w:hAnsi="Arial"/>
          <w:sz w:val="16"/>
          <w:szCs w:val="16"/>
          <w:color w:val="auto"/>
        </w:rPr>
      </w:pPr>
    </w:p>
    <w:p>
      <w:pPr>
        <w:ind w:left="452" w:hanging="452"/>
        <w:spacing w:after="0"/>
        <w:tabs>
          <w:tab w:leader="none" w:pos="45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Owned 99.99% by Xerox Corporation and .01% by Pacific Services and Development Corporation.</w:t>
      </w:r>
    </w:p>
    <w:p>
      <w:pPr>
        <w:sectPr>
          <w:pgSz w:w="11900" w:h="16838" w:orient="portrait"/>
          <w:cols w:equalWidth="0" w:num="1">
            <w:col w:w="10211"/>
          </w:cols>
          <w:pgMar w:left="248" w:top="287" w:right="1440"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1269BC"/>
        </w:rPr>
        <w:t>EXHIBIT 23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CONSENT OF INDEPENDENT REGISTERED PUBLIC ACCOUNTING FIRM</w:t>
      </w:r>
    </w:p>
    <w:p>
      <w:pPr>
        <w:spacing w:after="0" w:line="9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We hereby consent to the incorporation by reference in the Registration Statements on Form S-3 (Nos. 333-155743 and 333-142900) and Form S-8 (Nos. 333-162639, 333-164766, 333-160264, 333-142417, 333-125250, 333-93269, 333-09821, 333-22313, 33-65269 and 33-44314) of Xerox Corporation of our report dated February 26, 2010 relating to the financial statements and the effectiveness of internal control over financial reporting, which appears in the Annual Report to Shareholders, which is incorporated in this Annual Report on Form 10-K. We also consent to the incorporation by reference of our report dated February 26, 2010 relating to the financial statement schedule, which appears in this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PricewaterhouseCoopers LLP</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Stamford, CT</w:t>
      </w:r>
    </w:p>
    <w:p>
      <w:pPr>
        <w:spacing w:after="0"/>
        <w:rPr>
          <w:sz w:val="20"/>
          <w:szCs w:val="20"/>
          <w:color w:val="auto"/>
        </w:rPr>
      </w:pPr>
      <w:r>
        <w:rPr>
          <w:rFonts w:ascii="Arial" w:cs="Arial" w:eastAsia="Arial" w:hAnsi="Arial"/>
          <w:sz w:val="18"/>
          <w:szCs w:val="18"/>
          <w:b w:val="1"/>
          <w:bCs w:val="1"/>
          <w:color w:val="auto"/>
        </w:rPr>
        <w:t>February 26, 2010</w:t>
      </w:r>
    </w:p>
    <w:p>
      <w:pPr>
        <w:sectPr>
          <w:pgSz w:w="11900" w:h="16838" w:orient="portrait"/>
          <w:cols w:equalWidth="0" w:num="1">
            <w:col w:w="11420"/>
          </w:cols>
          <w:pgMar w:left="2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1269BC"/>
        </w:rPr>
        <w:t>EXHIBIT 31(a)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Ursula M. Burns, certify that:</w:t>
      </w:r>
    </w:p>
    <w:p>
      <w:pPr>
        <w:spacing w:after="0" w:line="77"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Xerox Corporation;</w:t>
      </w:r>
    </w:p>
    <w:p>
      <w:pPr>
        <w:spacing w:after="0" w:line="76" w:lineRule="exact"/>
        <w:rPr>
          <w:rFonts w:ascii="Arial" w:cs="Arial" w:eastAsia="Arial" w:hAnsi="Arial"/>
          <w:sz w:val="18"/>
          <w:szCs w:val="18"/>
          <w:color w:val="auto"/>
        </w:rPr>
      </w:pPr>
    </w:p>
    <w:p>
      <w:pPr>
        <w:ind w:left="460" w:right="100" w:hanging="452"/>
        <w:spacing w:after="0" w:line="238"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460" w:right="40" w:hanging="452"/>
        <w:spacing w:after="0" w:line="239"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460" w:right="140" w:hanging="452"/>
        <w:spacing w:after="0" w:line="238"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Arial" w:cs="Arial" w:eastAsia="Arial" w:hAnsi="Arial"/>
          <w:sz w:val="18"/>
          <w:szCs w:val="18"/>
          <w:color w:val="auto"/>
        </w:rPr>
      </w:pPr>
    </w:p>
    <w:p>
      <w:pPr>
        <w:ind w:left="900" w:right="20" w:hanging="446"/>
        <w:spacing w:after="0" w:line="238"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ind w:left="900" w:right="20" w:hanging="446"/>
        <w:spacing w:after="0" w:line="238"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ind w:left="900" w:right="280" w:hanging="446"/>
        <w:spacing w:after="0" w:line="238"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8"/>
          <w:szCs w:val="18"/>
          <w:color w:val="auto"/>
        </w:rPr>
      </w:pPr>
    </w:p>
    <w:p>
      <w:pPr>
        <w:ind w:left="900" w:right="140" w:hanging="446"/>
        <w:spacing w:after="0" w:line="238"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ind w:left="460" w:right="180" w:hanging="452"/>
        <w:spacing w:after="0" w:line="299" w:lineRule="auto"/>
        <w:tabs>
          <w:tab w:leader="none" w:pos="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900" w:right="460" w:hanging="446"/>
        <w:spacing w:after="0" w:line="299" w:lineRule="auto"/>
        <w:tabs>
          <w:tab w:leader="none" w:pos="9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6"/>
          <w:szCs w:val="16"/>
          <w:color w:val="auto"/>
        </w:rPr>
      </w:pPr>
    </w:p>
    <w:p>
      <w:pPr>
        <w:ind w:left="900" w:right="60" w:hanging="446"/>
        <w:spacing w:after="0" w:line="239"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U</w:t>
      </w:r>
      <w:r>
        <w:rPr>
          <w:rFonts w:ascii="Arial" w:cs="Arial" w:eastAsia="Arial" w:hAnsi="Arial"/>
          <w:sz w:val="14"/>
          <w:szCs w:val="14"/>
          <w:color w:val="auto"/>
        </w:rPr>
        <w:t>RSULA</w:t>
      </w:r>
      <w:r>
        <w:rPr>
          <w:rFonts w:ascii="Arial" w:cs="Arial" w:eastAsia="Arial" w:hAnsi="Arial"/>
          <w:sz w:val="18"/>
          <w:szCs w:val="18"/>
          <w:color w:val="auto"/>
        </w:rPr>
        <w:t xml:space="preserve"> M. B</w:t>
      </w:r>
      <w:r>
        <w:rPr>
          <w:rFonts w:ascii="Arial" w:cs="Arial" w:eastAsia="Arial" w:hAnsi="Arial"/>
          <w:sz w:val="14"/>
          <w:szCs w:val="14"/>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Ursula M. Burns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1269BC"/>
        </w:rPr>
        <w:t>EXHIBIT 31(b)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Lawrence A. Zimmerman, certify that:</w:t>
      </w:r>
    </w:p>
    <w:p>
      <w:pPr>
        <w:spacing w:after="0" w:line="77"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Xerox Corporation;</w:t>
      </w:r>
    </w:p>
    <w:p>
      <w:pPr>
        <w:spacing w:after="0" w:line="76" w:lineRule="exact"/>
        <w:rPr>
          <w:rFonts w:ascii="Arial" w:cs="Arial" w:eastAsia="Arial" w:hAnsi="Arial"/>
          <w:sz w:val="18"/>
          <w:szCs w:val="18"/>
          <w:color w:val="auto"/>
        </w:rPr>
      </w:pPr>
    </w:p>
    <w:p>
      <w:pPr>
        <w:ind w:left="460" w:right="100" w:hanging="452"/>
        <w:spacing w:after="0" w:line="238"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460" w:right="40" w:hanging="452"/>
        <w:spacing w:after="0" w:line="239"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460" w:right="140" w:hanging="452"/>
        <w:spacing w:after="0" w:line="238"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Arial" w:cs="Arial" w:eastAsia="Arial" w:hAnsi="Arial"/>
          <w:sz w:val="18"/>
          <w:szCs w:val="18"/>
          <w:color w:val="auto"/>
        </w:rPr>
      </w:pPr>
    </w:p>
    <w:p>
      <w:pPr>
        <w:ind w:left="900" w:right="20" w:hanging="446"/>
        <w:spacing w:after="0" w:line="238" w:lineRule="auto"/>
        <w:tabs>
          <w:tab w:leader="none" w:pos="9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ind w:left="900" w:right="20" w:hanging="446"/>
        <w:spacing w:after="0" w:line="238" w:lineRule="auto"/>
        <w:tabs>
          <w:tab w:leader="none" w:pos="9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ind w:left="900" w:right="280" w:hanging="446"/>
        <w:spacing w:after="0" w:line="238" w:lineRule="auto"/>
        <w:tabs>
          <w:tab w:leader="none" w:pos="9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8"/>
          <w:szCs w:val="18"/>
          <w:color w:val="auto"/>
        </w:rPr>
      </w:pPr>
    </w:p>
    <w:p>
      <w:pPr>
        <w:ind w:left="900" w:right="140" w:hanging="446"/>
        <w:spacing w:after="0" w:line="238" w:lineRule="auto"/>
        <w:tabs>
          <w:tab w:leader="none" w:pos="9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ind w:left="460" w:right="180" w:hanging="452"/>
        <w:spacing w:after="0" w:line="299" w:lineRule="auto"/>
        <w:tabs>
          <w:tab w:leader="none" w:pos="4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900" w:right="460" w:hanging="446"/>
        <w:spacing w:after="0" w:line="299" w:lineRule="auto"/>
        <w:tabs>
          <w:tab w:leader="none" w:pos="90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6"/>
          <w:szCs w:val="16"/>
          <w:color w:val="auto"/>
        </w:rPr>
      </w:pPr>
    </w:p>
    <w:p>
      <w:pPr>
        <w:ind w:left="900" w:right="60" w:hanging="446"/>
        <w:spacing w:after="0" w:line="239" w:lineRule="auto"/>
        <w:tabs>
          <w:tab w:leader="none" w:pos="9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AWRENCE</w:t>
      </w:r>
      <w:r>
        <w:rPr>
          <w:rFonts w:ascii="Arial" w:cs="Arial" w:eastAsia="Arial" w:hAnsi="Arial"/>
          <w:sz w:val="18"/>
          <w:szCs w:val="18"/>
          <w:color w:val="auto"/>
        </w:rPr>
        <w:t xml:space="preserve"> A. Z</w:t>
      </w:r>
      <w:r>
        <w:rPr>
          <w:rFonts w:ascii="Arial" w:cs="Arial" w:eastAsia="Arial" w:hAnsi="Arial"/>
          <w:sz w:val="14"/>
          <w:szCs w:val="14"/>
          <w:color w:val="auto"/>
        </w:rPr>
        <w:t>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Lawrence A. Zimmerman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181" w:name="page182"/>
    <w:bookmarkEnd w:id="181"/>
    <w:p>
      <w:pPr>
        <w:ind w:left="10480"/>
        <w:spacing w:after="0"/>
        <w:rPr>
          <w:sz w:val="20"/>
          <w:szCs w:val="20"/>
          <w:color w:val="auto"/>
        </w:rPr>
      </w:pPr>
      <w:r>
        <w:rPr>
          <w:rFonts w:ascii="Arial" w:cs="Arial" w:eastAsia="Arial" w:hAnsi="Arial"/>
          <w:sz w:val="16"/>
          <w:szCs w:val="16"/>
          <w:b w:val="1"/>
          <w:bCs w:val="1"/>
          <w:color w:val="1269BC"/>
        </w:rPr>
        <w:t>EXHIBIT 32</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color w:val="1269BC"/>
        </w:rPr>
        <w:t>CERTIFICATION OF CEO AND CFO PURSUANT TO 18 U.S.C. § 1350, AS ADOPTED PURSUANT TO § 906 OF THE SARBANES-OXLEY ACT OF 2002</w:t>
      </w:r>
    </w:p>
    <w:p>
      <w:pPr>
        <w:spacing w:after="0" w:line="1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connection with the Form 10-K of Xerox Corporation, a New York corporation (the “Company”), for the year ending December 31, 2009, as filed with the Securities and Exchange Commission on the date hereof (the “Report”), Ursula M. Burns, Chief Executive Officer of the Company, and Lawrence A. Zimmerman, Vice Chairman and Chief Financial Officer of the Company, each hereby certifies, pursuant to 18 U.S.C. § 1350, as adopted pursuant to § 906 of the Sarbanes-Oxley Act of 2002, to the best of his/her knowledge, that:</w:t>
      </w:r>
    </w:p>
    <w:p>
      <w:pPr>
        <w:spacing w:after="0" w:line="155" w:lineRule="exact"/>
        <w:rPr>
          <w:sz w:val="20"/>
          <w:szCs w:val="20"/>
          <w:color w:val="auto"/>
        </w:rPr>
      </w:pPr>
    </w:p>
    <w:p>
      <w:pPr>
        <w:ind w:left="280" w:hanging="272"/>
        <w:spacing w:after="0"/>
        <w:tabs>
          <w:tab w:leader="none" w:pos="2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840" w:firstLine="8"/>
        <w:spacing w:after="0" w:line="239" w:lineRule="auto"/>
        <w:tabs>
          <w:tab w:leader="none" w:pos="26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U</w:t>
      </w:r>
      <w:r>
        <w:rPr>
          <w:rFonts w:ascii="Arial" w:cs="Arial" w:eastAsia="Arial" w:hAnsi="Arial"/>
          <w:sz w:val="14"/>
          <w:szCs w:val="14"/>
          <w:color w:val="auto"/>
        </w:rPr>
        <w:t>RSULA</w:t>
      </w:r>
      <w:r>
        <w:rPr>
          <w:rFonts w:ascii="Arial" w:cs="Arial" w:eastAsia="Arial" w:hAnsi="Arial"/>
          <w:sz w:val="18"/>
          <w:szCs w:val="18"/>
          <w:color w:val="auto"/>
        </w:rPr>
        <w:t xml:space="preserve"> M. B</w:t>
      </w:r>
      <w:r>
        <w:rPr>
          <w:rFonts w:ascii="Arial" w:cs="Arial" w:eastAsia="Arial" w:hAnsi="Arial"/>
          <w:sz w:val="14"/>
          <w:szCs w:val="14"/>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Ursula M. Burns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rPr>
          <w:sz w:val="20"/>
          <w:szCs w:val="20"/>
          <w:color w:val="auto"/>
        </w:rPr>
      </w:pPr>
      <w:r>
        <w:rPr>
          <w:rFonts w:ascii="Arial" w:cs="Arial" w:eastAsia="Arial" w:hAnsi="Arial"/>
          <w:sz w:val="18"/>
          <w:szCs w:val="18"/>
          <w:b w:val="1"/>
          <w:bCs w:val="1"/>
          <w:color w:val="auto"/>
        </w:rPr>
        <w:t>February 26,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AWRENCE</w:t>
      </w:r>
      <w:r>
        <w:rPr>
          <w:rFonts w:ascii="Arial" w:cs="Arial" w:eastAsia="Arial" w:hAnsi="Arial"/>
          <w:sz w:val="18"/>
          <w:szCs w:val="18"/>
          <w:color w:val="auto"/>
        </w:rPr>
        <w:t xml:space="preserve"> A. Z</w:t>
      </w:r>
      <w:r>
        <w:rPr>
          <w:rFonts w:ascii="Arial" w:cs="Arial" w:eastAsia="Arial" w:hAnsi="Arial"/>
          <w:sz w:val="14"/>
          <w:szCs w:val="14"/>
          <w:color w:val="auto"/>
        </w:rPr>
        <w:t>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Lawrence A. Zimmerman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rPr>
          <w:sz w:val="20"/>
          <w:szCs w:val="20"/>
          <w:color w:val="auto"/>
        </w:rPr>
      </w:pPr>
      <w:r>
        <w:rPr>
          <w:rFonts w:ascii="Arial" w:cs="Arial" w:eastAsia="Arial" w:hAnsi="Arial"/>
          <w:sz w:val="18"/>
          <w:szCs w:val="18"/>
          <w:b w:val="1"/>
          <w:bCs w:val="1"/>
          <w:color w:val="auto"/>
        </w:rPr>
        <w:t>February 26, 2010</w:t>
      </w:r>
    </w:p>
    <w:p>
      <w:pPr>
        <w:spacing w:after="0" w:line="17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 signed original of this written statement required by § 906 has been provided to Xerox Corporation and will be retained by Xerox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lvl w:ilvl="1">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1)"/>
      <w:numFmt w:val="lowerRoman"/>
      <w:start w:val="3"/>
    </w:lvl>
  </w:abstractNum>
  <w:abstractNum w:abstractNumId="20">
    <w:nsid w:val="8F2B15E"/>
    <w:multiLevelType w:val="hybridMultilevel"/>
    <w:lvl w:ilvl="0">
      <w:lvlJc w:val="left"/>
      <w:lvlText w:val="(%1)"/>
      <w:numFmt w:val="lowerRoman"/>
      <w:start w:val="6"/>
    </w:lvl>
  </w:abstractNum>
  <w:abstractNum w:abstractNumId="21">
    <w:nsid w:val="1A32234B"/>
    <w:multiLevelType w:val="hybridMultilevel"/>
    <w:lvl w:ilvl="0">
      <w:lvlJc w:val="left"/>
      <w:lvlText w:val="(%1)"/>
      <w:numFmt w:val="lowerLetter"/>
      <w:start w:val="1"/>
    </w:lvl>
  </w:abstractNum>
  <w:abstractNum w:abstractNumId="22">
    <w:nsid w:val="3B0FD379"/>
    <w:multiLevelType w:val="hybridMultilevel"/>
    <w:lvl w:ilvl="0">
      <w:lvlJc w:val="left"/>
      <w:lvlText w:val="(%1)"/>
      <w:numFmt w:val="lowerLetter"/>
      <w:start w:val="3"/>
    </w:lvl>
  </w:abstractNum>
  <w:abstractNum w:abstractNumId="23">
    <w:nsid w:val="68EB2F63"/>
    <w:multiLevelType w:val="hybridMultilevel"/>
    <w:lvl w:ilvl="0">
      <w:lvlJc w:val="left"/>
      <w:lvlText w:val="(%1)"/>
      <w:numFmt w:val="decimal"/>
      <w:start w:val="1"/>
    </w:lvl>
  </w:abstractNum>
  <w:abstractNum w:abstractNumId="24">
    <w:nsid w:val="4962813B"/>
    <w:multiLevelType w:val="hybridMultilevel"/>
    <w:lvl w:ilvl="0">
      <w:lvlJc w:val="left"/>
      <w:lvlText w:val="(%1)"/>
      <w:numFmt w:val="lowerLetter"/>
      <w:start w:val="1"/>
    </w:lvl>
  </w:abstractNum>
  <w:abstractNum w:abstractNumId="25">
    <w:nsid w:val="60B6DF70"/>
    <w:multiLevelType w:val="hybridMultilevel"/>
    <w:lvl w:ilvl="0">
      <w:lvlJc w:val="left"/>
      <w:lvlText w:val="%1"/>
      <w:numFmt w:val="lowerLetter"/>
      <w:start w:val="1"/>
    </w:lvl>
    <w:lvl w:ilvl="1">
      <w:lvlJc w:val="left"/>
      <w:lvlText w:val="(%2)"/>
      <w:numFmt w:val="decimal"/>
      <w:start w:val="2"/>
    </w:lvl>
  </w:abstractNum>
  <w:abstractNum w:abstractNumId="26">
    <w:nsid w:val="6A5EE64"/>
    <w:multiLevelType w:val="hybridMultilevel"/>
    <w:lvl w:ilvl="0">
      <w:lvlJc w:val="left"/>
      <w:lvlText w:val="(%1)"/>
      <w:numFmt w:val="lowerLetter"/>
      <w:start w:val="2"/>
    </w:lvl>
    <w:lvl w:ilvl="1">
      <w:lvlJc w:val="left"/>
      <w:lvlText w:val="%2"/>
      <w:numFmt w:val="decimal"/>
      <w:start w:val="1"/>
    </w:lvl>
  </w:abstractNum>
  <w:abstractNum w:abstractNumId="27">
    <w:nsid w:val="14330624"/>
    <w:multiLevelType w:val="hybridMultilevel"/>
    <w:lvl w:ilvl="0">
      <w:lvlJc w:val="left"/>
      <w:lvlText w:val="(%1)"/>
      <w:numFmt w:val="decimal"/>
      <w:start w:val="1"/>
    </w:lvl>
  </w:abstractNum>
  <w:abstractNum w:abstractNumId="28">
    <w:nsid w:val="7FFFCA11"/>
    <w:multiLevelType w:val="hybridMultilevel"/>
    <w:lvl w:ilvl="0">
      <w:lvlJc w:val="left"/>
      <w:lvlText w:val="%1"/>
      <w:numFmt w:val="decimal"/>
      <w:start w:val="10"/>
    </w:lvl>
  </w:abstractNum>
  <w:abstractNum w:abstractNumId="29">
    <w:nsid w:val="1A27709E"/>
    <w:multiLevelType w:val="hybridMultilevel"/>
    <w:lvl w:ilvl="0">
      <w:lvlJc w:val="left"/>
      <w:lvlText w:val="%1"/>
      <w:numFmt w:val="decimal"/>
      <w:start w:val="12"/>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1."/>
      <w:numFmt w:val="decimal"/>
      <w:start w:val="2"/>
    </w:lvl>
  </w:abstractNum>
  <w:abstractNum w:abstractNumId="32">
    <w:nsid w:val="7FB7E0AA"/>
    <w:multiLevelType w:val="hybridMultilevel"/>
    <w:lvl w:ilvl="0">
      <w:lvlJc w:val="left"/>
      <w:lvlText w:val="%1."/>
      <w:numFmt w:val="decimal"/>
      <w:start w:val="3"/>
    </w:lvl>
    <w:lvl w:ilvl="1">
      <w:lvlJc w:val="left"/>
      <w:lvlText w:val="•"/>
      <w:numFmt w:val="bullet"/>
      <w:start w:val="1"/>
    </w:lvl>
  </w:abstractNum>
  <w:abstractNum w:abstractNumId="33">
    <w:nsid w:val="6EB5BD4"/>
    <w:multiLevelType w:val="hybridMultilevel"/>
    <w:lvl w:ilvl="0">
      <w:lvlJc w:val="left"/>
      <w:lvlText w:val="%1."/>
      <w:numFmt w:val="decimal"/>
      <w:start w:val="9"/>
    </w:lvl>
    <w:lvl w:ilvl="1">
      <w:lvlJc w:val="left"/>
      <w:lvlText w:val="•"/>
      <w:numFmt w:val="bullet"/>
      <w:start w:val="1"/>
    </w:lvl>
  </w:abstractNum>
  <w:abstractNum w:abstractNumId="34">
    <w:nsid w:val="6F6DD9AC"/>
    <w:multiLevelType w:val="hybridMultilevel"/>
    <w:lvl w:ilvl="0">
      <w:lvlJc w:val="left"/>
      <w:lvlText w:val="(%1)"/>
      <w:numFmt w:val="decimal"/>
      <w:start w:val="1"/>
    </w:lvl>
  </w:abstractNum>
  <w:abstractNum w:abstractNumId="35">
    <w:nsid w:val="94211F2"/>
    <w:multiLevelType w:val="hybridMultilevel"/>
    <w:lvl w:ilvl="0">
      <w:lvlJc w:val="left"/>
      <w:lvlText w:val="(%1)"/>
      <w:numFmt w:val="decimal"/>
      <w:start w:val="6"/>
    </w:lvl>
  </w:abstractNum>
  <w:abstractNum w:abstractNumId="36">
    <w:nsid w:val="885E1B"/>
    <w:multiLevelType w:val="hybridMultilevel"/>
    <w:lvl w:ilvl="0">
      <w:lvlJc w:val="left"/>
      <w:lvlText w:val="(%1)"/>
      <w:numFmt w:val="lowerLetter"/>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1."/>
      <w:numFmt w:val="decimal"/>
      <w:start w:val="1"/>
    </w:lvl>
  </w:abstractNum>
  <w:abstractNum w:abstractNumId="39">
    <w:nsid w:val="1716703B"/>
    <w:multiLevelType w:val="hybridMultilevel"/>
    <w:lvl w:ilvl="0">
      <w:lvlJc w:val="left"/>
      <w:lvlText w:val="%1."/>
      <w:numFmt w:val="decimal"/>
      <w:start w:val="2"/>
    </w:lvl>
  </w:abstractNum>
  <w:abstractNum w:abstractNumId="40">
    <w:nsid w:val="14E17E33"/>
    <w:multiLevelType w:val="hybridMultilevel"/>
    <w:lvl w:ilvl="0">
      <w:lvlJc w:val="left"/>
      <w:lvlText w:val="%1."/>
      <w:numFmt w:val="decimal"/>
      <w:start w:val="3"/>
    </w:lvl>
  </w:abstractNum>
  <w:abstractNum w:abstractNumId="41">
    <w:nsid w:val="3222E7CD"/>
    <w:multiLevelType w:val="hybridMultilevel"/>
    <w:lvl w:ilvl="0">
      <w:lvlJc w:val="left"/>
      <w:lvlText w:val="%1."/>
      <w:numFmt w:val="decimal"/>
      <w:start w:val="9"/>
    </w:lvl>
    <w:lvl w:ilvl="1">
      <w:lvlJc w:val="left"/>
      <w:lvlText w:val="•"/>
      <w:numFmt w:val="bullet"/>
      <w:start w:val="1"/>
    </w:lvl>
  </w:abstractNum>
  <w:abstractNum w:abstractNumId="42">
    <w:nsid w:val="74DE0EE3"/>
    <w:multiLevelType w:val="hybridMultilevel"/>
    <w:lvl w:ilvl="0">
      <w:lvlJc w:val="left"/>
      <w:lvlText w:val="(%1)"/>
      <w:numFmt w:val="decimal"/>
      <w:start w:val="1"/>
    </w:lvl>
  </w:abstractNum>
  <w:abstractNum w:abstractNumId="43">
    <w:nsid w:val="68EBC550"/>
    <w:multiLevelType w:val="hybridMultilevel"/>
    <w:lvl w:ilvl="0">
      <w:lvlJc w:val="left"/>
      <w:lvlText w:val="(%1)"/>
      <w:numFmt w:val="lowerLetter"/>
      <w:start w:val="1"/>
    </w:lvl>
  </w:abstractNum>
  <w:abstractNum w:abstractNumId="44">
    <w:nsid w:val="2DF6D648"/>
    <w:multiLevelType w:val="hybridMultilevel"/>
    <w:lvl w:ilvl="0">
      <w:lvlJc w:val="left"/>
      <w:lvlText w:val="%1."/>
      <w:numFmt w:val="decimal"/>
      <w:start w:val="1"/>
    </w:lvl>
  </w:abstractNum>
  <w:abstractNum w:abstractNumId="45">
    <w:nsid w:val="46B7D447"/>
    <w:multiLevelType w:val="hybridMultilevel"/>
    <w:lvl w:ilvl="0">
      <w:lvlJc w:val="left"/>
      <w:lvlText w:val="%1."/>
      <w:numFmt w:val="decimal"/>
      <w:start w:val="2"/>
    </w:lvl>
  </w:abstractNum>
  <w:abstractNum w:abstractNumId="46">
    <w:nsid w:val="4A2AC315"/>
    <w:multiLevelType w:val="hybridMultilevel"/>
    <w:lvl w:ilvl="0">
      <w:lvlJc w:val="left"/>
      <w:lvlText w:val="%1."/>
      <w:numFmt w:val="decimal"/>
      <w:start w:val="3"/>
    </w:lvl>
  </w:abstractNum>
  <w:abstractNum w:abstractNumId="47">
    <w:nsid w:val="39EE015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8">
    <w:nsid w:val="57FC4FB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2"/>
    </w:lvl>
  </w:abstractNum>
  <w:abstractNum w:abstractNumId="49">
    <w:nsid w:val="CC1016F"/>
    <w:multiLevelType w:val="hybridMultilevel"/>
    <w:lvl w:ilvl="0">
      <w:lvlJc w:val="left"/>
      <w:lvlText w:val="%1."/>
      <w:numFmt w:val="decimal"/>
      <w:start w:val="16"/>
    </w:lvl>
    <w:lvl w:ilvl="1">
      <w:lvlJc w:val="left"/>
      <w:lvlText w:val="(%2)"/>
      <w:numFmt w:val="lowerLetter"/>
      <w:start w:val="1"/>
    </w:lvl>
  </w:abstractNum>
  <w:abstractNum w:abstractNumId="50">
    <w:nsid w:val="43F18422"/>
    <w:multiLevelType w:val="hybridMultilevel"/>
    <w:lvl w:ilvl="0">
      <w:lvlJc w:val="left"/>
      <w:lvlText w:val="%1."/>
      <w:numFmt w:val="decimal"/>
      <w:start w:val="24"/>
    </w:lvl>
  </w:abstractNum>
  <w:abstractNum w:abstractNumId="51">
    <w:nsid w:val="60EF0119"/>
    <w:multiLevelType w:val="hybridMultilevel"/>
    <w:lvl w:ilvl="0">
      <w:lvlJc w:val="left"/>
      <w:lvlText w:val="%1."/>
      <w:numFmt w:val="decimal"/>
      <w:start w:val="25"/>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1."/>
      <w:numFmt w:val="decimal"/>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
      <w:numFmt w:val="bullet"/>
      <w:start w:val="1"/>
    </w:lvl>
    <w:lvl w:ilvl="1">
      <w:lvlJc w:val="left"/>
      <w:lvlText w:val="-"/>
      <w:numFmt w:val="bullet"/>
      <w:start w:val="1"/>
    </w:lvl>
  </w:abstractNum>
  <w:abstractNum w:abstractNumId="59">
    <w:nsid w:val="5FB8011C"/>
    <w:multiLevelType w:val="hybridMultilevel"/>
    <w:lvl w:ilvl="0">
      <w:lvlJc w:val="left"/>
      <w:lvlText w:val="•"/>
      <w:numFmt w:val="bullet"/>
      <w:start w:val="1"/>
    </w:lvl>
    <w:lvl w:ilvl="1">
      <w:lvlJc w:val="left"/>
      <w:lvlText w:val="-"/>
      <w:numFmt w:val="bullet"/>
      <w:start w:val="1"/>
    </w:lvl>
  </w:abstractNum>
  <w:abstractNum w:abstractNumId="60">
    <w:nsid w:val="6AA78F7F"/>
    <w:multiLevelType w:val="hybridMultilevel"/>
    <w:lvl w:ilvl="0">
      <w:lvlJc w:val="left"/>
      <w:lvlText w:val="(%1)"/>
      <w:numFmt w:val="decimal"/>
    </w:lvl>
    <w:lvl w:ilvl="1">
      <w:lvlJc w:val="left"/>
      <w:lvlText w:val="-"/>
      <w:numFmt w:val="bullet"/>
      <w:start w:val="1"/>
    </w:lvl>
  </w:abstractNum>
  <w:abstractNum w:abstractNumId="61">
    <w:nsid w:val="7672BD23"/>
    <w:multiLevelType w:val="hybridMultilevel"/>
    <w:lvl w:ilvl="0">
      <w:lvlJc w:val="left"/>
      <w:lvlText w:val="•"/>
      <w:numFmt w:val="bullet"/>
      <w:start w:val="1"/>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
      <w:numFmt w:val="bullet"/>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
      <w:numFmt w:val="bullet"/>
      <w:start w:val="1"/>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
      <w:numFmt w:val="bullet"/>
      <w:start w:val="1"/>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
      <w:numFmt w:val="bullet"/>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1)"/>
      <w:numFmt w:val="decimal"/>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
      <w:numFmt w:val="bullet"/>
      <w:start w:val="1"/>
    </w:lvl>
  </w:abstractNum>
  <w:abstractNum w:abstractNumId="80">
    <w:nsid w:val="2A155DBC"/>
    <w:multiLevelType w:val="hybridMultilevel"/>
    <w:lvl w:ilvl="0">
      <w:lvlJc w:val="left"/>
      <w:lvlText w:val="•"/>
      <w:numFmt w:val="bullet"/>
      <w:start w:val="1"/>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
      <w:numFmt w:val="bullet"/>
      <w:start w:val="1"/>
    </w:lvl>
  </w:abstractNum>
  <w:abstractNum w:abstractNumId="83">
    <w:nsid w:val="51088277"/>
    <w:multiLevelType w:val="hybridMultilevel"/>
    <w:lvl w:ilvl="0">
      <w:lvlJc w:val="left"/>
      <w:lvlText w:val="•"/>
      <w:numFmt w:val="bullet"/>
      <w:start w:val="1"/>
    </w:lvl>
  </w:abstractNum>
  <w:abstractNum w:abstractNumId="84">
    <w:nsid w:val="1CA0C5FA"/>
    <w:multiLevelType w:val="hybridMultilevel"/>
    <w:lvl w:ilvl="0">
      <w:lvlJc w:val="left"/>
      <w:lvlText w:val="(%1)"/>
      <w:numFmt w:val="decimal"/>
      <w:start w:val="1"/>
    </w:lvl>
  </w:abstractNum>
  <w:abstractNum w:abstractNumId="85">
    <w:nsid w:val="53584BCB"/>
    <w:multiLevelType w:val="hybridMultilevel"/>
    <w:lvl w:ilvl="0">
      <w:lvlJc w:val="left"/>
      <w:lvlText w:val="(%1)"/>
      <w:numFmt w:val="decimal"/>
      <w:start w:val="1"/>
    </w:lvl>
  </w:abstractNum>
  <w:abstractNum w:abstractNumId="86">
    <w:nsid w:val="415E286C"/>
    <w:multiLevelType w:val="hybridMultilevel"/>
    <w:lvl w:ilvl="0">
      <w:lvlJc w:val="left"/>
      <w:lvlText w:val="(%1)"/>
      <w:numFmt w:val="decimal"/>
      <w:start w:val="3"/>
    </w:lvl>
  </w:abstractNum>
  <w:abstractNum w:abstractNumId="87">
    <w:nsid w:val="7C58FD05"/>
    <w:multiLevelType w:val="hybridMultilevel"/>
    <w:lvl w:ilvl="0">
      <w:lvlJc w:val="left"/>
      <w:lvlText w:val="•"/>
      <w:numFmt w:val="bullet"/>
      <w:start w:val="1"/>
    </w:lvl>
  </w:abstractNum>
  <w:abstractNum w:abstractNumId="88">
    <w:nsid w:val="23D86AAC"/>
    <w:multiLevelType w:val="hybridMultilevel"/>
    <w:lvl w:ilvl="0">
      <w:lvlJc w:val="left"/>
      <w:lvlText w:val="•"/>
      <w:numFmt w:val="bullet"/>
      <w:start w:val="1"/>
    </w:lvl>
  </w:abstractNum>
  <w:abstractNum w:abstractNumId="89">
    <w:nsid w:val="45E6D486"/>
    <w:multiLevelType w:val="hybridMultilevel"/>
    <w:lvl w:ilvl="0">
      <w:lvlJc w:val="left"/>
      <w:lvlText w:val="•"/>
      <w:numFmt w:val="bullet"/>
      <w:start w:val="1"/>
    </w:lvl>
  </w:abstractNum>
  <w:abstractNum w:abstractNumId="90">
    <w:nsid w:val="5C10FE21"/>
    <w:multiLevelType w:val="hybridMultilevel"/>
    <w:lvl w:ilvl="0">
      <w:lvlJc w:val="left"/>
      <w:lvlText w:val="•"/>
      <w:numFmt w:val="bullet"/>
      <w:start w:val="1"/>
    </w:lvl>
  </w:abstractNum>
  <w:abstractNum w:abstractNumId="91">
    <w:nsid w:val="E7FFA2B"/>
    <w:multiLevelType w:val="hybridMultilevel"/>
    <w:lvl w:ilvl="0">
      <w:lvlJc w:val="left"/>
      <w:lvlText w:val="(%1)"/>
      <w:numFmt w:val="decimal"/>
      <w:start w:val="1"/>
    </w:lvl>
  </w:abstractNum>
  <w:abstractNum w:abstractNumId="92">
    <w:nsid w:val="3C5991AA"/>
    <w:multiLevelType w:val="hybridMultilevel"/>
    <w:lvl w:ilvl="0">
      <w:lvlJc w:val="left"/>
      <w:lvlText w:val="(%1)"/>
      <w:numFmt w:val="decimal"/>
      <w:start w:val="4"/>
    </w:lvl>
  </w:abstractNum>
  <w:abstractNum w:abstractNumId="93">
    <w:nsid w:val="4BD8591A"/>
    <w:multiLevelType w:val="hybridMultilevel"/>
    <w:lvl w:ilvl="0">
      <w:lvlJc w:val="left"/>
      <w:lvlText w:val="(%1)"/>
      <w:numFmt w:val="decimal"/>
      <w:start w:val="1"/>
    </w:lvl>
  </w:abstractNum>
  <w:abstractNum w:abstractNumId="94">
    <w:nsid w:val="78DF6A55"/>
    <w:multiLevelType w:val="hybridMultilevel"/>
    <w:lvl w:ilvl="0">
      <w:lvlJc w:val="left"/>
      <w:lvlText w:val="(%1)"/>
      <w:numFmt w:val="lowerRoman"/>
      <w:start w:val="10"/>
    </w:lvl>
  </w:abstractNum>
  <w:abstractNum w:abstractNumId="95">
    <w:nsid w:val="39B7AAA2"/>
    <w:multiLevelType w:val="hybridMultilevel"/>
    <w:lvl w:ilvl="0">
      <w:lvlJc w:val="left"/>
      <w:lvlText w:val="•"/>
      <w:numFmt w:val="bullet"/>
      <w:start w:val="1"/>
    </w:lvl>
  </w:abstractNum>
  <w:abstractNum w:abstractNumId="96">
    <w:nsid w:val="2B0D8DBE"/>
    <w:multiLevelType w:val="hybridMultilevel"/>
    <w:lvl w:ilvl="0">
      <w:lvlJc w:val="left"/>
      <w:lvlText w:val="•"/>
      <w:numFmt w:val="bullet"/>
      <w:start w:val="1"/>
    </w:lvl>
  </w:abstractNum>
  <w:abstractNum w:abstractNumId="97">
    <w:nsid w:val="6C80EC70"/>
    <w:multiLevelType w:val="hybridMultilevel"/>
    <w:lvl w:ilvl="0">
      <w:lvlJc w:val="left"/>
      <w:lvlText w:val="•"/>
      <w:numFmt w:val="bullet"/>
      <w:start w:val="1"/>
    </w:lvl>
  </w:abstractNum>
  <w:abstractNum w:abstractNumId="98">
    <w:nsid w:val="379E21B5"/>
    <w:multiLevelType w:val="hybridMultilevel"/>
    <w:lvl w:ilvl="0">
      <w:lvlJc w:val="left"/>
      <w:lvlText w:val="•"/>
      <w:numFmt w:val="bullet"/>
      <w:start w:val="1"/>
    </w:lvl>
  </w:abstractNum>
  <w:abstractNum w:abstractNumId="99">
    <w:nsid w:val="69E373"/>
    <w:multiLevelType w:val="hybridMultilevel"/>
    <w:lvl w:ilvl="0">
      <w:lvlJc w:val="left"/>
      <w:lvlText w:val="•"/>
      <w:numFmt w:val="bullet"/>
      <w:start w:val="1"/>
    </w:lvl>
  </w:abstractNum>
  <w:abstractNum w:abstractNumId="100">
    <w:nsid w:val="2C27173B"/>
    <w:multiLevelType w:val="hybridMultilevel"/>
    <w:lvl w:ilvl="0">
      <w:lvlJc w:val="left"/>
      <w:lvlText w:val="(%1)"/>
      <w:numFmt w:val="decimal"/>
      <w:start w:val="1"/>
    </w:lvl>
  </w:abstractNum>
  <w:abstractNum w:abstractNumId="101">
    <w:nsid w:val="4C9B0904"/>
    <w:multiLevelType w:val="hybridMultilevel"/>
    <w:lvl w:ilvl="0">
      <w:lvlJc w:val="left"/>
      <w:lvlText w:val="(%1)"/>
      <w:numFmt w:val="decimal"/>
      <w:start w:val="1"/>
    </w:lvl>
  </w:abstractNum>
  <w:abstractNum w:abstractNumId="102">
    <w:nsid w:val="6AA7B75C"/>
    <w:multiLevelType w:val="hybridMultilevel"/>
    <w:lvl w:ilvl="0">
      <w:lvlJc w:val="left"/>
      <w:lvlText w:val="(%1)"/>
      <w:numFmt w:val="decimal"/>
      <w:start w:val="1"/>
    </w:lvl>
  </w:abstractNum>
  <w:abstractNum w:abstractNumId="103">
    <w:nsid w:val="1DF029D3"/>
    <w:multiLevelType w:val="hybridMultilevel"/>
    <w:lvl w:ilvl="0">
      <w:lvlJc w:val="left"/>
      <w:lvlText w:val="(%1)"/>
      <w:numFmt w:val="decimal"/>
      <w:start w:val="1"/>
    </w:lvl>
  </w:abstractNum>
  <w:abstractNum w:abstractNumId="104">
    <w:nsid w:val="5675FF36"/>
    <w:multiLevelType w:val="hybridMultilevel"/>
    <w:lvl w:ilvl="0">
      <w:lvlJc w:val="left"/>
      <w:lvlText w:val="(%1)"/>
      <w:numFmt w:val="decimal"/>
      <w:start w:val="1"/>
    </w:lvl>
  </w:abstractNum>
  <w:abstractNum w:abstractNumId="105">
    <w:nsid w:val="3DD15094"/>
    <w:multiLevelType w:val="hybridMultilevel"/>
    <w:lvl w:ilvl="0">
      <w:lvlJc w:val="left"/>
      <w:lvlText w:val="(%1)"/>
      <w:numFmt w:val="decimal"/>
      <w:start w:val="1"/>
    </w:lvl>
  </w:abstractNum>
  <w:abstractNum w:abstractNumId="106">
    <w:nsid w:val="3DB012B3"/>
    <w:multiLevelType w:val="hybridMultilevel"/>
    <w:lvl w:ilvl="0">
      <w:lvlJc w:val="left"/>
      <w:lvlText w:val="•"/>
      <w:numFmt w:val="bullet"/>
      <w:start w:val="1"/>
    </w:lvl>
  </w:abstractNum>
  <w:abstractNum w:abstractNumId="107">
    <w:nsid w:val="2708C9AF"/>
    <w:multiLevelType w:val="hybridMultilevel"/>
    <w:lvl w:ilvl="0">
      <w:lvlJc w:val="left"/>
      <w:lvlText w:val="(%1)"/>
      <w:numFmt w:val="decimal"/>
      <w:start w:val="1"/>
    </w:lvl>
  </w:abstractNum>
  <w:abstractNum w:abstractNumId="108">
    <w:nsid w:val="5B25ACE2"/>
    <w:multiLevelType w:val="hybridMultilevel"/>
    <w:lvl w:ilvl="0">
      <w:lvlJc w:val="left"/>
      <w:lvlText w:val="(%1)"/>
      <w:numFmt w:val="decimal"/>
      <w:start w:val="1"/>
    </w:lvl>
  </w:abstractNum>
  <w:abstractNum w:abstractNumId="109">
    <w:nsid w:val="175DFCF0"/>
    <w:multiLevelType w:val="hybridMultilevel"/>
    <w:lvl w:ilvl="0">
      <w:lvlJc w:val="left"/>
      <w:lvlText w:val="(%1)"/>
      <w:numFmt w:val="decimal"/>
      <w:start w:val="2"/>
    </w:lvl>
  </w:abstractNum>
  <w:abstractNum w:abstractNumId="110">
    <w:nsid w:val="4F97E3E4"/>
    <w:multiLevelType w:val="hybridMultilevel"/>
    <w:lvl w:ilvl="0">
      <w:lvlJc w:val="left"/>
      <w:lvlText w:val="(%1)"/>
      <w:numFmt w:val="decimal"/>
      <w:start w:val="1"/>
    </w:lvl>
  </w:abstractNum>
  <w:abstractNum w:abstractNumId="111">
    <w:nsid w:val="53B0A9E"/>
    <w:multiLevelType w:val="hybridMultilevel"/>
    <w:lvl w:ilvl="0">
      <w:lvlJc w:val="left"/>
      <w:lvlText w:val="•"/>
      <w:numFmt w:val="bullet"/>
      <w:start w:val="1"/>
    </w:lvl>
  </w:abstractNum>
  <w:abstractNum w:abstractNumId="112">
    <w:nsid w:val="34FD6B4F"/>
    <w:multiLevelType w:val="hybridMultilevel"/>
    <w:lvl w:ilvl="0">
      <w:lvlJc w:val="left"/>
      <w:lvlText w:val="(%1)"/>
      <w:numFmt w:val="lowerLetter"/>
      <w:start w:val="1"/>
    </w:lvl>
  </w:abstractNum>
  <w:abstractNum w:abstractNumId="113">
    <w:nsid w:val="5915FF32"/>
    <w:multiLevelType w:val="hybridMultilevel"/>
    <w:lvl w:ilvl="0">
      <w:lvlJc w:val="left"/>
      <w:lvlText w:val="(%1)"/>
      <w:numFmt w:val="decimal"/>
      <w:start w:val="1"/>
    </w:lvl>
  </w:abstractNum>
  <w:abstractNum w:abstractNumId="114">
    <w:nsid w:val="56438D15"/>
    <w:multiLevelType w:val="hybridMultilevel"/>
    <w:lvl w:ilvl="0">
      <w:lvlJc w:val="left"/>
      <w:lvlText w:val="%1"/>
      <w:numFmt w:val="upperLetter"/>
      <w:start w:val="54"/>
    </w:lvl>
  </w:abstractNum>
  <w:abstractNum w:abstractNumId="115">
    <w:nsid w:val="519E3149"/>
    <w:multiLevelType w:val="hybridMultilevel"/>
    <w:lvl w:ilvl="0">
      <w:lvlJc w:val="left"/>
      <w:lvlText w:val="(%1)"/>
      <w:numFmt w:val="decimal"/>
      <w:start w:val="1"/>
    </w:lvl>
  </w:abstractNum>
  <w:abstractNum w:abstractNumId="116">
    <w:nsid w:val="2C6E4AFD"/>
    <w:multiLevelType w:val="hybridMultilevel"/>
    <w:lvl w:ilvl="0">
      <w:lvlJc w:val="left"/>
      <w:lvlText w:val="(%1)"/>
      <w:numFmt w:val="decimal"/>
      <w:start w:val="1"/>
    </w:lvl>
  </w:abstractNum>
  <w:abstractNum w:abstractNumId="117">
    <w:nsid w:val="17A1B582"/>
    <w:multiLevelType w:val="hybridMultilevel"/>
    <w:lvl w:ilvl="0">
      <w:lvlJc w:val="left"/>
      <w:lvlText w:val="$"/>
      <w:numFmt w:val="bullet"/>
      <w:start w:val="1"/>
    </w:lvl>
  </w:abstractNum>
  <w:abstractNum w:abstractNumId="118">
    <w:nsid w:val="4DF72E4E"/>
    <w:multiLevelType w:val="hybridMultilevel"/>
    <w:lvl w:ilvl="0">
      <w:lvlJc w:val="left"/>
      <w:lvlText w:val="$"/>
      <w:numFmt w:val="bullet"/>
      <w:start w:val="1"/>
    </w:lvl>
  </w:abstractNum>
  <w:abstractNum w:abstractNumId="119">
    <w:nsid w:val="5046B5A9"/>
    <w:multiLevelType w:val="hybridMultilevel"/>
    <w:lvl w:ilvl="0">
      <w:lvlJc w:val="left"/>
      <w:lvlText w:val="(%1)"/>
      <w:numFmt w:val="decimal"/>
      <w:start w:val="1"/>
    </w:lvl>
  </w:abstractNum>
  <w:abstractNum w:abstractNumId="120">
    <w:nsid w:val="5D888A08"/>
    <w:multiLevelType w:val="hybridMultilevel"/>
    <w:lvl w:ilvl="0">
      <w:lvlJc w:val="left"/>
      <w:lvlText w:val="(%1)"/>
      <w:numFmt w:val="decimal"/>
      <w:start w:val="1"/>
    </w:lvl>
  </w:abstractNum>
  <w:abstractNum w:abstractNumId="121">
    <w:nsid w:val="2A082C70"/>
    <w:multiLevelType w:val="hybridMultilevel"/>
    <w:lvl w:ilvl="0">
      <w:lvlJc w:val="left"/>
      <w:lvlText w:val="(%1)"/>
      <w:numFmt w:val="decimal"/>
      <w:start w:val="1"/>
    </w:lvl>
  </w:abstractNum>
  <w:abstractNum w:abstractNumId="122">
    <w:nsid w:val="5EC6AFD4"/>
    <w:multiLevelType w:val="hybridMultilevel"/>
    <w:lvl w:ilvl="0">
      <w:lvlJc w:val="left"/>
      <w:lvlText w:val="(%1)"/>
      <w:numFmt w:val="decimal"/>
      <w:start w:val="1"/>
    </w:lvl>
  </w:abstractNum>
  <w:abstractNum w:abstractNumId="123">
    <w:nsid w:val="19E21BB2"/>
    <w:multiLevelType w:val="hybridMultilevel"/>
    <w:lvl w:ilvl="0">
      <w:lvlJc w:val="left"/>
      <w:lvlText w:val="(%1)"/>
      <w:numFmt w:val="decimal"/>
      <w:start w:val="1"/>
    </w:lvl>
  </w:abstractNum>
  <w:abstractNum w:abstractNumId="124">
    <w:nsid w:val="75E0858A"/>
    <w:multiLevelType w:val="hybridMultilevel"/>
    <w:lvl w:ilvl="0">
      <w:lvlJc w:val="left"/>
      <w:lvlText w:val="(%1)"/>
      <w:numFmt w:val="decimal"/>
      <w:start w:val="1"/>
    </w:lvl>
  </w:abstractNum>
  <w:abstractNum w:abstractNumId="125">
    <w:nsid w:val="57A61A29"/>
    <w:multiLevelType w:val="hybridMultilevel"/>
    <w:lvl w:ilvl="0">
      <w:lvlJc w:val="left"/>
      <w:lvlText w:val="•"/>
      <w:numFmt w:val="bullet"/>
      <w:start w:val="1"/>
    </w:lvl>
  </w:abstractNum>
  <w:abstractNum w:abstractNumId="126">
    <w:nsid w:val="5399C654"/>
    <w:multiLevelType w:val="hybridMultilevel"/>
    <w:lvl w:ilvl="0">
      <w:lvlJc w:val="left"/>
      <w:lvlText w:val="(%1)"/>
      <w:numFmt w:val="lowerRoman"/>
      <w:start w:val="1"/>
    </w:lvl>
  </w:abstractNum>
  <w:abstractNum w:abstractNumId="127">
    <w:nsid w:val="20EE1348"/>
    <w:multiLevelType w:val="hybridMultilevel"/>
    <w:lvl w:ilvl="0">
      <w:lvlJc w:val="left"/>
      <w:lvlText w:val="•"/>
      <w:numFmt w:val="bullet"/>
      <w:start w:val="1"/>
    </w:lvl>
  </w:abstractNum>
  <w:abstractNum w:abstractNumId="128">
    <w:nsid w:val="4427069A"/>
    <w:multiLevelType w:val="hybridMultilevel"/>
    <w:lvl w:ilvl="0">
      <w:lvlJc w:val="left"/>
      <w:lvlText w:val="•"/>
      <w:numFmt w:val="bullet"/>
      <w:start w:val="1"/>
    </w:lvl>
  </w:abstractNum>
  <w:abstractNum w:abstractNumId="129">
    <w:nsid w:val="B37E80A"/>
    <w:multiLevelType w:val="hybridMultilevel"/>
    <w:lvl w:ilvl="0">
      <w:lvlJc w:val="left"/>
      <w:lvlText w:val="(%1)"/>
      <w:numFmt w:val="decimal"/>
      <w:start w:val="1"/>
    </w:lvl>
  </w:abstractNum>
  <w:abstractNum w:abstractNumId="130">
    <w:nsid w:val="2157F6BC"/>
    <w:multiLevelType w:val="hybridMultilevel"/>
    <w:lvl w:ilvl="0">
      <w:lvlJc w:val="left"/>
      <w:lvlText w:val="*"/>
      <w:numFmt w:val="bullet"/>
      <w:start w:val="1"/>
    </w:lvl>
  </w:abstractNum>
  <w:abstractNum w:abstractNumId="131">
    <w:nsid w:val="704E1DD5"/>
    <w:multiLevelType w:val="hybridMultilevel"/>
    <w:lvl w:ilvl="0">
      <w:lvlJc w:val="left"/>
      <w:lvlText w:val="(%1)"/>
      <w:numFmt w:val="decimal"/>
      <w:start w:val="1"/>
    </w:lvl>
  </w:abstractNum>
  <w:abstractNum w:abstractNumId="132">
    <w:nsid w:val="57D2F10E"/>
    <w:multiLevelType w:val="hybridMultilevel"/>
    <w:lvl w:ilvl="0">
      <w:lvlJc w:val="left"/>
      <w:lvlText w:val="(%1)"/>
      <w:numFmt w:val="decimal"/>
      <w:start w:val="35"/>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lvl w:ilvl="1">
      <w:lvlJc w:val="left"/>
      <w:lvlText w:val="(%2)"/>
      <w:numFmt w:val="lowerLetter"/>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2019-12-10T03:44:41Z</dcterms:created>
  <dcterms:modified xsi:type="dcterms:W3CDTF">2019-12-10T03:44:41Z</dcterms:modified>
</cp:coreProperties>
</file>