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______________</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13d-101)</w:t>
      </w:r>
    </w:p>
    <w:p>
      <w:pPr>
        <w:spacing w:after="0" w:line="207" w:lineRule="exact"/>
        <w:rPr>
          <w:sz w:val="24"/>
          <w:szCs w:val="24"/>
          <w:color w:val="auto"/>
        </w:rPr>
      </w:pPr>
    </w:p>
    <w:p>
      <w:pPr>
        <w:jc w:val="center"/>
        <w:ind w:left="300" w:right="25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 13d-1(a) AND AMENDMENTS THERETO FILED PURSUANT TO RULE 13d-2(a)</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(Amendment No. 3)</w:t>
      </w:r>
      <w:r>
        <w:rPr>
          <w:rFonts w:ascii="Arial" w:cs="Arial" w:eastAsia="Arial" w:hAnsi="Arial"/>
          <w:sz w:val="30"/>
          <w:szCs w:val="30"/>
          <w:color w:val="auto"/>
          <w:vertAlign w:val="superscript"/>
        </w:rPr>
        <w:t>[1]</w:t>
      </w: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Xerox Corporation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ind w:left="4660"/>
        <w:spacing w:after="0"/>
        <w:rPr>
          <w:sz w:val="20"/>
          <w:szCs w:val="20"/>
          <w:color w:val="auto"/>
        </w:rPr>
      </w:pPr>
      <w:r>
        <w:rPr>
          <w:rFonts w:ascii="Arial" w:cs="Arial" w:eastAsia="Arial" w:hAnsi="Arial"/>
          <w:sz w:val="18"/>
          <w:szCs w:val="18"/>
          <w:u w:val="single" w:color="auto"/>
          <w:color w:val="auto"/>
        </w:rPr>
        <w:t>Common Stock, $1 par value</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984121 60 8</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DARWIN DEASON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5956 SHERRY LN, SUITE 800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DALLAS, TX 75225</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(214) 378-3600</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ROBERT J. LECLERC</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KING &amp; SPALDING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1185 AVENUE OF THE AMERICAS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NY 10036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(212) 556-2204</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February 13, 2018</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18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ind w:right="80" w:firstLine="648"/>
        <w:spacing w:after="0" w:line="258"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w:t>
      </w:r>
    </w:p>
    <w:p>
      <w:pPr>
        <w:spacing w:after="0" w:line="251" w:lineRule="exact"/>
        <w:rPr>
          <w:sz w:val="24"/>
          <w:szCs w:val="24"/>
          <w:color w:val="auto"/>
        </w:rPr>
      </w:pPr>
    </w:p>
    <w:p>
      <w:pPr>
        <w:ind w:firstLine="8"/>
        <w:spacing w:after="0" w:line="194" w:lineRule="auto"/>
        <w:tabs>
          <w:tab w:leader="none" w:pos="522"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5" w:lineRule="exact"/>
        <w:rPr>
          <w:sz w:val="24"/>
          <w:szCs w:val="24"/>
          <w:color w:val="auto"/>
        </w:rPr>
      </w:pPr>
    </w:p>
    <w:p>
      <w:pPr>
        <w:ind w:right="80" w:firstLine="648"/>
        <w:spacing w:after="0"/>
        <w:rPr>
          <w:sz w:val="20"/>
          <w:szCs w:val="20"/>
          <w:color w:val="auto"/>
        </w:rPr>
      </w:pPr>
      <w:r>
        <w:rPr>
          <w:rFonts w:ascii="Arial" w:cs="Arial" w:eastAsia="Arial" w:hAnsi="Arial"/>
          <w:sz w:val="22"/>
          <w:szCs w:val="22"/>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color w:val="auto"/>
        </w:rPr>
        <w:t>(Continued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595630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762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91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Darwin Deason</w:t>
            </w:r>
          </w:p>
        </w:tc>
        <w:tc>
          <w:tcPr>
            <w:tcW w:w="7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228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2</w:t>
            </w:r>
          </w:p>
        </w:tc>
        <w:tc>
          <w:tcPr>
            <w:tcW w:w="9100" w:type="dxa"/>
            <w:vAlign w:val="bottom"/>
            <w:tcBorders>
              <w:right w:val="single" w:sz="8" w:color="auto"/>
            </w:tcBorders>
            <w:gridSpan w:val="2"/>
          </w:tcPr>
          <w:p>
            <w:pPr>
              <w:ind w:left="100"/>
              <w:spacing w:after="0" w:line="163" w:lineRule="exact"/>
              <w:rPr>
                <w:sz w:val="20"/>
                <w:szCs w:val="20"/>
                <w:color w:val="auto"/>
              </w:rPr>
            </w:pPr>
            <w:r>
              <w:rPr>
                <w:rFonts w:ascii="Arial" w:cs="Arial" w:eastAsia="Arial" w:hAnsi="Arial"/>
                <w:sz w:val="18"/>
                <w:szCs w:val="18"/>
                <w:color w:val="auto"/>
              </w:rPr>
              <w:t xml:space="preserve">CHECK THE APPROPRIATE BOX IF A MEMBER OF A GROUP*(a)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14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7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auto"/>
              <w:right w:val="single" w:sz="8" w:color="auto"/>
            </w:tcBorders>
            <w:vMerge w:val="restart"/>
            <w:shd w:val="clear" w:color="auto" w:fill="000000"/>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91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vMerge w:val="continue"/>
            <w:shd w:val="clear" w:color="auto" w:fill="000000"/>
          </w:tcPr>
          <w:p>
            <w:pPr>
              <w:spacing w:after="0"/>
              <w:rPr>
                <w:sz w:val="16"/>
                <w:szCs w:val="16"/>
                <w:color w:val="auto"/>
              </w:rPr>
            </w:pPr>
          </w:p>
        </w:tc>
        <w:tc>
          <w:tcPr>
            <w:tcW w:w="2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4</w:t>
            </w:r>
          </w:p>
        </w:tc>
        <w:tc>
          <w:tcPr>
            <w:tcW w:w="9100" w:type="dxa"/>
            <w:vAlign w:val="bottom"/>
            <w:tcBorders>
              <w:right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910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OO (see Item 3 to the Original Schedule 13D)</w:t>
            </w: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2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9100" w:type="dxa"/>
            <w:vAlign w:val="bottom"/>
            <w:tcBorders>
              <w:bottom w:val="single" w:sz="8" w:color="auto"/>
              <w:right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w w:val="98"/>
              </w:rPr>
              <w:t xml:space="preserve">CHECK BOX IF DISCLOSURE OF LEGAL PROCEEDINGS IS REQUIRED PURSUANT TO ITEM 2(d) OR 2(e)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91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USA</w:t>
            </w:r>
          </w:p>
        </w:tc>
        <w:tc>
          <w:tcPr>
            <w:tcW w:w="7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NUMBER OF SHARES</w:t>
            </w:r>
          </w:p>
        </w:tc>
        <w:tc>
          <w:tcPr>
            <w:tcW w:w="1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7</w:t>
            </w:r>
          </w:p>
        </w:tc>
        <w:tc>
          <w:tcPr>
            <w:tcW w:w="7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BENEFICIALLY OWNED</w:t>
            </w:r>
          </w:p>
        </w:tc>
        <w:tc>
          <w:tcPr>
            <w:tcW w:w="148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BY EACH REPORTING</w:t>
            </w:r>
          </w:p>
        </w:tc>
        <w:tc>
          <w:tcPr>
            <w:tcW w:w="148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15,322,341*</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8</w:t>
            </w:r>
          </w:p>
        </w:tc>
        <w:tc>
          <w:tcPr>
            <w:tcW w:w="7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7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15,322,341*</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7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91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38,778,428**</w:t>
            </w:r>
          </w:p>
        </w:tc>
        <w:tc>
          <w:tcPr>
            <w:tcW w:w="7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2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9100" w:type="dxa"/>
            <w:vAlign w:val="bottom"/>
            <w:tcBorders>
              <w:bottom w:val="single" w:sz="8" w:color="auto"/>
              <w:right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2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13</w:t>
            </w:r>
          </w:p>
        </w:tc>
        <w:tc>
          <w:tcPr>
            <w:tcW w:w="9100" w:type="dxa"/>
            <w:vAlign w:val="bottom"/>
            <w:tcBorders>
              <w:right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15.2%**</w:t>
            </w:r>
          </w:p>
        </w:tc>
        <w:tc>
          <w:tcPr>
            <w:tcW w:w="7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91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7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Includes 6,741,572 Shares issuable upon the conversion of 180,000 shares of Xerox Series B Preferred Stock.</w:t>
      </w:r>
    </w:p>
    <w:p>
      <w:pPr>
        <w:spacing w:after="0" w:line="225" w:lineRule="exact"/>
        <w:rPr>
          <w:sz w:val="20"/>
          <w:szCs w:val="20"/>
          <w:color w:val="auto"/>
        </w:rPr>
      </w:pPr>
    </w:p>
    <w:p>
      <w:pPr>
        <w:jc w:val="both"/>
        <w:ind w:firstLine="8"/>
        <w:spacing w:after="0" w:line="290" w:lineRule="auto"/>
        <w:tabs>
          <w:tab w:leader="none" w:pos="228"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23,456,087 Shares beneficially owned by Carl C. Icahn and his affiliates and 6,741,572 Shares issuable upon the conversion of 180,000 shares of Xerox Series B Preferred Stock, owned by Mr. Deason and his affiliates. As previously disclosed, the Reporting Person has agreed to act in concert with Mr. Icahn and his affiliates with respect to certain matters, and as a result, the Reporting Person and Mr. Icahn and his affiliates have formed a "group" within the meaning of Section 13(d)(3) of the Act (the “</w:t>
      </w:r>
      <w:r>
        <w:rPr>
          <w:rFonts w:ascii="Arial" w:cs="Arial" w:eastAsia="Arial" w:hAnsi="Arial"/>
          <w:sz w:val="16"/>
          <w:szCs w:val="16"/>
          <w:u w:val="single" w:color="auto"/>
          <w:color w:val="auto"/>
        </w:rPr>
        <w:t>Act</w:t>
      </w:r>
      <w:r>
        <w:rPr>
          <w:rFonts w:ascii="Arial" w:cs="Arial" w:eastAsia="Arial" w:hAnsi="Arial"/>
          <w:sz w:val="16"/>
          <w:szCs w:val="16"/>
          <w:color w:val="auto"/>
        </w:rPr>
        <w:t>”). The group may be deemed to beneficially own (as that term is defined in Rule 13d-3 under the Act) all of the Shares beneficially owned by the Reporting Person and all of the Shares beneficially owned by Mr. Icahn and his affiliates. However, the Reporting Person expressly disclaims beneficial ownership of the 23,456,087 Shares beneficially owned by Mr. Icahn and his affiliates. Mr. Icahn and his affiliates expressly retain sole voting and dispositive power over such 23,456,087 Shares, and the Reporting Person has neither sole nor shared voting or dispositive power over such 23,456,087 Shares. Mr. Icahn and his affiliates have filed a separate Schedule 13D with respect to their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p>
      <w:pPr>
        <w:jc w:val="both"/>
        <w:ind w:firstLine="1297"/>
        <w:spacing w:after="0" w:line="264" w:lineRule="auto"/>
        <w:rPr>
          <w:sz w:val="20"/>
          <w:szCs w:val="20"/>
          <w:color w:val="auto"/>
        </w:rPr>
      </w:pPr>
      <w:r>
        <w:rPr>
          <w:rFonts w:ascii="Arial" w:cs="Arial" w:eastAsia="Arial" w:hAnsi="Arial"/>
          <w:sz w:val="18"/>
          <w:szCs w:val="18"/>
          <w:color w:val="auto"/>
        </w:rPr>
        <w:t>This amendment No. 3 to Schedule 13D relates to the Schedule 13D filed on January 17, 2018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by the Reporting Person (“</w:t>
      </w:r>
      <w:r>
        <w:rPr>
          <w:rFonts w:ascii="Arial" w:cs="Arial" w:eastAsia="Arial" w:hAnsi="Arial"/>
          <w:sz w:val="18"/>
          <w:szCs w:val="18"/>
          <w:u w:val="single" w:color="auto"/>
          <w:color w:val="auto"/>
        </w:rPr>
        <w:t>Amendment No. 3</w:t>
      </w:r>
      <w:r>
        <w:rPr>
          <w:rFonts w:ascii="Arial" w:cs="Arial" w:eastAsia="Arial" w:hAnsi="Arial"/>
          <w:sz w:val="18"/>
          <w:szCs w:val="18"/>
          <w:color w:val="auto"/>
        </w:rPr>
        <w:t>”). Capitalized terms used but not defined in this Amendment No. 3 shall have the meanings set forth in the Original Schedule 13D.</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On February 13, 2018 Darwin Deason filed a complaint against Fujifilm Holdings Corp. (“Fuji”), the Issuer, the Issuer’s directors, and Ms. Ursula M. Burns, the Chairman of the Board of Directors of the Issuer between May 2010 and May 2017, and CEO from July 2009 until May 2016 (the “Complaint”) in the Supreme Court of the State of New York to, among other matters, enjoin Fuji, and all persons acting in concert with them, from proceeding with the previously announced change of control transaction whereby Fuji will acquire majority ownership and control of the Issuer.</w:t>
      </w:r>
    </w:p>
    <w:p>
      <w:pPr>
        <w:spacing w:after="0" w:line="17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A copy of Mr. Deason’s press release of February 13, 2018, relating to the Complaint is attached as Exhibit 99.1 and incorporated herein by reference. A copy of the Complaint is attached as Exhibit 99.2 and incorporated herein by reference.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exhibits:</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13, 2018</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Complaint dated February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2018</w:t>
      </w:r>
    </w:p>
    <w:p>
      <w:pPr>
        <w:spacing w:after="0" w:line="200" w:lineRule="exact"/>
        <w:rPr>
          <w:sz w:val="20"/>
          <w:szCs w:val="20"/>
          <w:color w:val="auto"/>
        </w:rPr>
      </w:pPr>
    </w:p>
    <w:p>
      <w:pPr>
        <w:spacing w:after="0" w:line="241" w:lineRule="exact"/>
        <w:rPr>
          <w:sz w:val="20"/>
          <w:szCs w:val="20"/>
          <w:color w:val="auto"/>
        </w:rPr>
      </w:pPr>
    </w:p>
    <w:p>
      <w:pPr>
        <w:ind w:left="652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Darwin Deason</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Darwin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DARWIN DEASON, XEROX’S THIRD-LARGEST SHAREHOLDER, SEEKS, FOR THE BENEFIT OF ALL XEROX SHAREHOLDERS, TO ENJOIN XEROX/FUJI TRANSACTION AND JOINT VENTURE ON THE BASIS OF FRAUD AND BREACHES OF FIDUCIARY DUTIES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New York, N.Y., February 13, 2018. Darwin Deason, a long-term and third-largest shareholder of Xerox Corp. (“Xerox”), has filed a lawsuit against Fujifilm Holdings Corp. (“Fuji”), Xerox, current Xerox board members and Ursula M. Burns, Xerox’s former Chairman and CEO. The complaint was filed on February 13, 2018, in the Supreme Court of the State of New York, New York County.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complaint, Mr. Deason alleges the following:</w:t>
      </w:r>
    </w:p>
    <w:p>
      <w:pPr>
        <w:spacing w:after="0" w:line="225" w:lineRule="exact"/>
        <w:rPr>
          <w:sz w:val="20"/>
          <w:szCs w:val="20"/>
          <w:color w:val="auto"/>
        </w:rPr>
      </w:pPr>
    </w:p>
    <w:p>
      <w:pPr>
        <w:ind w:right="160" w:firstLine="656"/>
        <w:spacing w:after="0" w:line="277" w:lineRule="auto"/>
        <w:tabs>
          <w:tab w:leader="none" w:pos="7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Xerox/Fuji transaction is the result of an improper and fraudulently concealed “crown jewel” lock-up agreement that Xerox entered into with Fuji 17 years ago, that was never disclosed to Xerox’s shareholders before the signing of the Xerox/Fuji transaction;</w:t>
      </w:r>
    </w:p>
    <w:p>
      <w:pPr>
        <w:spacing w:after="0" w:line="170" w:lineRule="exact"/>
        <w:rPr>
          <w:rFonts w:ascii="Arial" w:cs="Arial" w:eastAsia="Arial" w:hAnsi="Arial"/>
          <w:sz w:val="18"/>
          <w:szCs w:val="18"/>
          <w:color w:val="auto"/>
        </w:rPr>
      </w:pPr>
    </w:p>
    <w:p>
      <w:pPr>
        <w:ind w:left="760" w:hanging="10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“crown jewel” lock-up agreement precludes a transparent and fair process for the potential sale of Xerox;</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Despite its duty to do so, Xerox’s board fraudulently never disclosed the “crown jewel” lock-up;</w:t>
      </w:r>
    </w:p>
    <w:p>
      <w:pPr>
        <w:spacing w:after="0" w:line="225" w:lineRule="exact"/>
        <w:rPr>
          <w:rFonts w:ascii="Arial" w:cs="Arial" w:eastAsia="Arial" w:hAnsi="Arial"/>
          <w:sz w:val="18"/>
          <w:szCs w:val="18"/>
          <w:color w:val="auto"/>
        </w:rPr>
      </w:pPr>
    </w:p>
    <w:p>
      <w:pPr>
        <w:ind w:right="240" w:firstLine="656"/>
        <w:spacing w:after="0" w:line="277" w:lineRule="auto"/>
        <w:tabs>
          <w:tab w:leader="none" w:pos="756" w:val="left"/>
        </w:tabs>
        <w:numPr>
          <w:ilvl w:val="0"/>
          <w:numId w:val="3"/>
        </w:numPr>
        <w:rPr>
          <w:rFonts w:ascii="Arial" w:cs="Arial" w:eastAsia="Arial" w:hAnsi="Arial"/>
          <w:sz w:val="18"/>
          <w:szCs w:val="18"/>
          <w:color w:val="auto"/>
        </w:rPr>
      </w:pPr>
      <w:r>
        <w:rPr>
          <w:rFonts w:ascii="Arial" w:cs="Arial" w:eastAsia="Arial" w:hAnsi="Arial"/>
          <w:sz w:val="18"/>
          <w:szCs w:val="18"/>
          <w:color w:val="auto"/>
        </w:rPr>
        <w:t>Fuji and Fuji Xerox participated in a “WorldCom”-like accounting scandal that was uncovered in 2017 and gave Xerox the right to terminate the crown jewel lock-up provision, but the Xerox Board failed to terminate the provision;</w:t>
      </w:r>
    </w:p>
    <w:p>
      <w:pPr>
        <w:spacing w:after="0" w:line="170" w:lineRule="exact"/>
        <w:rPr>
          <w:rFonts w:ascii="Arial" w:cs="Arial" w:eastAsia="Arial" w:hAnsi="Arial"/>
          <w:sz w:val="18"/>
          <w:szCs w:val="18"/>
          <w:color w:val="auto"/>
        </w:rPr>
      </w:pPr>
    </w:p>
    <w:p>
      <w:pPr>
        <w:ind w:left="760" w:hanging="104"/>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Xerox publicly admitted that the lock up “limit[ed] Xerox’s strategic flexibility”, which caused the Xerox board to sell 50.1% of Xerox to Fuji;</w:t>
      </w:r>
    </w:p>
    <w:p>
      <w:pPr>
        <w:spacing w:after="0" w:line="236" w:lineRule="exact"/>
        <w:rPr>
          <w:rFonts w:ascii="Arial" w:cs="Arial" w:eastAsia="Arial" w:hAnsi="Arial"/>
          <w:sz w:val="17"/>
          <w:szCs w:val="17"/>
          <w:color w:val="auto"/>
        </w:rPr>
      </w:pPr>
    </w:p>
    <w:p>
      <w:pPr>
        <w:ind w:left="760" w:hanging="10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Xerox/Fuji deal is extremely off-market:</w:t>
      </w:r>
    </w:p>
    <w:p>
      <w:pPr>
        <w:spacing w:after="0" w:line="225" w:lineRule="exact"/>
        <w:rPr>
          <w:rFonts w:ascii="Arial" w:cs="Arial" w:eastAsia="Arial" w:hAnsi="Arial"/>
          <w:sz w:val="18"/>
          <w:szCs w:val="18"/>
          <w:color w:val="auto"/>
        </w:rPr>
      </w:pPr>
    </w:p>
    <w:p>
      <w:pPr>
        <w:ind w:left="1400" w:hanging="95"/>
        <w:spacing w:after="0"/>
        <w:tabs>
          <w:tab w:leader="none" w:pos="1400" w:val="left"/>
        </w:tabs>
        <w:numPr>
          <w:ilvl w:val="2"/>
          <w:numId w:val="3"/>
        </w:numPr>
        <w:rPr>
          <w:rFonts w:ascii="Arial" w:cs="Arial" w:eastAsia="Arial" w:hAnsi="Arial"/>
          <w:sz w:val="18"/>
          <w:szCs w:val="18"/>
          <w:color w:val="auto"/>
        </w:rPr>
      </w:pPr>
      <w:r>
        <w:rPr>
          <w:rFonts w:ascii="Arial" w:cs="Arial" w:eastAsia="Arial" w:hAnsi="Arial"/>
          <w:sz w:val="18"/>
          <w:szCs w:val="18"/>
          <w:color w:val="auto"/>
        </w:rPr>
        <w:t>No control premium for Xerox shareholders</w:t>
      </w:r>
    </w:p>
    <w:p>
      <w:pPr>
        <w:spacing w:after="0" w:line="23" w:lineRule="exact"/>
        <w:rPr>
          <w:rFonts w:ascii="Arial" w:cs="Arial" w:eastAsia="Arial" w:hAnsi="Arial"/>
          <w:sz w:val="18"/>
          <w:szCs w:val="18"/>
          <w:color w:val="auto"/>
        </w:rPr>
      </w:pPr>
    </w:p>
    <w:p>
      <w:pPr>
        <w:ind w:left="1400" w:hanging="95"/>
        <w:spacing w:after="0"/>
        <w:tabs>
          <w:tab w:leader="none" w:pos="1400" w:val="left"/>
        </w:tabs>
        <w:numPr>
          <w:ilvl w:val="2"/>
          <w:numId w:val="3"/>
        </w:numPr>
        <w:rPr>
          <w:rFonts w:ascii="Arial" w:cs="Arial" w:eastAsia="Arial" w:hAnsi="Arial"/>
          <w:sz w:val="18"/>
          <w:szCs w:val="18"/>
          <w:color w:val="auto"/>
        </w:rPr>
      </w:pPr>
      <w:r>
        <w:rPr>
          <w:rFonts w:ascii="Arial" w:cs="Arial" w:eastAsia="Arial" w:hAnsi="Arial"/>
          <w:sz w:val="18"/>
          <w:szCs w:val="18"/>
          <w:color w:val="auto"/>
        </w:rPr>
        <w:t>50.1%/49.9% Fuji control</w:t>
      </w:r>
    </w:p>
    <w:p>
      <w:pPr>
        <w:spacing w:after="0" w:line="9" w:lineRule="exact"/>
        <w:rPr>
          <w:rFonts w:ascii="Arial" w:cs="Arial" w:eastAsia="Arial" w:hAnsi="Arial"/>
          <w:sz w:val="18"/>
          <w:szCs w:val="18"/>
          <w:color w:val="auto"/>
        </w:rPr>
      </w:pPr>
    </w:p>
    <w:p>
      <w:pPr>
        <w:ind w:left="1400" w:hanging="95"/>
        <w:spacing w:after="0"/>
        <w:tabs>
          <w:tab w:leader="none" w:pos="1400" w:val="left"/>
        </w:tabs>
        <w:numPr>
          <w:ilvl w:val="2"/>
          <w:numId w:val="3"/>
        </w:numPr>
        <w:rPr>
          <w:rFonts w:ascii="Arial" w:cs="Arial" w:eastAsia="Arial" w:hAnsi="Arial"/>
          <w:sz w:val="18"/>
          <w:szCs w:val="18"/>
          <w:color w:val="auto"/>
        </w:rPr>
      </w:pPr>
      <w:r>
        <w:rPr>
          <w:rFonts w:ascii="Arial" w:cs="Arial" w:eastAsia="Arial" w:hAnsi="Arial"/>
          <w:sz w:val="18"/>
          <w:szCs w:val="18"/>
          <w:color w:val="auto"/>
        </w:rPr>
        <w:t>Xerox CEO and board members retain jobs</w:t>
      </w:r>
    </w:p>
    <w:p>
      <w:pPr>
        <w:spacing w:after="0" w:line="9" w:lineRule="exact"/>
        <w:rPr>
          <w:rFonts w:ascii="Arial" w:cs="Arial" w:eastAsia="Arial" w:hAnsi="Arial"/>
          <w:sz w:val="18"/>
          <w:szCs w:val="18"/>
          <w:color w:val="auto"/>
        </w:rPr>
      </w:pPr>
    </w:p>
    <w:p>
      <w:pPr>
        <w:ind w:left="1400" w:hanging="95"/>
        <w:spacing w:after="0"/>
        <w:tabs>
          <w:tab w:leader="none" w:pos="1400" w:val="left"/>
        </w:tabs>
        <w:numPr>
          <w:ilvl w:val="2"/>
          <w:numId w:val="3"/>
        </w:numPr>
        <w:rPr>
          <w:rFonts w:ascii="Arial" w:cs="Arial" w:eastAsia="Arial" w:hAnsi="Arial"/>
          <w:sz w:val="18"/>
          <w:szCs w:val="18"/>
          <w:color w:val="auto"/>
        </w:rPr>
      </w:pPr>
      <w:r>
        <w:rPr>
          <w:rFonts w:ascii="Arial" w:cs="Arial" w:eastAsia="Arial" w:hAnsi="Arial"/>
          <w:sz w:val="18"/>
          <w:szCs w:val="18"/>
          <w:color w:val="auto"/>
        </w:rPr>
        <w:t>No Xerox market check or sale process</w:t>
      </w:r>
    </w:p>
    <w:p>
      <w:pPr>
        <w:spacing w:after="0" w:line="9" w:lineRule="exact"/>
        <w:rPr>
          <w:rFonts w:ascii="Arial" w:cs="Arial" w:eastAsia="Arial" w:hAnsi="Arial"/>
          <w:sz w:val="18"/>
          <w:szCs w:val="18"/>
          <w:color w:val="auto"/>
        </w:rPr>
      </w:pPr>
    </w:p>
    <w:p>
      <w:pPr>
        <w:ind w:left="1400" w:hanging="95"/>
        <w:spacing w:after="0"/>
        <w:tabs>
          <w:tab w:leader="none" w:pos="1400" w:val="left"/>
        </w:tabs>
        <w:numPr>
          <w:ilvl w:val="2"/>
          <w:numId w:val="3"/>
        </w:numPr>
        <w:rPr>
          <w:rFonts w:ascii="Arial" w:cs="Arial" w:eastAsia="Arial" w:hAnsi="Arial"/>
          <w:sz w:val="16"/>
          <w:szCs w:val="16"/>
          <w:color w:val="auto"/>
        </w:rPr>
      </w:pPr>
      <w:r>
        <w:rPr>
          <w:rFonts w:ascii="Arial" w:cs="Arial" w:eastAsia="Arial" w:hAnsi="Arial"/>
          <w:sz w:val="16"/>
          <w:szCs w:val="16"/>
          <w:color w:val="auto"/>
        </w:rPr>
        <w:t>Xerox share price has declined 2.4% since the unaffected date (1/10) to Friday’s close (date prior to issuance of Icahn/Deason letter); and</w:t>
      </w:r>
    </w:p>
    <w:p>
      <w:pPr>
        <w:spacing w:after="0" w:line="233" w:lineRule="exact"/>
        <w:rPr>
          <w:rFonts w:ascii="Arial" w:cs="Arial" w:eastAsia="Arial" w:hAnsi="Arial"/>
          <w:sz w:val="16"/>
          <w:szCs w:val="16"/>
          <w:color w:val="auto"/>
        </w:rPr>
      </w:pPr>
    </w:p>
    <w:p>
      <w:pPr>
        <w:ind w:right="780" w:firstLine="737"/>
        <w:spacing w:after="0" w:line="277" w:lineRule="auto"/>
        <w:tabs>
          <w:tab w:leader="none" w:pos="837" w:val="left"/>
        </w:tabs>
        <w:numPr>
          <w:ilvl w:val="1"/>
          <w:numId w:val="3"/>
        </w:numPr>
        <w:rPr>
          <w:rFonts w:ascii="Arial" w:cs="Arial" w:eastAsia="Arial" w:hAnsi="Arial"/>
          <w:sz w:val="18"/>
          <w:szCs w:val="18"/>
          <w:color w:val="auto"/>
        </w:rPr>
      </w:pPr>
      <w:r>
        <w:rPr>
          <w:rFonts w:ascii="Arial" w:cs="Arial" w:eastAsia="Arial" w:hAnsi="Arial"/>
          <w:sz w:val="18"/>
          <w:szCs w:val="18"/>
          <w:color w:val="auto"/>
        </w:rPr>
        <w:t>Deason seeks to enjoin the transaction, terminate the Xerox/Fuji joint venture lock-up and joint venture agreements and pursue strategic alternatives for Xerox.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King &amp; Spalding LLP is representing Mr. Deason in this matter.</w:t>
      </w:r>
    </w:p>
    <w:p>
      <w:pPr>
        <w:spacing w:after="0" w:line="225"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SECURITY HOLDERS ARE ADVISED TO READ THE PROXY STATEMENT AND OTHER DOCUMENTS RELATED TO THE SOLICITATION OF PROXIES BY CARL ICAHN, DARWIN DEASON AND THEIR RESPECTIVE AFFILIATES FROM THE SHAREHOLDERS OF XEROX CORPORATION IN CONNECTION WITH THE PROPOSED TRANSACTIONS BETWEEN XEROX CORPORATION AND FUJIFILM HOLDINGS CORPORATION (THE “TRANSACTION”) AND/OR FOR USE AT THE 2018 ANNUAL MEETING OF SHAREHOLDERS OF XEROX CORPORATION (THE “ANNUAL MEETING”) WHEN THEY BECOME AVAILABLE BECAUSE THEY WILL CONTAIN IMPORTANT INFORMATION, INCLUDING INFORMATION RELATING TO THE PARTICIPANTS IN SUCH PROXY SOLICITATION. WHEN COMPLETED, A DEFINITIVE PROXY STATEMENT AND A FORM OF PROXY RELATED TO THE TRANSACTION AND/OR THE ANNUAL MEETING WILL BE MAILED TO SHAREHOLDERS OF XEROX CORPORATION AND WILL ALSO BE AVAILABLE AT NO CHARGE AT THE SECURITIES AND EXCHANGE COMMISSION'S WEBSITE AT HTTP://WWW.SEC.GOV. INFORMATION RELATING TO THE PARTICIPANTS IN SUCH PROXY SOLICITATION IS CONTAINED IN THE SCHEDULE 14A FILED BY CARL ICAHN, DARWIN DEASON AND THEIR RESPECTIVE AFFILIATES WITH THE SECURITIES AND EXCHANGE COMMISSION ON JANUARY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2019-12-17T06:27:10Z</dcterms:created>
  <dcterms:modified xsi:type="dcterms:W3CDTF">2019-12-17T06:27:10Z</dcterms:modified>
</cp:coreProperties>
</file>