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6"/>
          <w:szCs w:val="16"/>
          <w:b w:val="1"/>
          <w:bCs w:val="1"/>
          <w:color w:val="auto"/>
        </w:rPr>
        <w:t>UNITED STATES</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419"/>
        <w:spacing w:after="0"/>
        <w:rPr>
          <w:sz w:val="20"/>
          <w:szCs w:val="20"/>
          <w:color w:val="auto"/>
        </w:rPr>
      </w:pPr>
      <w:r>
        <w:rPr>
          <w:rFonts w:ascii="Arial" w:cs="Arial" w:eastAsia="Arial" w:hAnsi="Arial"/>
          <w:sz w:val="13"/>
          <w:szCs w:val="13"/>
          <w:b w:val="1"/>
          <w:bCs w:val="1"/>
          <w:color w:val="auto"/>
        </w:rPr>
        <w:t>Washington, D.C. 20549</w:t>
      </w:r>
    </w:p>
    <w:p>
      <w:pPr>
        <w:spacing w:after="0" w:line="6" w:lineRule="exact"/>
        <w:rPr>
          <w:sz w:val="24"/>
          <w:szCs w:val="24"/>
          <w:color w:val="auto"/>
        </w:rPr>
      </w:pPr>
    </w:p>
    <w:p>
      <w:pPr>
        <w:ind w:left="2400"/>
        <w:spacing w:after="0"/>
        <w:rPr>
          <w:sz w:val="20"/>
          <w:szCs w:val="20"/>
          <w:color w:val="auto"/>
        </w:rPr>
      </w:pPr>
      <w:r>
        <w:rPr>
          <w:rFonts w:ascii="Arial" w:cs="Arial" w:eastAsia="Arial" w:hAnsi="Arial"/>
          <w:sz w:val="13"/>
          <w:szCs w:val="13"/>
          <w:color w:val="7F160E"/>
        </w:rPr>
        <w:t>______________________________________________________________________________________________________</w:t>
      </w:r>
    </w:p>
    <w:p>
      <w:pPr>
        <w:spacing w:after="0" w:line="6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38" w:lineRule="exact"/>
        <w:rPr>
          <w:sz w:val="24"/>
          <w:szCs w:val="24"/>
          <w:color w:val="auto"/>
        </w:rPr>
      </w:pPr>
    </w:p>
    <w:p>
      <w:pPr>
        <w:ind w:left="2480"/>
        <w:spacing w:after="0"/>
        <w:rPr>
          <w:sz w:val="20"/>
          <w:szCs w:val="20"/>
          <w:color w:val="auto"/>
        </w:rPr>
      </w:pPr>
      <w:r>
        <w:rPr>
          <w:rFonts w:ascii="Arial" w:cs="Arial" w:eastAsia="Arial" w:hAnsi="Arial"/>
          <w:sz w:val="13"/>
          <w:szCs w:val="13"/>
          <w:color w:val="7F160E"/>
        </w:rPr>
        <w:t>_____________________________________________________________________________________________________</w:t>
      </w:r>
    </w:p>
    <w:p>
      <w:pPr>
        <w:spacing w:after="0" w:line="144"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CURRENT REPORT</w:t>
      </w:r>
    </w:p>
    <w:p>
      <w:pPr>
        <w:spacing w:after="0" w:line="84"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Pursuant to Section 13 or 15(d) of</w:t>
      </w:r>
    </w:p>
    <w:p>
      <w:pPr>
        <w:spacing w:after="0" w:line="22"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the Securities Exchange Act of 1934</w:t>
      </w:r>
    </w:p>
    <w:p>
      <w:pPr>
        <w:spacing w:after="0" w:line="87"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Date of Report (date of earliest event reported): January 28, 2020</w:t>
      </w:r>
    </w:p>
    <w:p>
      <w:pPr>
        <w:spacing w:after="0" w:line="22" w:lineRule="exact"/>
        <w:rPr>
          <w:sz w:val="24"/>
          <w:szCs w:val="24"/>
          <w:color w:val="auto"/>
        </w:rPr>
      </w:pPr>
    </w:p>
    <w:p>
      <w:pPr>
        <w:ind w:left="2480"/>
        <w:spacing w:after="0"/>
        <w:rPr>
          <w:sz w:val="20"/>
          <w:szCs w:val="20"/>
          <w:color w:val="auto"/>
        </w:rPr>
      </w:pPr>
      <w:r>
        <w:rPr>
          <w:rFonts w:ascii="Arial" w:cs="Arial" w:eastAsia="Arial" w:hAnsi="Arial"/>
          <w:sz w:val="13"/>
          <w:szCs w:val="13"/>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3206115</wp:posOffset>
            </wp:positionH>
            <wp:positionV relativeFrom="paragraph">
              <wp:posOffset>189230</wp:posOffset>
            </wp:positionV>
            <wp:extent cx="869950" cy="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0" cy="172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XEROX HOLDINGS CORPORATION</w:t>
      </w:r>
    </w:p>
    <w:p>
      <w:pPr>
        <w:spacing w:after="0" w:line="33"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XEROX CORPORATION</w:t>
      </w:r>
    </w:p>
    <w:p>
      <w:pPr>
        <w:spacing w:after="0" w:line="57" w:lineRule="exact"/>
        <w:rPr>
          <w:sz w:val="24"/>
          <w:szCs w:val="24"/>
          <w:color w:val="auto"/>
        </w:rPr>
      </w:pPr>
    </w:p>
    <w:p>
      <w:pPr>
        <w:jc w:val="center"/>
        <w:ind w:right="-459"/>
        <w:spacing w:after="0"/>
        <w:rPr>
          <w:sz w:val="20"/>
          <w:szCs w:val="20"/>
          <w:color w:val="auto"/>
        </w:rPr>
      </w:pPr>
      <w:r>
        <w:rPr>
          <w:rFonts w:ascii="Arial" w:cs="Arial" w:eastAsia="Arial" w:hAnsi="Arial"/>
          <w:sz w:val="10"/>
          <w:szCs w:val="10"/>
          <w:color w:val="auto"/>
        </w:rPr>
        <w:t>(Exact Name of Registrant as specified in its charter)</w:t>
      </w:r>
    </w:p>
    <w:p>
      <w:pPr>
        <w:spacing w:after="0" w:line="122" w:lineRule="exact"/>
        <w:rPr>
          <w:sz w:val="24"/>
          <w:szCs w:val="24"/>
          <w:color w:val="auto"/>
        </w:rPr>
      </w:pPr>
    </w:p>
    <w:tbl>
      <w:tblPr>
        <w:tblLayout w:type="fixed"/>
        <w:tblInd w:w="640" w:type="dxa"/>
        <w:tblCellMar>
          <w:top w:w="0" w:type="dxa"/>
          <w:left w:w="0" w:type="dxa"/>
          <w:bottom w:w="0" w:type="dxa"/>
          <w:right w:w="0" w:type="dxa"/>
        </w:tblCellMar>
      </w:tblPr>
      <w:tr>
        <w:trPr>
          <w:trHeight w:val="153"/>
        </w:trPr>
        <w:tc>
          <w:tcPr>
            <w:tcW w:w="3600" w:type="dxa"/>
            <w:vAlign w:val="bottom"/>
          </w:tcPr>
          <w:p>
            <w:pPr>
              <w:jc w:val="center"/>
              <w:ind w:right="864"/>
              <w:spacing w:after="0"/>
              <w:rPr>
                <w:sz w:val="20"/>
                <w:szCs w:val="20"/>
                <w:color w:val="auto"/>
              </w:rPr>
            </w:pPr>
            <w:r>
              <w:rPr>
                <w:rFonts w:ascii="Arial" w:cs="Arial" w:eastAsia="Arial" w:hAnsi="Arial"/>
                <w:sz w:val="12"/>
                <w:szCs w:val="12"/>
                <w:b w:val="1"/>
                <w:bCs w:val="1"/>
                <w:color w:val="auto"/>
                <w:w w:val="95"/>
              </w:rPr>
              <w:t>New York</w:t>
            </w:r>
          </w:p>
        </w:tc>
        <w:tc>
          <w:tcPr>
            <w:tcW w:w="3580" w:type="dxa"/>
            <w:vAlign w:val="bottom"/>
          </w:tcPr>
          <w:p>
            <w:pPr>
              <w:jc w:val="center"/>
              <w:ind w:right="404"/>
              <w:spacing w:after="0"/>
              <w:rPr>
                <w:sz w:val="20"/>
                <w:szCs w:val="20"/>
                <w:color w:val="auto"/>
              </w:rPr>
            </w:pPr>
            <w:r>
              <w:rPr>
                <w:rFonts w:ascii="Arial" w:cs="Arial" w:eastAsia="Arial" w:hAnsi="Arial"/>
                <w:sz w:val="12"/>
                <w:szCs w:val="12"/>
                <w:b w:val="1"/>
                <w:bCs w:val="1"/>
                <w:color w:val="auto"/>
                <w:w w:val="97"/>
              </w:rPr>
              <w:t>001-39013</w:t>
            </w:r>
          </w:p>
        </w:tc>
        <w:tc>
          <w:tcPr>
            <w:tcW w:w="2080" w:type="dxa"/>
            <w:vAlign w:val="bottom"/>
          </w:tcPr>
          <w:p>
            <w:pPr>
              <w:jc w:val="center"/>
              <w:ind w:left="1324"/>
              <w:spacing w:after="0"/>
              <w:rPr>
                <w:sz w:val="20"/>
                <w:szCs w:val="20"/>
                <w:color w:val="auto"/>
              </w:rPr>
            </w:pPr>
            <w:r>
              <w:rPr>
                <w:rFonts w:ascii="Arial" w:cs="Arial" w:eastAsia="Arial" w:hAnsi="Arial"/>
                <w:sz w:val="12"/>
                <w:szCs w:val="12"/>
                <w:b w:val="1"/>
                <w:bCs w:val="1"/>
                <w:color w:val="auto"/>
                <w:w w:val="96"/>
              </w:rPr>
              <w:t>83-3933743</w:t>
            </w:r>
          </w:p>
        </w:tc>
      </w:tr>
      <w:tr>
        <w:trPr>
          <w:trHeight w:val="175"/>
        </w:trPr>
        <w:tc>
          <w:tcPr>
            <w:tcW w:w="3600" w:type="dxa"/>
            <w:vAlign w:val="bottom"/>
          </w:tcPr>
          <w:p>
            <w:pPr>
              <w:jc w:val="center"/>
              <w:ind w:right="864"/>
              <w:spacing w:after="0"/>
              <w:rPr>
                <w:sz w:val="20"/>
                <w:szCs w:val="20"/>
                <w:color w:val="auto"/>
              </w:rPr>
            </w:pPr>
            <w:r>
              <w:rPr>
                <w:rFonts w:ascii="Arial" w:cs="Arial" w:eastAsia="Arial" w:hAnsi="Arial"/>
                <w:sz w:val="12"/>
                <w:szCs w:val="12"/>
                <w:b w:val="1"/>
                <w:bCs w:val="1"/>
                <w:color w:val="auto"/>
                <w:w w:val="95"/>
              </w:rPr>
              <w:t>New York</w:t>
            </w:r>
          </w:p>
        </w:tc>
        <w:tc>
          <w:tcPr>
            <w:tcW w:w="3580" w:type="dxa"/>
            <w:vAlign w:val="bottom"/>
          </w:tcPr>
          <w:p>
            <w:pPr>
              <w:jc w:val="center"/>
              <w:ind w:right="404"/>
              <w:spacing w:after="0"/>
              <w:rPr>
                <w:sz w:val="20"/>
                <w:szCs w:val="20"/>
                <w:color w:val="auto"/>
              </w:rPr>
            </w:pPr>
            <w:r>
              <w:rPr>
                <w:rFonts w:ascii="Arial" w:cs="Arial" w:eastAsia="Arial" w:hAnsi="Arial"/>
                <w:sz w:val="12"/>
                <w:szCs w:val="12"/>
                <w:b w:val="1"/>
                <w:bCs w:val="1"/>
                <w:color w:val="auto"/>
                <w:w w:val="97"/>
              </w:rPr>
              <w:t>001-04471</w:t>
            </w:r>
          </w:p>
        </w:tc>
        <w:tc>
          <w:tcPr>
            <w:tcW w:w="2080" w:type="dxa"/>
            <w:vAlign w:val="bottom"/>
          </w:tcPr>
          <w:p>
            <w:pPr>
              <w:jc w:val="center"/>
              <w:ind w:left="1324"/>
              <w:spacing w:after="0"/>
              <w:rPr>
                <w:sz w:val="20"/>
                <w:szCs w:val="20"/>
                <w:color w:val="auto"/>
              </w:rPr>
            </w:pPr>
            <w:r>
              <w:rPr>
                <w:rFonts w:ascii="Arial" w:cs="Arial" w:eastAsia="Arial" w:hAnsi="Arial"/>
                <w:sz w:val="12"/>
                <w:szCs w:val="12"/>
                <w:b w:val="1"/>
                <w:bCs w:val="1"/>
                <w:color w:val="auto"/>
                <w:w w:val="96"/>
              </w:rPr>
              <w:t>16-0468020</w:t>
            </w:r>
          </w:p>
        </w:tc>
      </w:tr>
      <w:tr>
        <w:trPr>
          <w:trHeight w:val="154"/>
        </w:trPr>
        <w:tc>
          <w:tcPr>
            <w:tcW w:w="3600" w:type="dxa"/>
            <w:vAlign w:val="bottom"/>
          </w:tcPr>
          <w:p>
            <w:pPr>
              <w:jc w:val="center"/>
              <w:ind w:right="884"/>
              <w:spacing w:after="0"/>
              <w:rPr>
                <w:sz w:val="20"/>
                <w:szCs w:val="20"/>
                <w:color w:val="auto"/>
              </w:rPr>
            </w:pPr>
            <w:r>
              <w:rPr>
                <w:rFonts w:ascii="Arial" w:cs="Arial" w:eastAsia="Arial" w:hAnsi="Arial"/>
                <w:sz w:val="10"/>
                <w:szCs w:val="10"/>
                <w:color w:val="auto"/>
              </w:rPr>
              <w:t>(State or other jurisdiction of incorporation or organization)</w:t>
            </w:r>
          </w:p>
        </w:tc>
        <w:tc>
          <w:tcPr>
            <w:tcW w:w="3580" w:type="dxa"/>
            <w:vAlign w:val="bottom"/>
          </w:tcPr>
          <w:p>
            <w:pPr>
              <w:jc w:val="center"/>
              <w:ind w:right="404"/>
              <w:spacing w:after="0"/>
              <w:rPr>
                <w:sz w:val="20"/>
                <w:szCs w:val="20"/>
                <w:color w:val="auto"/>
              </w:rPr>
            </w:pPr>
            <w:r>
              <w:rPr>
                <w:rFonts w:ascii="Arial" w:cs="Arial" w:eastAsia="Arial" w:hAnsi="Arial"/>
                <w:sz w:val="10"/>
                <w:szCs w:val="10"/>
                <w:color w:val="auto"/>
              </w:rPr>
              <w:t>(Commission File Number)</w:t>
            </w:r>
          </w:p>
        </w:tc>
        <w:tc>
          <w:tcPr>
            <w:tcW w:w="2080" w:type="dxa"/>
            <w:vAlign w:val="bottom"/>
          </w:tcPr>
          <w:p>
            <w:pPr>
              <w:jc w:val="center"/>
              <w:ind w:left="1344"/>
              <w:spacing w:after="0"/>
              <w:rPr>
                <w:sz w:val="20"/>
                <w:szCs w:val="20"/>
                <w:color w:val="auto"/>
              </w:rPr>
            </w:pPr>
            <w:r>
              <w:rPr>
                <w:rFonts w:ascii="Arial" w:cs="Arial" w:eastAsia="Arial" w:hAnsi="Arial"/>
                <w:sz w:val="10"/>
                <w:szCs w:val="10"/>
                <w:color w:val="auto"/>
              </w:rPr>
              <w:t>(IRS Employer</w:t>
            </w:r>
          </w:p>
        </w:tc>
      </w:tr>
    </w:tbl>
    <w:p>
      <w:pPr>
        <w:ind w:left="9160"/>
        <w:spacing w:after="0"/>
        <w:rPr>
          <w:sz w:val="20"/>
          <w:szCs w:val="20"/>
          <w:color w:val="auto"/>
        </w:rPr>
      </w:pPr>
      <w:r>
        <w:rPr>
          <w:rFonts w:ascii="Arial" w:cs="Arial" w:eastAsia="Arial" w:hAnsi="Arial"/>
          <w:sz w:val="10"/>
          <w:szCs w:val="10"/>
          <w:color w:val="auto"/>
        </w:rPr>
        <w:t>Identification No.)</w:t>
      </w:r>
    </w:p>
    <w:p>
      <w:pPr>
        <w:spacing w:after="0" w:line="156"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201 Merritt 7</w:t>
      </w:r>
    </w:p>
    <w:p>
      <w:pPr>
        <w:spacing w:after="0" w:line="22"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Norwalk, Connecticut</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06851-1056</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46"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Registrant’s telephone number, including area code: (203) 968-3000</w:t>
      </w:r>
    </w:p>
    <w:p>
      <w:pPr>
        <w:spacing w:after="0" w:line="22" w:lineRule="exact"/>
        <w:rPr>
          <w:sz w:val="24"/>
          <w:szCs w:val="24"/>
          <w:color w:val="auto"/>
        </w:rPr>
      </w:pPr>
    </w:p>
    <w:p>
      <w:pPr>
        <w:ind w:left="2460"/>
        <w:spacing w:after="0"/>
        <w:rPr>
          <w:sz w:val="20"/>
          <w:szCs w:val="20"/>
          <w:color w:val="auto"/>
        </w:rPr>
      </w:pPr>
      <w:r>
        <w:rPr>
          <w:rFonts w:ascii="Arial" w:cs="Arial" w:eastAsia="Arial" w:hAnsi="Arial"/>
          <w:sz w:val="13"/>
          <w:szCs w:val="13"/>
          <w:color w:val="7F160E"/>
        </w:rPr>
        <w:t>_____________________________________________________________________________________________________</w:t>
      </w:r>
    </w:p>
    <w:p>
      <w:pPr>
        <w:spacing w:after="0" w:line="4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below):</w:t>
      </w:r>
    </w:p>
    <w:p>
      <w:pPr>
        <w:spacing w:after="0" w:line="123" w:lineRule="exact"/>
        <w:rPr>
          <w:sz w:val="24"/>
          <w:szCs w:val="24"/>
          <w:color w:val="auto"/>
        </w:rPr>
      </w:pPr>
    </w:p>
    <w:p>
      <w:pPr>
        <w:ind w:left="700" w:hanging="683"/>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41" w:lineRule="exact"/>
        <w:rPr>
          <w:rFonts w:ascii="MS PGothic" w:cs="MS PGothic" w:eastAsia="MS PGothic" w:hAnsi="MS PGothic"/>
          <w:sz w:val="13"/>
          <w:szCs w:val="13"/>
          <w:color w:val="auto"/>
        </w:rPr>
      </w:pPr>
    </w:p>
    <w:p>
      <w:pPr>
        <w:ind w:left="700" w:hanging="683"/>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41" w:lineRule="exact"/>
        <w:rPr>
          <w:rFonts w:ascii="MS PGothic" w:cs="MS PGothic" w:eastAsia="MS PGothic" w:hAnsi="MS PGothic"/>
          <w:sz w:val="13"/>
          <w:szCs w:val="13"/>
          <w:color w:val="auto"/>
        </w:rPr>
      </w:pPr>
    </w:p>
    <w:p>
      <w:pPr>
        <w:ind w:left="700" w:hanging="683"/>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41" w:lineRule="exact"/>
        <w:rPr>
          <w:rFonts w:ascii="MS PGothic" w:cs="MS PGothic" w:eastAsia="MS PGothic" w:hAnsi="MS PGothic"/>
          <w:sz w:val="13"/>
          <w:szCs w:val="13"/>
          <w:color w:val="auto"/>
        </w:rPr>
      </w:pPr>
    </w:p>
    <w:p>
      <w:pPr>
        <w:ind w:left="700" w:hanging="683"/>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222" w:lineRule="exact"/>
        <w:rPr>
          <w:sz w:val="24"/>
          <w:szCs w:val="24"/>
          <w:color w:val="auto"/>
        </w:rPr>
      </w:pPr>
    </w:p>
    <w:p>
      <w:pPr>
        <w:ind w:left="4300"/>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040"/>
          </w:cols>
          <w:pgMar w:left="220" w:top="204" w:right="639" w:bottom="1440" w:gutter="0" w:footer="0" w:header="0"/>
        </w:sectPr>
      </w:pPr>
    </w:p>
    <w:p>
      <w:pPr>
        <w:spacing w:after="0" w:line="37" w:lineRule="exact"/>
        <w:rPr>
          <w:sz w:val="24"/>
          <w:szCs w:val="24"/>
          <w:color w:val="auto"/>
        </w:rPr>
      </w:pPr>
    </w:p>
    <w:p>
      <w:pPr>
        <w:ind w:left="206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0"/>
          <w:szCs w:val="10"/>
          <w:color w:val="auto"/>
        </w:rPr>
        <w:t>Trading Symbol</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58" w:lineRule="exact"/>
        <w:rPr>
          <w:sz w:val="24"/>
          <w:szCs w:val="24"/>
          <w:color w:val="auto"/>
        </w:rPr>
      </w:pPr>
    </w:p>
    <w:p>
      <w:pPr>
        <w:sectPr>
          <w:pgSz w:w="11900" w:h="16838" w:orient="portrait"/>
          <w:cols w:equalWidth="0" w:num="3">
            <w:col w:w="4680" w:space="720"/>
            <w:col w:w="1740" w:space="720"/>
            <w:col w:w="3180"/>
          </w:cols>
          <w:pgMar w:left="220" w:top="204" w:right="6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Xerox Holdings Corporation Common Stock, $1 par value</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3"/>
          <w:szCs w:val="13"/>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New York Stock Exchange</w:t>
      </w:r>
    </w:p>
    <w:p>
      <w:pPr>
        <w:spacing w:after="0" w:line="211" w:lineRule="exact"/>
        <w:rPr>
          <w:sz w:val="24"/>
          <w:szCs w:val="24"/>
          <w:color w:val="auto"/>
        </w:rPr>
      </w:pPr>
    </w:p>
    <w:p>
      <w:pPr>
        <w:sectPr>
          <w:pgSz w:w="11900" w:h="16838" w:orient="portrait"/>
          <w:cols w:equalWidth="0" w:num="3">
            <w:col w:w="4940" w:space="720"/>
            <w:col w:w="1860" w:space="720"/>
            <w:col w:w="2800"/>
          </w:cols>
          <w:pgMar w:left="220" w:top="204" w:right="639" w:bottom="1440" w:gutter="0" w:footer="0" w:header="0"/>
          <w:type w:val="continuous"/>
        </w:sectPr>
      </w:pPr>
    </w:p>
    <w:p>
      <w:pPr>
        <w:spacing w:after="0" w:line="226" w:lineRule="exact"/>
        <w:rPr>
          <w:sz w:val="24"/>
          <w:szCs w:val="24"/>
          <w:color w:val="auto"/>
        </w:rPr>
      </w:pPr>
    </w:p>
    <w:p>
      <w:pPr>
        <w:jc w:val="center"/>
        <w:ind w:right="-439"/>
        <w:spacing w:after="0"/>
        <w:rPr>
          <w:sz w:val="20"/>
          <w:szCs w:val="20"/>
          <w:color w:val="auto"/>
        </w:rPr>
      </w:pPr>
      <w:r>
        <w:rPr>
          <w:rFonts w:ascii="Arial" w:cs="Arial" w:eastAsia="Arial" w:hAnsi="Arial"/>
          <w:sz w:val="10"/>
          <w:szCs w:val="10"/>
          <w:color w:val="auto"/>
        </w:rPr>
        <w:t>Securities registered pursuant to Section 12(g) of the Act:</w:t>
      </w:r>
    </w:p>
    <w:p>
      <w:pPr>
        <w:spacing w:after="0" w:line="58" w:lineRule="exact"/>
        <w:rPr>
          <w:sz w:val="24"/>
          <w:szCs w:val="24"/>
          <w:color w:val="auto"/>
        </w:rPr>
      </w:pPr>
    </w:p>
    <w:p>
      <w:pPr>
        <w:jc w:val="center"/>
        <w:ind w:right="-439"/>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040"/>
          </w:cols>
          <w:pgMar w:left="220" w:top="204" w:right="639" w:bottom="1440" w:gutter="0" w:footer="0" w:header="0"/>
          <w:type w:val="continuous"/>
        </w:sectPr>
      </w:pPr>
    </w:p>
    <w:bookmarkStart w:id="1" w:name="page2"/>
    <w:bookmarkEnd w:id="1"/>
    <w:p>
      <w:pPr>
        <w:spacing w:after="0" w:line="25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0"/>
          <w:szCs w:val="10"/>
          <w:color w:val="auto"/>
        </w:rPr>
        <w:t>☐</w:t>
      </w:r>
    </w:p>
    <w:p>
      <w:pPr>
        <w:spacing w:after="0" w:line="57" w:lineRule="exact"/>
        <w:rPr>
          <w:sz w:val="20"/>
          <w:szCs w:val="20"/>
          <w:color w:val="auto"/>
        </w:rPr>
      </w:pPr>
    </w:p>
    <w:p>
      <w:pPr>
        <w:ind w:right="30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3"/>
          <w:szCs w:val="13"/>
          <w:color w:val="7F160E"/>
        </w:rPr>
        <w:t>______________________________________________________________________________________________________</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On January 28, 2020, Registrant released its fourth quarter 2019 earnings and is furnishing to the Securities and Exchange Commission ("SEC") a copy of the earnings press release as Exhibit 99.1 to this Report under Item 2.02 of Form 8-K.</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20" w:lineRule="exact"/>
        <w:rPr>
          <w:sz w:val="20"/>
          <w:szCs w:val="20"/>
          <w:color w:val="auto"/>
        </w:rPr>
      </w:pPr>
    </w:p>
    <w:p>
      <w:pPr>
        <w:ind w:right="320"/>
        <w:spacing w:after="0" w:line="258" w:lineRule="auto"/>
        <w:rPr>
          <w:sz w:val="20"/>
          <w:szCs w:val="20"/>
          <w:color w:val="auto"/>
        </w:rPr>
      </w:pPr>
      <w:r>
        <w:rPr>
          <w:rFonts w:ascii="Arial" w:cs="Arial" w:eastAsia="Arial" w:hAnsi="Arial"/>
          <w:sz w:val="13"/>
          <w:szCs w:val="13"/>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4960" w:type="dxa"/>
            <w:vAlign w:val="bottom"/>
          </w:tcPr>
          <w:p>
            <w:pPr>
              <w:ind w:left="40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240" w:type="dxa"/>
            <w:vAlign w:val="bottom"/>
            <w:tcBorders>
              <w:bottom w:val="single" w:sz="8" w:color="0000FF"/>
            </w:tcBorders>
          </w:tcPr>
          <w:p>
            <w:pPr>
              <w:spacing w:after="0"/>
              <w:rPr>
                <w:rFonts w:ascii="Arial" w:cs="Arial" w:eastAsia="Arial" w:hAnsi="Arial"/>
                <w:sz w:val="13"/>
                <w:szCs w:val="13"/>
                <w:color w:val="0000FF"/>
                <w:w w:val="86"/>
              </w:rPr>
            </w:pPr>
            <w:hyperlink w:anchor="page6">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1</w:t>
              </w:r>
            </w:hyperlink>
          </w:p>
        </w:tc>
        <w:tc>
          <w:tcPr>
            <w:tcW w:w="840" w:type="dxa"/>
            <w:vAlign w:val="bottom"/>
          </w:tcPr>
          <w:p>
            <w:pPr>
              <w:spacing w:after="0"/>
              <w:rPr>
                <w:sz w:val="13"/>
                <w:szCs w:val="13"/>
                <w:color w:val="auto"/>
              </w:rPr>
            </w:pPr>
          </w:p>
        </w:tc>
        <w:tc>
          <w:tcPr>
            <w:tcW w:w="4960" w:type="dxa"/>
            <w:vAlign w:val="bottom"/>
          </w:tcPr>
          <w:p>
            <w:pPr>
              <w:ind w:left="400"/>
              <w:spacing w:after="0"/>
              <w:rPr>
                <w:sz w:val="20"/>
                <w:szCs w:val="20"/>
                <w:color w:val="auto"/>
              </w:rPr>
            </w:pPr>
            <w:r>
              <w:rPr>
                <w:rFonts w:ascii="Arial" w:cs="Arial" w:eastAsia="Arial" w:hAnsi="Arial"/>
                <w:sz w:val="13"/>
                <w:szCs w:val="13"/>
                <w:color w:val="auto"/>
                <w:w w:val="99"/>
              </w:rPr>
              <w:t>Registrant’s fourth quarter 2019 earnings press release dated January 28, 2020</w:t>
            </w:r>
          </w:p>
        </w:tc>
      </w:tr>
    </w:tbl>
    <w:p>
      <w:pPr>
        <w:sectPr>
          <w:pgSz w:w="11900" w:h="16838" w:orient="portrait"/>
          <w:cols w:equalWidth="0" w:num="1">
            <w:col w:w="11460"/>
          </w:cols>
          <w:pgMar w:left="220" w:top="372" w:right="2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Forward-Looking Statements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the shared services arrangements entered into by us as part of Project Own It; the ultimate outcome of any possible transaction between Xerox Holdings Corporation (“Xerox”) and HP Inc. (“HP”), including the possibility that the parties will not agree to pursue a business combination transaction or that the terms of any definitive agreement will be materially different from those proposed; uncertainties as to whether HP will cooperate with Xerox regarding the proposed transaction; the ultimate result should Xerox determine to commence a proxy contest for election of directors to HP’s board of directors; Xerox’s ability to consummate the proposed transaction with HP; the conditions to the completion of the proposed transaction, including the receipt of any required shareholder approvals and any required regulatory approvals; Xerox’s ability to finance the proposed transaction with HP; Xerox’s indebtedness, including the substantial indebtedness Xerox expects to incur in connection with the proposed transaction with HP and the need to generate sufficient cash flows to service and repay such debt; the possibility that Xerox may be unable to achieve expected synergies and operating efficiencies within the expected time-frames or at all and to successfully integrate HP’s operations with those of Xerox; that such integration may be more difficult, time-consuming or costly than expected;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retention of certain key employees may be difficult; and general economic conditions that are less favorable than expected. Additional risks that may affect Xerox’s operations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 8-K filed with the SEC. 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ectPr>
          <w:pgSz w:w="11900" w:h="16838" w:orient="portrait"/>
          <w:cols w:equalWidth="0" w:num="1">
            <w:col w:w="11480"/>
          </w:cols>
          <w:pgMar w:left="220" w:top="507"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4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XEROX HOLDINGS CORPORATION</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(Registrant)</w:t>
      </w:r>
    </w:p>
    <w:p>
      <w:pPr>
        <w:spacing w:after="0" w:line="132"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w:t>
      </w:r>
      <w:r>
        <w:rPr>
          <w:rFonts w:ascii="Arial" w:cs="Arial" w:eastAsia="Arial" w:hAnsi="Arial"/>
          <w:sz w:val="10"/>
          <w:szCs w:val="10"/>
          <w:color w:val="auto"/>
        </w:rPr>
        <w:t>S</w:t>
      </w:r>
      <w:r>
        <w:rPr>
          <w:rFonts w:ascii="Arial" w:cs="Arial" w:eastAsia="Arial" w:hAnsi="Arial"/>
          <w:sz w:val="13"/>
          <w:szCs w:val="13"/>
          <w:color w:val="auto"/>
        </w:rPr>
        <w:t>/ J</w:t>
      </w:r>
      <w:r>
        <w:rPr>
          <w:rFonts w:ascii="Arial" w:cs="Arial" w:eastAsia="Arial" w:hAnsi="Arial"/>
          <w:sz w:val="10"/>
          <w:szCs w:val="10"/>
          <w:color w:val="auto"/>
        </w:rPr>
        <w:t>OSEPH</w:t>
      </w:r>
      <w:r>
        <w:rPr>
          <w:rFonts w:ascii="Arial" w:cs="Arial" w:eastAsia="Arial" w:hAnsi="Arial"/>
          <w:sz w:val="13"/>
          <w:szCs w:val="13"/>
          <w:color w:val="auto"/>
        </w:rPr>
        <w:t xml:space="preserve"> H. M</w:t>
      </w:r>
      <w:r>
        <w:rPr>
          <w:rFonts w:ascii="Arial" w:cs="Arial" w:eastAsia="Arial" w:hAnsi="Arial"/>
          <w:sz w:val="10"/>
          <w:szCs w:val="10"/>
          <w:color w:val="auto"/>
        </w:rPr>
        <w:t>ANCINI</w:t>
      </w:r>
      <w:r>
        <w:rPr>
          <w:rFonts w:ascii="Arial" w:cs="Arial" w:eastAsia="Arial" w:hAnsi="Arial"/>
          <w:sz w:val="13"/>
          <w:szCs w:val="13"/>
          <w:color w:val="auto"/>
        </w:rPr>
        <w:t>, J</w:t>
      </w:r>
      <w:r>
        <w:rPr>
          <w:rFonts w:ascii="Arial" w:cs="Arial" w:eastAsia="Arial" w:hAnsi="Arial"/>
          <w:sz w:val="10"/>
          <w:szCs w:val="10"/>
          <w:color w:val="auto"/>
        </w:rPr>
        <w:t>R</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10160</wp:posOffset>
            </wp:positionV>
            <wp:extent cx="23564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6485" cy="6350"/>
                    </a:xfrm>
                    <a:prstGeom prst="rect">
                      <a:avLst/>
                    </a:prstGeom>
                    <a:noFill/>
                  </pic:spPr>
                </pic:pic>
              </a:graphicData>
            </a:graphic>
          </wp:anchor>
        </w:drawing>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Joseph H. Mancini, Jr.</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Vice President and</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Chief Accounting Officer</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(Principal Accounting Officer)</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 January 28, 2020</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XEROX CORPORATION</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(Registrant)</w:t>
      </w:r>
    </w:p>
    <w:p>
      <w:pPr>
        <w:spacing w:after="0" w:line="132"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w:t>
      </w:r>
      <w:r>
        <w:rPr>
          <w:rFonts w:ascii="Arial" w:cs="Arial" w:eastAsia="Arial" w:hAnsi="Arial"/>
          <w:sz w:val="10"/>
          <w:szCs w:val="10"/>
          <w:color w:val="auto"/>
        </w:rPr>
        <w:t>S</w:t>
      </w:r>
      <w:r>
        <w:rPr>
          <w:rFonts w:ascii="Arial" w:cs="Arial" w:eastAsia="Arial" w:hAnsi="Arial"/>
          <w:sz w:val="13"/>
          <w:szCs w:val="13"/>
          <w:color w:val="auto"/>
        </w:rPr>
        <w:t>/ J</w:t>
      </w:r>
      <w:r>
        <w:rPr>
          <w:rFonts w:ascii="Arial" w:cs="Arial" w:eastAsia="Arial" w:hAnsi="Arial"/>
          <w:sz w:val="10"/>
          <w:szCs w:val="10"/>
          <w:color w:val="auto"/>
        </w:rPr>
        <w:t>OSEPH</w:t>
      </w:r>
      <w:r>
        <w:rPr>
          <w:rFonts w:ascii="Arial" w:cs="Arial" w:eastAsia="Arial" w:hAnsi="Arial"/>
          <w:sz w:val="13"/>
          <w:szCs w:val="13"/>
          <w:color w:val="auto"/>
        </w:rPr>
        <w:t xml:space="preserve"> H. M</w:t>
      </w:r>
      <w:r>
        <w:rPr>
          <w:rFonts w:ascii="Arial" w:cs="Arial" w:eastAsia="Arial" w:hAnsi="Arial"/>
          <w:sz w:val="10"/>
          <w:szCs w:val="10"/>
          <w:color w:val="auto"/>
        </w:rPr>
        <w:t>ANCINI</w:t>
      </w:r>
      <w:r>
        <w:rPr>
          <w:rFonts w:ascii="Arial" w:cs="Arial" w:eastAsia="Arial" w:hAnsi="Arial"/>
          <w:sz w:val="13"/>
          <w:szCs w:val="13"/>
          <w:color w:val="auto"/>
        </w:rPr>
        <w:t>, J</w:t>
      </w:r>
      <w:r>
        <w:rPr>
          <w:rFonts w:ascii="Arial" w:cs="Arial" w:eastAsia="Arial" w:hAnsi="Arial"/>
          <w:sz w:val="10"/>
          <w:szCs w:val="10"/>
          <w:color w:val="auto"/>
        </w:rPr>
        <w:t>R</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10160</wp:posOffset>
            </wp:positionV>
            <wp:extent cx="23564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6485" cy="6350"/>
                    </a:xfrm>
                    <a:prstGeom prst="rect">
                      <a:avLst/>
                    </a:prstGeom>
                    <a:noFill/>
                  </pic:spPr>
                </pic:pic>
              </a:graphicData>
            </a:graphic>
          </wp:anchor>
        </w:drawing>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Joseph H. Mancini, Jr.</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Vice President and</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Chief Accounting Officer</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Date: January 28, 2020</w:t>
      </w:r>
    </w:p>
    <w:p>
      <w:pPr>
        <w:sectPr>
          <w:pgSz w:w="11900" w:h="16838" w:orient="portrait"/>
          <w:cols w:equalWidth="0" w:num="1">
            <w:col w:w="11460"/>
          </w:cols>
          <w:pgMar w:left="220" w:top="43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ind w:left="3600"/>
              <w:spacing w:after="0"/>
              <w:rPr>
                <w:sz w:val="20"/>
                <w:szCs w:val="20"/>
                <w:color w:val="auto"/>
              </w:rPr>
            </w:pPr>
            <w:r>
              <w:rPr>
                <w:rFonts w:ascii="Arial" w:cs="Arial" w:eastAsia="Arial" w:hAnsi="Arial"/>
                <w:sz w:val="14"/>
                <w:szCs w:val="14"/>
                <w:b w:val="1"/>
                <w:bCs w:val="1"/>
                <w:color w:val="auto"/>
              </w:rPr>
              <w:t>EXHIBIT INDEX</w:t>
            </w:r>
          </w:p>
        </w:tc>
      </w:tr>
      <w:tr>
        <w:trPr>
          <w:trHeight w:val="429"/>
        </w:trPr>
        <w:tc>
          <w:tcPr>
            <w:tcW w:w="1620" w:type="dxa"/>
            <w:vAlign w:val="bottom"/>
            <w:gridSpan w:val="4"/>
          </w:tcPr>
          <w:p>
            <w:pPr>
              <w:ind w:left="20"/>
              <w:spacing w:after="0"/>
              <w:rPr>
                <w:sz w:val="20"/>
                <w:szCs w:val="20"/>
                <w:color w:val="auto"/>
              </w:rPr>
            </w:pPr>
            <w:r>
              <w:rPr>
                <w:rFonts w:ascii="Arial" w:cs="Arial" w:eastAsia="Arial" w:hAnsi="Arial"/>
                <w:sz w:val="13"/>
                <w:szCs w:val="13"/>
                <w:b w:val="1"/>
                <w:bCs w:val="1"/>
                <w:color w:val="auto"/>
              </w:rPr>
              <w:t>Exhibit No.</w:t>
            </w:r>
          </w:p>
        </w:tc>
        <w:tc>
          <w:tcPr>
            <w:tcW w:w="986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41"/>
        </w:trPr>
        <w:tc>
          <w:tcPr>
            <w:tcW w:w="360" w:type="dxa"/>
            <w:vAlign w:val="bottom"/>
            <w:tcBorders>
              <w:top w:val="single" w:sz="8" w:color="auto"/>
            </w:tcBorders>
            <w:gridSpan w:val="2"/>
          </w:tcPr>
          <w:p>
            <w:pPr>
              <w:ind w:left="120"/>
              <w:spacing w:after="0" w:line="141" w:lineRule="exact"/>
              <w:rPr>
                <w:rFonts w:ascii="Arial" w:cs="Arial" w:eastAsia="Arial" w:hAnsi="Arial"/>
                <w:sz w:val="13"/>
                <w:szCs w:val="13"/>
                <w:color w:val="0000FF"/>
                <w:w w:val="86"/>
              </w:rPr>
            </w:pPr>
            <w:hyperlink w:anchor="page6">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1</w:t>
              </w:r>
            </w:hyperlink>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Registrant’s fourth quarter 2019 earnings press release dated January 28, 2020</w:t>
            </w:r>
          </w:p>
        </w:tc>
      </w:tr>
      <w:tr>
        <w:trPr>
          <w:trHeight w:val="20"/>
        </w:trPr>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r>
        <w:trPr>
          <w:trHeight w:val="193"/>
        </w:trPr>
        <w:tc>
          <w:tcPr>
            <w:tcW w:w="360" w:type="dxa"/>
            <w:vAlign w:val="bottom"/>
            <w:gridSpan w:val="2"/>
          </w:tcPr>
          <w:p>
            <w:pPr>
              <w:ind w:left="120"/>
              <w:spacing w:after="0"/>
              <w:rPr>
                <w:sz w:val="20"/>
                <w:szCs w:val="20"/>
                <w:color w:val="auto"/>
              </w:rPr>
            </w:pPr>
            <w:r>
              <w:rPr>
                <w:rFonts w:ascii="Arial" w:cs="Arial" w:eastAsia="Arial" w:hAnsi="Arial"/>
                <w:sz w:val="13"/>
                <w:szCs w:val="13"/>
                <w:color w:val="auto"/>
              </w:rPr>
              <w:t>101</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spacing w:after="0"/>
              <w:rPr>
                <w:sz w:val="20"/>
                <w:szCs w:val="20"/>
                <w:color w:val="auto"/>
              </w:rPr>
            </w:pPr>
            <w:r>
              <w:rPr>
                <w:rFonts w:ascii="Arial" w:cs="Arial" w:eastAsia="Arial" w:hAnsi="Arial"/>
                <w:sz w:val="13"/>
                <w:szCs w:val="13"/>
                <w:color w:val="auto"/>
              </w:rPr>
              <w:t>Cover Page Interactive Data File - the cover page XBRL tags are embedded within the Inline XBRL document.</w:t>
            </w:r>
          </w:p>
        </w:tc>
      </w:tr>
      <w:tr>
        <w:trPr>
          <w:trHeight w:val="194"/>
        </w:trPr>
        <w:tc>
          <w:tcPr>
            <w:tcW w:w="360" w:type="dxa"/>
            <w:vAlign w:val="bottom"/>
            <w:gridSpan w:val="2"/>
          </w:tcPr>
          <w:p>
            <w:pPr>
              <w:ind w:left="120"/>
              <w:spacing w:after="0"/>
              <w:rPr>
                <w:sz w:val="20"/>
                <w:szCs w:val="20"/>
                <w:color w:val="auto"/>
              </w:rPr>
            </w:pPr>
            <w:r>
              <w:rPr>
                <w:rFonts w:ascii="Arial" w:cs="Arial" w:eastAsia="Arial" w:hAnsi="Arial"/>
                <w:sz w:val="13"/>
                <w:szCs w:val="13"/>
                <w:color w:val="auto"/>
              </w:rPr>
              <w:t>104</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spacing w:after="0"/>
              <w:rPr>
                <w:sz w:val="20"/>
                <w:szCs w:val="20"/>
                <w:color w:val="auto"/>
              </w:rPr>
            </w:pPr>
            <w:r>
              <w:rPr>
                <w:rFonts w:ascii="Arial" w:cs="Arial" w:eastAsia="Arial" w:hAnsi="Arial"/>
                <w:sz w:val="13"/>
                <w:szCs w:val="13"/>
                <w:color w:val="auto"/>
              </w:rPr>
              <w:t>The cover page from this Current Report on Form 8-K, formatted as Inline XBRL.</w:t>
            </w:r>
          </w:p>
        </w:tc>
      </w:tr>
    </w:tbl>
    <w:p>
      <w:pPr>
        <w:sectPr>
          <w:pgSz w:w="11900" w:h="16838" w:orient="portrait"/>
          <w:cols w:equalWidth="0" w:num="1">
            <w:col w:w="11480"/>
          </w:cols>
          <w:pgMar w:left="220" w:top="430" w:right="199" w:bottom="1440" w:gutter="0" w:footer="0" w:header="0"/>
        </w:sectPr>
      </w:pPr>
    </w:p>
    <w:bookmarkStart w:id="5" w:name="page6"/>
    <w:bookmarkEnd w:id="5"/>
    <w:p>
      <w:pPr>
        <w:ind w:left="2"/>
        <w:spacing w:after="0"/>
        <w:rPr>
          <w:sz w:val="20"/>
          <w:szCs w:val="20"/>
          <w:color w:val="auto"/>
        </w:rPr>
      </w:pPr>
      <w:r>
        <w:rPr>
          <w:rFonts w:ascii="Arial" w:cs="Arial" w:eastAsia="Arial" w:hAnsi="Arial"/>
          <w:sz w:val="27"/>
          <w:szCs w:val="27"/>
          <w:color w:val="auto"/>
        </w:rPr>
        <w:t>News from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446405</wp:posOffset>
            </wp:positionV>
            <wp:extent cx="869950" cy="172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0"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Arial" w:cs="Arial" w:eastAsia="Arial" w:hAnsi="Arial"/>
          <w:sz w:val="13"/>
          <w:szCs w:val="13"/>
          <w:color w:val="909295"/>
        </w:rPr>
        <w:t>For Immediate Release</w:t>
      </w:r>
    </w:p>
    <w:p>
      <w:pPr>
        <w:spacing w:after="0" w:line="10" w:lineRule="exact"/>
        <w:rPr>
          <w:sz w:val="20"/>
          <w:szCs w:val="20"/>
          <w:color w:val="auto"/>
        </w:rPr>
      </w:pPr>
    </w:p>
    <w:p>
      <w:pPr>
        <w:ind w:left="4662"/>
        <w:spacing w:after="0"/>
        <w:rPr>
          <w:sz w:val="20"/>
          <w:szCs w:val="20"/>
          <w:color w:val="auto"/>
        </w:rPr>
      </w:pPr>
      <w:r>
        <w:rPr>
          <w:rFonts w:ascii="Arial" w:cs="Arial" w:eastAsia="Arial" w:hAnsi="Arial"/>
          <w:sz w:val="10"/>
          <w:szCs w:val="10"/>
          <w:color w:val="909295"/>
        </w:rPr>
        <w:t>Xerox Holdings Corporation</w:t>
      </w:r>
    </w:p>
    <w:p>
      <w:pPr>
        <w:spacing w:after="0" w:line="2" w:lineRule="exact"/>
        <w:rPr>
          <w:sz w:val="20"/>
          <w:szCs w:val="20"/>
          <w:color w:val="auto"/>
        </w:rPr>
      </w:pPr>
    </w:p>
    <w:p>
      <w:pPr>
        <w:ind w:left="4662"/>
        <w:spacing w:after="0"/>
        <w:rPr>
          <w:sz w:val="20"/>
          <w:szCs w:val="20"/>
          <w:color w:val="auto"/>
        </w:rPr>
      </w:pPr>
      <w:r>
        <w:rPr>
          <w:rFonts w:ascii="Arial" w:cs="Arial" w:eastAsia="Arial" w:hAnsi="Arial"/>
          <w:sz w:val="10"/>
          <w:szCs w:val="10"/>
          <w:color w:val="909295"/>
        </w:rPr>
        <w:t>201 Merritt 7</w:t>
      </w:r>
    </w:p>
    <w:p>
      <w:pPr>
        <w:spacing w:after="0" w:line="2" w:lineRule="exact"/>
        <w:rPr>
          <w:sz w:val="20"/>
          <w:szCs w:val="20"/>
          <w:color w:val="auto"/>
        </w:rPr>
      </w:pPr>
    </w:p>
    <w:p>
      <w:pPr>
        <w:ind w:left="4662"/>
        <w:spacing w:after="0"/>
        <w:rPr>
          <w:sz w:val="20"/>
          <w:szCs w:val="20"/>
          <w:color w:val="auto"/>
        </w:rPr>
      </w:pPr>
      <w:r>
        <w:rPr>
          <w:rFonts w:ascii="Arial" w:cs="Arial" w:eastAsia="Arial" w:hAnsi="Arial"/>
          <w:sz w:val="10"/>
          <w:szCs w:val="10"/>
          <w:color w:val="909295"/>
        </w:rPr>
        <w:t>Norwalk, CT 06851-1056</w:t>
      </w:r>
    </w:p>
    <w:p>
      <w:pPr>
        <w:spacing w:after="0" w:line="2" w:lineRule="exact"/>
        <w:rPr>
          <w:sz w:val="20"/>
          <w:szCs w:val="20"/>
          <w:color w:val="auto"/>
        </w:rPr>
      </w:pPr>
    </w:p>
    <w:p>
      <w:pPr>
        <w:ind w:left="4662"/>
        <w:spacing w:after="0"/>
        <w:rPr>
          <w:sz w:val="20"/>
          <w:szCs w:val="20"/>
          <w:color w:val="auto"/>
        </w:rPr>
      </w:pPr>
      <w:r>
        <w:rPr>
          <w:rFonts w:ascii="Arial" w:cs="Arial" w:eastAsia="Arial" w:hAnsi="Arial"/>
          <w:sz w:val="10"/>
          <w:szCs w:val="10"/>
          <w:color w:val="909295"/>
        </w:rPr>
        <w:t>tel+1-203-968-3000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
        <w:spacing w:after="0"/>
        <w:rPr>
          <w:sz w:val="20"/>
          <w:szCs w:val="20"/>
          <w:color w:val="auto"/>
        </w:rPr>
      </w:pPr>
      <w:r>
        <w:rPr>
          <w:rFonts w:ascii="Arial" w:cs="Arial" w:eastAsia="Arial" w:hAnsi="Arial"/>
          <w:sz w:val="18"/>
          <w:szCs w:val="18"/>
          <w:color w:val="auto"/>
        </w:rPr>
        <w:t>Xerox Exceeds Q4 EPS Guidance, Delivers Strong Cash Flow and Operating Margin</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6"/>
          <w:szCs w:val="16"/>
          <w:color w:val="auto"/>
        </w:rPr>
        <w:t>Announces 2020 guidance consistent with three-year plan, including further EPS expansion and revenue trend improvement</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4"/>
          <w:szCs w:val="14"/>
          <w:color w:val="auto"/>
        </w:rPr>
        <w:t>2019 Full-Year Financial Highlights:</w:t>
      </w:r>
    </w:p>
    <w:p>
      <w:pPr>
        <w:spacing w:after="0" w:line="72" w:lineRule="exact"/>
        <w:rPr>
          <w:sz w:val="20"/>
          <w:szCs w:val="20"/>
          <w:color w:val="auto"/>
        </w:rPr>
      </w:pPr>
    </w:p>
    <w:p>
      <w:pPr>
        <w:ind w:left="242" w:hanging="242"/>
        <w:spacing w:after="0"/>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GAAP earnings per share (EPS) from continuing operations of $2.78, up $1.62 year-over-year (YOY); adjusted EPS from continuing operations of $3.55, up $0.67 YOY.</w:t>
      </w:r>
    </w:p>
    <w:p>
      <w:pPr>
        <w:spacing w:after="0" w:line="14" w:lineRule="exact"/>
        <w:rPr>
          <w:rFonts w:ascii="Arial" w:cs="Arial" w:eastAsia="Arial" w:hAnsi="Arial"/>
          <w:sz w:val="13"/>
          <w:szCs w:val="13"/>
          <w:color w:val="auto"/>
        </w:rPr>
      </w:pPr>
    </w:p>
    <w:p>
      <w:pPr>
        <w:ind w:left="242" w:hanging="242"/>
        <w:spacing w:after="0"/>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Adjusted operating margin of 13.1 percent, up 180 basis points YOY.</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$1.24 billion of operating cash flow from continuing operations, up $162 million YOY; $1.18 billion of free cash flow, up $187 million YOY.</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$9.07 billion of revenue, a decrease of 6.2 percent in actual currency YOY or 4.7 percent in constant currency YOY.</w:t>
      </w:r>
    </w:p>
    <w:p>
      <w:pPr>
        <w:spacing w:after="0" w:line="4" w:lineRule="exact"/>
        <w:rPr>
          <w:rFonts w:ascii="Arial" w:cs="Arial" w:eastAsia="Arial" w:hAnsi="Arial"/>
          <w:sz w:val="13"/>
          <w:szCs w:val="13"/>
          <w:color w:val="auto"/>
        </w:rPr>
      </w:pPr>
    </w:p>
    <w:p>
      <w:pPr>
        <w:ind w:left="242" w:right="40" w:hanging="242"/>
        <w:spacing w:after="0" w:line="246" w:lineRule="auto"/>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Achieved gross savings of $640 million under Project Own It, Xerox’s enterprise-wide initiative to simplify operations, drive continuous improvement and free up capital to reinvest in the business.</w:t>
      </w:r>
    </w:p>
    <w:p>
      <w:pPr>
        <w:ind w:left="242" w:hanging="242"/>
        <w:spacing w:after="0"/>
        <w:tabs>
          <w:tab w:leader="none" w:pos="242" w:val="left"/>
        </w:tabs>
        <w:numPr>
          <w:ilvl w:val="0"/>
          <w:numId w:val="2"/>
        </w:numPr>
        <w:rPr>
          <w:rFonts w:ascii="Arial" w:cs="Arial" w:eastAsia="Arial" w:hAnsi="Arial"/>
          <w:sz w:val="13"/>
          <w:szCs w:val="13"/>
          <w:color w:val="auto"/>
        </w:rPr>
      </w:pPr>
      <w:r>
        <w:rPr>
          <w:rFonts w:ascii="Arial" w:cs="Arial" w:eastAsia="Arial" w:hAnsi="Arial"/>
          <w:sz w:val="14"/>
          <w:szCs w:val="14"/>
          <w:color w:val="auto"/>
        </w:rPr>
        <w:t>Returned 72 percent of free cash flow to shareholders.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4"/>
          <w:szCs w:val="14"/>
          <w:color w:val="auto"/>
        </w:rPr>
        <w:t>NORWALK, Conn., Jan. 28, 2020 - Xerox Holdings Corporation (NYSE: XRX) announced its fourth-quarter and full-year 2019 financial results and 2020 guidance.</w:t>
      </w:r>
    </w:p>
    <w:p>
      <w:pPr>
        <w:spacing w:after="0" w:line="160" w:lineRule="exact"/>
        <w:rPr>
          <w:sz w:val="20"/>
          <w:szCs w:val="20"/>
          <w:color w:val="auto"/>
        </w:rPr>
      </w:pPr>
    </w:p>
    <w:p>
      <w:pPr>
        <w:jc w:val="both"/>
        <w:ind w:left="2"/>
        <w:spacing w:after="0" w:line="251" w:lineRule="auto"/>
        <w:rPr>
          <w:sz w:val="20"/>
          <w:szCs w:val="20"/>
          <w:color w:val="auto"/>
        </w:rPr>
      </w:pPr>
      <w:r>
        <w:rPr>
          <w:rFonts w:ascii="Arial" w:cs="Arial" w:eastAsia="Arial" w:hAnsi="Arial"/>
          <w:sz w:val="14"/>
          <w:szCs w:val="14"/>
          <w:color w:val="auto"/>
        </w:rPr>
        <w:t>“We are delivering on our three-year plan. We grew earnings per share, increased cash flow and expanded adjusted operating margin for the full year, and we improved our revenue trajectory in the second half of the year as our investments in the business gained traction,” said Xerox Vice Chairman and CEO John Visentin. “We accomplished this while returning more than 70 percent of free cash flow to shareholders, paying down approximately $950 million in debt and increasing investments in our innovation areas. We are well-positioned to carry this momentum into 2020 and lead the way for long-overdue industry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42"/>
          </w:cols>
          <w:pgMar w:left="218" w:top="214" w:right="239" w:bottom="1440" w:gutter="0" w:footer="0" w:header="0"/>
        </w:sectPr>
      </w:pPr>
    </w:p>
    <w:bookmarkStart w:id="6" w:name="page7"/>
    <w:bookmarkEnd w:id="6"/>
    <w:p>
      <w:pPr>
        <w:ind w:left="2"/>
        <w:spacing w:after="0"/>
        <w:rPr>
          <w:sz w:val="20"/>
          <w:szCs w:val="20"/>
          <w:color w:val="auto"/>
        </w:rPr>
      </w:pPr>
      <w:r>
        <w:rPr>
          <w:rFonts w:ascii="Arial" w:cs="Arial" w:eastAsia="Arial" w:hAnsi="Arial"/>
          <w:sz w:val="14"/>
          <w:szCs w:val="14"/>
          <w:b w:val="1"/>
          <w:bCs w:val="1"/>
          <w:color w:val="auto"/>
        </w:rPr>
        <w:t>Fourth-Quarter Key Financial Results - Continuing Operations:</w:t>
      </w:r>
    </w:p>
    <w:p>
      <w:pPr>
        <w:spacing w:after="0" w:line="102" w:lineRule="exact"/>
        <w:rPr>
          <w:sz w:val="20"/>
          <w:szCs w:val="20"/>
          <w:color w:val="auto"/>
        </w:rPr>
      </w:pPr>
    </w:p>
    <w:tbl>
      <w:tblPr>
        <w:tblLayout w:type="fixed"/>
        <w:tblInd w:w="132" w:type="dxa"/>
        <w:tblCellMar>
          <w:top w:w="0" w:type="dxa"/>
          <w:left w:w="0" w:type="dxa"/>
          <w:bottom w:w="0" w:type="dxa"/>
          <w:right w:w="0" w:type="dxa"/>
        </w:tblCellMar>
      </w:tblPr>
      <w:tr>
        <w:trPr>
          <w:trHeight w:val="137"/>
        </w:trPr>
        <w:tc>
          <w:tcPr>
            <w:tcW w:w="4060" w:type="dxa"/>
            <w:vAlign w:val="bottom"/>
            <w:tcBorders>
              <w:top w:val="single" w:sz="8" w:color="D9D9D9"/>
              <w:left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D92130"/>
              </w:rPr>
              <w:t>B/(W)</w:t>
            </w:r>
          </w:p>
        </w:tc>
        <w:tc>
          <w:tcPr>
            <w:tcW w:w="1780" w:type="dxa"/>
            <w:vAlign w:val="bottom"/>
            <w:tcBorders>
              <w:top w:val="single" w:sz="8" w:color="D9D9D9"/>
              <w:right w:val="single" w:sz="8" w:color="D9D9D9"/>
            </w:tcBorders>
          </w:tcPr>
          <w:p>
            <w:pPr>
              <w:spacing w:after="0"/>
              <w:rPr>
                <w:sz w:val="20"/>
                <w:szCs w:val="20"/>
                <w:color w:val="auto"/>
              </w:rPr>
            </w:pPr>
            <w:r>
              <w:rPr>
                <w:rFonts w:ascii="Arial" w:cs="Arial" w:eastAsia="Arial" w:hAnsi="Arial"/>
                <w:sz w:val="10"/>
                <w:szCs w:val="10"/>
                <w:b w:val="1"/>
                <w:bCs w:val="1"/>
                <w:color w:val="D92130"/>
              </w:rPr>
              <w:t>% Change</w:t>
            </w:r>
          </w:p>
        </w:tc>
      </w:tr>
      <w:tr>
        <w:trPr>
          <w:trHeight w:val="140"/>
        </w:trPr>
        <w:tc>
          <w:tcPr>
            <w:tcW w:w="4060" w:type="dxa"/>
            <w:vAlign w:val="bottom"/>
            <w:tcBorders>
              <w:left w:val="single" w:sz="8" w:color="D9D9D9"/>
              <w:bottom w:val="single" w:sz="8" w:color="E6E6E6"/>
              <w:right w:val="single" w:sz="8" w:color="E6E6E6"/>
            </w:tcBorders>
          </w:tcPr>
          <w:p>
            <w:pPr>
              <w:ind w:left="40"/>
              <w:spacing w:after="0"/>
              <w:rPr>
                <w:sz w:val="20"/>
                <w:szCs w:val="20"/>
                <w:color w:val="auto"/>
              </w:rPr>
            </w:pPr>
            <w:r>
              <w:rPr>
                <w:rFonts w:ascii="Arial" w:cs="Arial" w:eastAsia="Arial" w:hAnsi="Arial"/>
                <w:sz w:val="10"/>
                <w:szCs w:val="10"/>
                <w:b w:val="1"/>
                <w:bCs w:val="1"/>
                <w:color w:val="D92130"/>
              </w:rPr>
              <w:t>(in millions, except per share data)</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Q4 2019</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Q4 2018</w:t>
            </w:r>
          </w:p>
        </w:tc>
        <w:tc>
          <w:tcPr>
            <w:tcW w:w="180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D92130"/>
              </w:rPr>
              <w:t>YOY</w:t>
            </w:r>
          </w:p>
        </w:tc>
        <w:tc>
          <w:tcPr>
            <w:tcW w:w="1780" w:type="dxa"/>
            <w:vAlign w:val="bottom"/>
            <w:tcBorders>
              <w:bottom w:val="single" w:sz="8" w:color="E6E6E6"/>
              <w:right w:val="single" w:sz="8" w:color="D9D9D9"/>
            </w:tcBorders>
          </w:tcPr>
          <w:p>
            <w:pPr>
              <w:spacing w:after="0"/>
              <w:rPr>
                <w:sz w:val="20"/>
                <w:szCs w:val="20"/>
                <w:color w:val="auto"/>
              </w:rPr>
            </w:pPr>
            <w:r>
              <w:rPr>
                <w:rFonts w:ascii="Arial" w:cs="Arial" w:eastAsia="Arial" w:hAnsi="Arial"/>
                <w:sz w:val="10"/>
                <w:szCs w:val="10"/>
                <w:b w:val="1"/>
                <w:bCs w:val="1"/>
                <w:color w:val="D92130"/>
              </w:rPr>
              <w:t>YOY</w:t>
            </w:r>
          </w:p>
        </w:tc>
      </w:tr>
      <w:tr>
        <w:trPr>
          <w:trHeight w:val="122"/>
        </w:trPr>
        <w:tc>
          <w:tcPr>
            <w:tcW w:w="4060" w:type="dxa"/>
            <w:vAlign w:val="bottom"/>
            <w:tcBorders>
              <w:left w:val="single" w:sz="8" w:color="D9D9D9"/>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(2.2)% AC</w:t>
            </w:r>
          </w:p>
        </w:tc>
      </w:tr>
      <w:tr>
        <w:trPr>
          <w:trHeight w:val="145"/>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Revenue</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$2,444</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$2,498</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b w:val="1"/>
                <w:bCs w:val="1"/>
                <w:color w:val="auto"/>
              </w:rPr>
              <w:t>$(54)</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(1.6)% CC</w:t>
            </w:r>
            <w:r>
              <w:rPr>
                <w:rFonts w:ascii="Arial" w:cs="Arial" w:eastAsia="Arial" w:hAnsi="Arial"/>
                <w:sz w:val="12"/>
                <w:szCs w:val="12"/>
                <w:b w:val="1"/>
                <w:bCs w:val="1"/>
                <w:color w:val="auto"/>
                <w:vertAlign w:val="superscript"/>
              </w:rPr>
              <w:t>1</w:t>
            </w:r>
          </w:p>
        </w:tc>
      </w:tr>
      <w:tr>
        <w:trPr>
          <w:trHeight w:val="207"/>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Gross Margin</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41.6%</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40.0%</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160 bps</w:t>
            </w:r>
          </w:p>
        </w:tc>
        <w:tc>
          <w:tcPr>
            <w:tcW w:w="1780" w:type="dxa"/>
            <w:vAlign w:val="bottom"/>
            <w:tcBorders>
              <w:right w:val="single" w:sz="8" w:color="D9D9D9"/>
            </w:tcBorders>
            <w:shd w:val="clear" w:color="auto" w:fill="E5E5E5"/>
          </w:tcPr>
          <w:p>
            <w:pPr>
              <w:spacing w:after="0"/>
              <w:rPr>
                <w:sz w:val="17"/>
                <w:szCs w:val="17"/>
                <w:color w:val="auto"/>
              </w:rPr>
            </w:pPr>
          </w:p>
        </w:tc>
      </w:tr>
      <w:tr>
        <w:trPr>
          <w:trHeight w:val="204"/>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RD&amp;E %</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3.8%</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3.8%</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w:t>
            </w:r>
          </w:p>
        </w:tc>
        <w:tc>
          <w:tcPr>
            <w:tcW w:w="1780" w:type="dxa"/>
            <w:vAlign w:val="bottom"/>
            <w:tcBorders>
              <w:right w:val="single" w:sz="8" w:color="D9D9D9"/>
            </w:tcBorders>
            <w:shd w:val="clear" w:color="auto" w:fill="E5E5E5"/>
          </w:tcPr>
          <w:p>
            <w:pPr>
              <w:spacing w:after="0"/>
              <w:rPr>
                <w:sz w:val="17"/>
                <w:szCs w:val="17"/>
                <w:color w:val="auto"/>
              </w:rPr>
            </w:pPr>
          </w:p>
        </w:tc>
      </w:tr>
      <w:tr>
        <w:trPr>
          <w:trHeight w:val="211"/>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SAG %</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20.9%</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22.1%</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120 bps</w:t>
            </w:r>
          </w:p>
        </w:tc>
        <w:tc>
          <w:tcPr>
            <w:tcW w:w="1780" w:type="dxa"/>
            <w:vAlign w:val="bottom"/>
            <w:tcBorders>
              <w:right w:val="single" w:sz="8" w:color="D9D9D9"/>
            </w:tcBorders>
            <w:shd w:val="clear" w:color="auto" w:fill="E5E5E5"/>
          </w:tcPr>
          <w:p>
            <w:pPr>
              <w:spacing w:after="0"/>
              <w:rPr>
                <w:sz w:val="18"/>
                <w:szCs w:val="18"/>
                <w:color w:val="auto"/>
              </w:rPr>
            </w:pPr>
          </w:p>
        </w:tc>
      </w:tr>
      <w:tr>
        <w:trPr>
          <w:trHeight w:val="151"/>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Pre-Tax Income</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$336</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$124</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b w:val="1"/>
                <w:bCs w:val="1"/>
                <w:color w:val="auto"/>
              </w:rPr>
              <w:t>$212</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171.0%</w:t>
            </w:r>
          </w:p>
        </w:tc>
      </w:tr>
      <w:tr>
        <w:trPr>
          <w:trHeight w:val="218"/>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Pre-Tax Income Margin</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13.7%</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5.0%</w:t>
            </w:r>
          </w:p>
        </w:tc>
        <w:tc>
          <w:tcPr>
            <w:tcW w:w="1800" w:type="dxa"/>
            <w:vAlign w:val="bottom"/>
            <w:tcBorders>
              <w:right w:val="single" w:sz="8" w:color="E6E6E6"/>
            </w:tcBorders>
            <w:shd w:val="clear" w:color="auto" w:fill="E5E5E5"/>
          </w:tcPr>
          <w:p>
            <w:pPr>
              <w:spacing w:after="0"/>
              <w:rPr>
                <w:sz w:val="18"/>
                <w:szCs w:val="18"/>
                <w:color w:val="auto"/>
              </w:rPr>
            </w:pPr>
          </w:p>
        </w:tc>
        <w:tc>
          <w:tcPr>
            <w:tcW w:w="1780" w:type="dxa"/>
            <w:vAlign w:val="bottom"/>
            <w:tcBorders>
              <w:right w:val="single" w:sz="8" w:color="D9D9D9"/>
            </w:tcBorders>
            <w:shd w:val="clear" w:color="auto" w:fill="E5E5E5"/>
          </w:tcPr>
          <w:p>
            <w:pPr>
              <w:spacing w:after="0"/>
              <w:rPr>
                <w:sz w:val="18"/>
                <w:szCs w:val="18"/>
                <w:color w:val="auto"/>
              </w:rPr>
            </w:pPr>
          </w:p>
        </w:tc>
      </w:tr>
      <w:tr>
        <w:trPr>
          <w:trHeight w:val="155"/>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Operating Income - Adjusted</w:t>
            </w:r>
            <w:r>
              <w:rPr>
                <w:rFonts w:ascii="Arial" w:cs="Arial" w:eastAsia="Arial" w:hAnsi="Arial"/>
                <w:sz w:val="12"/>
                <w:szCs w:val="12"/>
                <w:b w:val="1"/>
                <w:bCs w:val="1"/>
                <w:color w:val="auto"/>
                <w:vertAlign w:val="superscript"/>
              </w:rPr>
              <w:t>1</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$411</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$352</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b w:val="1"/>
                <w:bCs w:val="1"/>
                <w:color w:val="auto"/>
              </w:rPr>
              <w:t>$59</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16.8%</w:t>
            </w:r>
          </w:p>
        </w:tc>
      </w:tr>
      <w:tr>
        <w:trPr>
          <w:trHeight w:val="214"/>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Operating Margin - Adjusted</w:t>
            </w:r>
            <w:r>
              <w:rPr>
                <w:rFonts w:ascii="Arial" w:cs="Arial" w:eastAsia="Arial" w:hAnsi="Arial"/>
                <w:sz w:val="12"/>
                <w:szCs w:val="12"/>
                <w:color w:val="auto"/>
                <w:vertAlign w:val="superscript"/>
              </w:rPr>
              <w:t>1</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16.8%</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14.1%</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270 bps</w:t>
            </w:r>
          </w:p>
        </w:tc>
        <w:tc>
          <w:tcPr>
            <w:tcW w:w="1780" w:type="dxa"/>
            <w:vAlign w:val="bottom"/>
            <w:tcBorders>
              <w:right w:val="single" w:sz="8" w:color="D9D9D9"/>
            </w:tcBorders>
            <w:shd w:val="clear" w:color="auto" w:fill="E5E5E5"/>
          </w:tcPr>
          <w:p>
            <w:pPr>
              <w:spacing w:after="0"/>
              <w:rPr>
                <w:sz w:val="18"/>
                <w:szCs w:val="18"/>
                <w:color w:val="auto"/>
              </w:rPr>
            </w:pPr>
          </w:p>
        </w:tc>
      </w:tr>
      <w:tr>
        <w:trPr>
          <w:trHeight w:val="151"/>
        </w:trPr>
        <w:tc>
          <w:tcPr>
            <w:tcW w:w="4060" w:type="dxa"/>
            <w:vAlign w:val="bottom"/>
            <w:tcBorders>
              <w:left w:val="single" w:sz="8" w:color="D9D9D9"/>
              <w:bottom w:val="single" w:sz="8" w:color="E6E6E6"/>
              <w:right w:val="single" w:sz="8" w:color="E6E6E6"/>
            </w:tcBorders>
          </w:tcPr>
          <w:p>
            <w:pPr>
              <w:ind w:left="40"/>
              <w:spacing w:after="0"/>
              <w:rPr>
                <w:sz w:val="20"/>
                <w:szCs w:val="20"/>
                <w:color w:val="auto"/>
              </w:rPr>
            </w:pPr>
            <w:r>
              <w:rPr>
                <w:rFonts w:ascii="Arial" w:cs="Arial" w:eastAsia="Arial" w:hAnsi="Arial"/>
                <w:sz w:val="10"/>
                <w:szCs w:val="10"/>
                <w:b w:val="1"/>
                <w:bCs w:val="1"/>
                <w:color w:val="auto"/>
              </w:rPr>
              <w:t>GAAP EPS</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$1.17</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$0.37</w:t>
            </w:r>
          </w:p>
        </w:tc>
        <w:tc>
          <w:tcPr>
            <w:tcW w:w="180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$0.80</w:t>
            </w:r>
          </w:p>
        </w:tc>
        <w:tc>
          <w:tcPr>
            <w:tcW w:w="1780" w:type="dxa"/>
            <w:vAlign w:val="bottom"/>
            <w:tcBorders>
              <w:bottom w:val="single" w:sz="8" w:color="E6E6E6"/>
              <w:right w:val="single" w:sz="8" w:color="D9D9D9"/>
            </w:tcBorders>
          </w:tcPr>
          <w:p>
            <w:pPr>
              <w:spacing w:after="0"/>
              <w:rPr>
                <w:sz w:val="20"/>
                <w:szCs w:val="20"/>
                <w:color w:val="auto"/>
              </w:rPr>
            </w:pPr>
            <w:r>
              <w:rPr>
                <w:rFonts w:ascii="Arial" w:cs="Arial" w:eastAsia="Arial" w:hAnsi="Arial"/>
                <w:sz w:val="10"/>
                <w:szCs w:val="10"/>
                <w:b w:val="1"/>
                <w:bCs w:val="1"/>
                <w:color w:val="auto"/>
              </w:rPr>
              <w:t>216.2%</w:t>
            </w:r>
          </w:p>
        </w:tc>
      </w:tr>
      <w:tr>
        <w:trPr>
          <w:trHeight w:val="150"/>
        </w:trPr>
        <w:tc>
          <w:tcPr>
            <w:tcW w:w="4060" w:type="dxa"/>
            <w:vAlign w:val="bottom"/>
            <w:tcBorders>
              <w:left w:val="single" w:sz="8" w:color="D9D9D9"/>
              <w:bottom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EPS - Adjusted</w:t>
            </w:r>
            <w:r>
              <w:rPr>
                <w:rFonts w:ascii="Arial" w:cs="Arial" w:eastAsia="Arial" w:hAnsi="Arial"/>
                <w:sz w:val="12"/>
                <w:szCs w:val="12"/>
                <w:b w:val="1"/>
                <w:bCs w:val="1"/>
                <w:color w:val="auto"/>
                <w:vertAlign w:val="superscript"/>
              </w:rPr>
              <w:t>1</w:t>
            </w:r>
          </w:p>
        </w:tc>
        <w:tc>
          <w:tcPr>
            <w:tcW w:w="1800" w:type="dxa"/>
            <w:vAlign w:val="bottom"/>
            <w:tcBorders>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$1.33</w:t>
            </w:r>
          </w:p>
        </w:tc>
        <w:tc>
          <w:tcPr>
            <w:tcW w:w="1800" w:type="dxa"/>
            <w:vAlign w:val="bottom"/>
            <w:tcBorders>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$0.94</w:t>
            </w:r>
          </w:p>
        </w:tc>
        <w:tc>
          <w:tcPr>
            <w:tcW w:w="1800" w:type="dxa"/>
            <w:vAlign w:val="bottom"/>
            <w:tcBorders>
              <w:bottom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auto"/>
              </w:rPr>
              <w:t>$0.39</w:t>
            </w:r>
          </w:p>
        </w:tc>
        <w:tc>
          <w:tcPr>
            <w:tcW w:w="1780" w:type="dxa"/>
            <w:vAlign w:val="bottom"/>
            <w:tcBorders>
              <w:bottom w:val="single" w:sz="8" w:color="D9D9D9"/>
              <w:right w:val="single" w:sz="8" w:color="D9D9D9"/>
            </w:tcBorders>
          </w:tcPr>
          <w:p>
            <w:pPr>
              <w:spacing w:after="0"/>
              <w:rPr>
                <w:sz w:val="20"/>
                <w:szCs w:val="20"/>
                <w:color w:val="auto"/>
              </w:rPr>
            </w:pPr>
            <w:r>
              <w:rPr>
                <w:rFonts w:ascii="Arial" w:cs="Arial" w:eastAsia="Arial" w:hAnsi="Arial"/>
                <w:sz w:val="10"/>
                <w:szCs w:val="10"/>
                <w:b w:val="1"/>
                <w:bCs w:val="1"/>
                <w:color w:val="auto"/>
              </w:rPr>
              <w:t>41.5%</w:t>
            </w:r>
          </w:p>
        </w:tc>
      </w:tr>
    </w:tbl>
    <w:p>
      <w:pPr>
        <w:spacing w:after="0" w:line="290"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Full-Year Key Financial Results - Continuing Operations:</w:t>
      </w:r>
    </w:p>
    <w:p>
      <w:pPr>
        <w:spacing w:after="0" w:line="102" w:lineRule="exact"/>
        <w:rPr>
          <w:sz w:val="20"/>
          <w:szCs w:val="20"/>
          <w:color w:val="auto"/>
        </w:rPr>
      </w:pPr>
    </w:p>
    <w:tbl>
      <w:tblPr>
        <w:tblLayout w:type="fixed"/>
        <w:tblInd w:w="132" w:type="dxa"/>
        <w:tblCellMar>
          <w:top w:w="0" w:type="dxa"/>
          <w:left w:w="0" w:type="dxa"/>
          <w:bottom w:w="0" w:type="dxa"/>
          <w:right w:w="0" w:type="dxa"/>
        </w:tblCellMar>
      </w:tblPr>
      <w:tr>
        <w:trPr>
          <w:trHeight w:val="137"/>
        </w:trPr>
        <w:tc>
          <w:tcPr>
            <w:tcW w:w="4060" w:type="dxa"/>
            <w:vAlign w:val="bottom"/>
            <w:tcBorders>
              <w:top w:val="single" w:sz="8" w:color="D9D9D9"/>
              <w:left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11"/>
                <w:szCs w:val="11"/>
                <w:color w:val="auto"/>
              </w:rPr>
            </w:pPr>
          </w:p>
        </w:tc>
        <w:tc>
          <w:tcPr>
            <w:tcW w:w="1800" w:type="dxa"/>
            <w:vAlign w:val="bottom"/>
            <w:tcBorders>
              <w:top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D92130"/>
              </w:rPr>
              <w:t>B/(W)</w:t>
            </w:r>
          </w:p>
        </w:tc>
        <w:tc>
          <w:tcPr>
            <w:tcW w:w="1780" w:type="dxa"/>
            <w:vAlign w:val="bottom"/>
            <w:tcBorders>
              <w:top w:val="single" w:sz="8" w:color="D9D9D9"/>
              <w:right w:val="single" w:sz="8" w:color="D9D9D9"/>
            </w:tcBorders>
          </w:tcPr>
          <w:p>
            <w:pPr>
              <w:spacing w:after="0"/>
              <w:rPr>
                <w:sz w:val="20"/>
                <w:szCs w:val="20"/>
                <w:color w:val="auto"/>
              </w:rPr>
            </w:pPr>
            <w:r>
              <w:rPr>
                <w:rFonts w:ascii="Arial" w:cs="Arial" w:eastAsia="Arial" w:hAnsi="Arial"/>
                <w:sz w:val="10"/>
                <w:szCs w:val="10"/>
                <w:b w:val="1"/>
                <w:bCs w:val="1"/>
                <w:color w:val="D92130"/>
              </w:rPr>
              <w:t>% Change</w:t>
            </w:r>
          </w:p>
        </w:tc>
      </w:tr>
      <w:tr>
        <w:trPr>
          <w:trHeight w:val="140"/>
        </w:trPr>
        <w:tc>
          <w:tcPr>
            <w:tcW w:w="4060" w:type="dxa"/>
            <w:vAlign w:val="bottom"/>
            <w:tcBorders>
              <w:left w:val="single" w:sz="8" w:color="D9D9D9"/>
              <w:bottom w:val="single" w:sz="8" w:color="E6E6E6"/>
              <w:right w:val="single" w:sz="8" w:color="E6E6E6"/>
            </w:tcBorders>
          </w:tcPr>
          <w:p>
            <w:pPr>
              <w:ind w:left="40"/>
              <w:spacing w:after="0"/>
              <w:rPr>
                <w:sz w:val="20"/>
                <w:szCs w:val="20"/>
                <w:color w:val="auto"/>
              </w:rPr>
            </w:pPr>
            <w:r>
              <w:rPr>
                <w:rFonts w:ascii="Arial" w:cs="Arial" w:eastAsia="Arial" w:hAnsi="Arial"/>
                <w:sz w:val="10"/>
                <w:szCs w:val="10"/>
                <w:b w:val="1"/>
                <w:bCs w:val="1"/>
                <w:color w:val="D92130"/>
              </w:rPr>
              <w:t>(in millions, except per share data)</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2019</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2018</w:t>
            </w:r>
          </w:p>
        </w:tc>
        <w:tc>
          <w:tcPr>
            <w:tcW w:w="180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D92130"/>
              </w:rPr>
              <w:t>YOY</w:t>
            </w:r>
          </w:p>
        </w:tc>
        <w:tc>
          <w:tcPr>
            <w:tcW w:w="1780" w:type="dxa"/>
            <w:vAlign w:val="bottom"/>
            <w:tcBorders>
              <w:bottom w:val="single" w:sz="8" w:color="E6E6E6"/>
              <w:right w:val="single" w:sz="8" w:color="D9D9D9"/>
            </w:tcBorders>
          </w:tcPr>
          <w:p>
            <w:pPr>
              <w:spacing w:after="0"/>
              <w:rPr>
                <w:sz w:val="20"/>
                <w:szCs w:val="20"/>
                <w:color w:val="auto"/>
              </w:rPr>
            </w:pPr>
            <w:r>
              <w:rPr>
                <w:rFonts w:ascii="Arial" w:cs="Arial" w:eastAsia="Arial" w:hAnsi="Arial"/>
                <w:sz w:val="10"/>
                <w:szCs w:val="10"/>
                <w:b w:val="1"/>
                <w:bCs w:val="1"/>
                <w:color w:val="D92130"/>
              </w:rPr>
              <w:t>YOY</w:t>
            </w:r>
          </w:p>
        </w:tc>
      </w:tr>
      <w:tr>
        <w:trPr>
          <w:trHeight w:val="122"/>
        </w:trPr>
        <w:tc>
          <w:tcPr>
            <w:tcW w:w="4060" w:type="dxa"/>
            <w:vAlign w:val="bottom"/>
            <w:tcBorders>
              <w:left w:val="single" w:sz="8" w:color="D9D9D9"/>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800" w:type="dxa"/>
            <w:vAlign w:val="bottom"/>
            <w:tcBorders>
              <w:right w:val="single" w:sz="8" w:color="E6E6E6"/>
            </w:tcBorders>
          </w:tcPr>
          <w:p>
            <w:pPr>
              <w:spacing w:after="0"/>
              <w:rPr>
                <w:sz w:val="10"/>
                <w:szCs w:val="10"/>
                <w:color w:val="auto"/>
              </w:rPr>
            </w:pP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(6.2)% AC</w:t>
            </w:r>
          </w:p>
        </w:tc>
      </w:tr>
      <w:tr>
        <w:trPr>
          <w:trHeight w:val="140"/>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Revenue</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$9,066</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$9,662</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b w:val="1"/>
                <w:bCs w:val="1"/>
                <w:color w:val="auto"/>
              </w:rPr>
              <w:t>$(596)</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(4.7)% CC1</w:t>
            </w:r>
          </w:p>
        </w:tc>
      </w:tr>
      <w:tr>
        <w:trPr>
          <w:trHeight w:val="211"/>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Gross Margin</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40.3%</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40.0%</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30 bps</w:t>
            </w:r>
          </w:p>
        </w:tc>
        <w:tc>
          <w:tcPr>
            <w:tcW w:w="1780" w:type="dxa"/>
            <w:vAlign w:val="bottom"/>
            <w:tcBorders>
              <w:right w:val="single" w:sz="8" w:color="D9D9D9"/>
            </w:tcBorders>
            <w:shd w:val="clear" w:color="auto" w:fill="E5E5E5"/>
          </w:tcPr>
          <w:p>
            <w:pPr>
              <w:spacing w:after="0"/>
              <w:rPr>
                <w:sz w:val="18"/>
                <w:szCs w:val="18"/>
                <w:color w:val="auto"/>
              </w:rPr>
            </w:pPr>
          </w:p>
        </w:tc>
      </w:tr>
      <w:tr>
        <w:trPr>
          <w:trHeight w:val="204"/>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RD&amp;E %</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4.1%</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4.1%</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0</w:t>
            </w:r>
          </w:p>
        </w:tc>
        <w:tc>
          <w:tcPr>
            <w:tcW w:w="1780" w:type="dxa"/>
            <w:vAlign w:val="bottom"/>
            <w:tcBorders>
              <w:right w:val="single" w:sz="8" w:color="D9D9D9"/>
            </w:tcBorders>
            <w:shd w:val="clear" w:color="auto" w:fill="E5E5E5"/>
          </w:tcPr>
          <w:p>
            <w:pPr>
              <w:spacing w:after="0"/>
              <w:rPr>
                <w:sz w:val="17"/>
                <w:szCs w:val="17"/>
                <w:color w:val="auto"/>
              </w:rPr>
            </w:pPr>
          </w:p>
        </w:tc>
      </w:tr>
      <w:tr>
        <w:trPr>
          <w:trHeight w:val="211"/>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SAG %</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23.0%</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24.6%</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160 bps</w:t>
            </w:r>
          </w:p>
        </w:tc>
        <w:tc>
          <w:tcPr>
            <w:tcW w:w="1780" w:type="dxa"/>
            <w:vAlign w:val="bottom"/>
            <w:tcBorders>
              <w:right w:val="single" w:sz="8" w:color="D9D9D9"/>
            </w:tcBorders>
            <w:shd w:val="clear" w:color="auto" w:fill="E5E5E5"/>
          </w:tcPr>
          <w:p>
            <w:pPr>
              <w:spacing w:after="0"/>
              <w:rPr>
                <w:sz w:val="18"/>
                <w:szCs w:val="18"/>
                <w:color w:val="auto"/>
              </w:rPr>
            </w:pPr>
          </w:p>
        </w:tc>
      </w:tr>
      <w:tr>
        <w:trPr>
          <w:trHeight w:val="151"/>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Pre-Tax Income</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$822</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b w:val="1"/>
                <w:bCs w:val="1"/>
                <w:color w:val="auto"/>
              </w:rPr>
              <w:t>$549</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b w:val="1"/>
                <w:bCs w:val="1"/>
                <w:color w:val="auto"/>
              </w:rPr>
              <w:t>$273</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b w:val="1"/>
                <w:bCs w:val="1"/>
                <w:color w:val="auto"/>
              </w:rPr>
              <w:t>49.7%</w:t>
            </w:r>
          </w:p>
        </w:tc>
      </w:tr>
      <w:tr>
        <w:trPr>
          <w:trHeight w:val="218"/>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Pre-Tax Income Margin</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9.1%</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5.7%</w:t>
            </w:r>
          </w:p>
        </w:tc>
        <w:tc>
          <w:tcPr>
            <w:tcW w:w="1800" w:type="dxa"/>
            <w:vAlign w:val="bottom"/>
            <w:tcBorders>
              <w:right w:val="single" w:sz="8" w:color="E6E6E6"/>
            </w:tcBorders>
            <w:shd w:val="clear" w:color="auto" w:fill="E5E5E5"/>
          </w:tcPr>
          <w:p>
            <w:pPr>
              <w:spacing w:after="0"/>
              <w:rPr>
                <w:sz w:val="18"/>
                <w:szCs w:val="18"/>
                <w:color w:val="auto"/>
              </w:rPr>
            </w:pPr>
          </w:p>
        </w:tc>
        <w:tc>
          <w:tcPr>
            <w:tcW w:w="1780" w:type="dxa"/>
            <w:vAlign w:val="bottom"/>
            <w:tcBorders>
              <w:right w:val="single" w:sz="8" w:color="D9D9D9"/>
            </w:tcBorders>
            <w:shd w:val="clear" w:color="auto" w:fill="E5E5E5"/>
          </w:tcPr>
          <w:p>
            <w:pPr>
              <w:spacing w:after="0"/>
              <w:rPr>
                <w:sz w:val="18"/>
                <w:szCs w:val="18"/>
                <w:color w:val="auto"/>
              </w:rPr>
            </w:pPr>
          </w:p>
        </w:tc>
      </w:tr>
      <w:tr>
        <w:trPr>
          <w:trHeight w:val="155"/>
        </w:trPr>
        <w:tc>
          <w:tcPr>
            <w:tcW w:w="4060" w:type="dxa"/>
            <w:vAlign w:val="bottom"/>
            <w:tcBorders>
              <w:left w:val="single" w:sz="8" w:color="D9D9D9"/>
              <w:right w:val="single" w:sz="8" w:color="E6E6E6"/>
            </w:tcBorders>
          </w:tcPr>
          <w:p>
            <w:pPr>
              <w:ind w:left="40"/>
              <w:spacing w:after="0"/>
              <w:rPr>
                <w:sz w:val="20"/>
                <w:szCs w:val="20"/>
                <w:color w:val="auto"/>
              </w:rPr>
            </w:pPr>
            <w:r>
              <w:rPr>
                <w:rFonts w:ascii="Arial" w:cs="Arial" w:eastAsia="Arial" w:hAnsi="Arial"/>
                <w:sz w:val="10"/>
                <w:szCs w:val="10"/>
                <w:color w:val="auto"/>
              </w:rPr>
              <w:t>Operating Income - Adjusted</w:t>
            </w:r>
            <w:r>
              <w:rPr>
                <w:rFonts w:ascii="Arial" w:cs="Arial" w:eastAsia="Arial" w:hAnsi="Arial"/>
                <w:sz w:val="12"/>
                <w:szCs w:val="12"/>
                <w:color w:val="auto"/>
                <w:vertAlign w:val="superscript"/>
              </w:rPr>
              <w:t>1</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color w:val="auto"/>
              </w:rPr>
              <w:t>$1,192</w:t>
            </w:r>
          </w:p>
        </w:tc>
        <w:tc>
          <w:tcPr>
            <w:tcW w:w="1800" w:type="dxa"/>
            <w:vAlign w:val="bottom"/>
            <w:tcBorders>
              <w:right w:val="single" w:sz="8" w:color="E6E6E6"/>
            </w:tcBorders>
          </w:tcPr>
          <w:p>
            <w:pPr>
              <w:ind w:left="20"/>
              <w:spacing w:after="0"/>
              <w:rPr>
                <w:sz w:val="20"/>
                <w:szCs w:val="20"/>
                <w:color w:val="auto"/>
              </w:rPr>
            </w:pPr>
            <w:r>
              <w:rPr>
                <w:rFonts w:ascii="Arial" w:cs="Arial" w:eastAsia="Arial" w:hAnsi="Arial"/>
                <w:sz w:val="10"/>
                <w:szCs w:val="10"/>
                <w:color w:val="auto"/>
              </w:rPr>
              <w:t>$1,093</w:t>
            </w:r>
          </w:p>
        </w:tc>
        <w:tc>
          <w:tcPr>
            <w:tcW w:w="1800" w:type="dxa"/>
            <w:vAlign w:val="bottom"/>
            <w:tcBorders>
              <w:right w:val="single" w:sz="8" w:color="E6E6E6"/>
            </w:tcBorders>
          </w:tcPr>
          <w:p>
            <w:pPr>
              <w:spacing w:after="0"/>
              <w:rPr>
                <w:sz w:val="20"/>
                <w:szCs w:val="20"/>
                <w:color w:val="auto"/>
              </w:rPr>
            </w:pPr>
            <w:r>
              <w:rPr>
                <w:rFonts w:ascii="Arial" w:cs="Arial" w:eastAsia="Arial" w:hAnsi="Arial"/>
                <w:sz w:val="10"/>
                <w:szCs w:val="10"/>
                <w:color w:val="auto"/>
              </w:rPr>
              <w:t>$99</w:t>
            </w:r>
          </w:p>
        </w:tc>
        <w:tc>
          <w:tcPr>
            <w:tcW w:w="1780" w:type="dxa"/>
            <w:vAlign w:val="bottom"/>
            <w:tcBorders>
              <w:right w:val="single" w:sz="8" w:color="D9D9D9"/>
            </w:tcBorders>
          </w:tcPr>
          <w:p>
            <w:pPr>
              <w:spacing w:after="0"/>
              <w:rPr>
                <w:sz w:val="20"/>
                <w:szCs w:val="20"/>
                <w:color w:val="auto"/>
              </w:rPr>
            </w:pPr>
            <w:r>
              <w:rPr>
                <w:rFonts w:ascii="Arial" w:cs="Arial" w:eastAsia="Arial" w:hAnsi="Arial"/>
                <w:sz w:val="10"/>
                <w:szCs w:val="10"/>
                <w:color w:val="auto"/>
              </w:rPr>
              <w:t>9.1%</w:t>
            </w:r>
          </w:p>
        </w:tc>
      </w:tr>
      <w:tr>
        <w:trPr>
          <w:trHeight w:val="214"/>
        </w:trPr>
        <w:tc>
          <w:tcPr>
            <w:tcW w:w="4060" w:type="dxa"/>
            <w:vAlign w:val="bottom"/>
            <w:tcBorders>
              <w:left w:val="single" w:sz="8" w:color="D9D9D9"/>
              <w:right w:val="single" w:sz="8" w:color="E6E6E6"/>
            </w:tcBorders>
            <w:shd w:val="clear" w:color="auto" w:fill="E5E5E5"/>
          </w:tcPr>
          <w:p>
            <w:pPr>
              <w:ind w:left="240"/>
              <w:spacing w:after="0"/>
              <w:rPr>
                <w:sz w:val="20"/>
                <w:szCs w:val="20"/>
                <w:color w:val="auto"/>
              </w:rPr>
            </w:pPr>
            <w:r>
              <w:rPr>
                <w:rFonts w:ascii="Arial" w:cs="Arial" w:eastAsia="Arial" w:hAnsi="Arial"/>
                <w:sz w:val="10"/>
                <w:szCs w:val="10"/>
                <w:color w:val="auto"/>
              </w:rPr>
              <w:t>Operating Margin - Adjusted</w:t>
            </w:r>
            <w:r>
              <w:rPr>
                <w:rFonts w:ascii="Arial" w:cs="Arial" w:eastAsia="Arial" w:hAnsi="Arial"/>
                <w:sz w:val="12"/>
                <w:szCs w:val="12"/>
                <w:color w:val="auto"/>
                <w:vertAlign w:val="superscript"/>
              </w:rPr>
              <w:t>1</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13.1%</w:t>
            </w:r>
          </w:p>
        </w:tc>
        <w:tc>
          <w:tcPr>
            <w:tcW w:w="1800" w:type="dxa"/>
            <w:vAlign w:val="bottom"/>
            <w:tcBorders>
              <w:right w:val="single" w:sz="8" w:color="E6E6E6"/>
            </w:tcBorders>
            <w:shd w:val="clear" w:color="auto" w:fill="E5E5E5"/>
          </w:tcPr>
          <w:p>
            <w:pPr>
              <w:ind w:left="20"/>
              <w:spacing w:after="0"/>
              <w:rPr>
                <w:sz w:val="20"/>
                <w:szCs w:val="20"/>
                <w:color w:val="auto"/>
              </w:rPr>
            </w:pPr>
            <w:r>
              <w:rPr>
                <w:rFonts w:ascii="Arial" w:cs="Arial" w:eastAsia="Arial" w:hAnsi="Arial"/>
                <w:sz w:val="10"/>
                <w:szCs w:val="10"/>
                <w:color w:val="auto"/>
              </w:rPr>
              <w:t>11.3%</w:t>
            </w:r>
          </w:p>
        </w:tc>
        <w:tc>
          <w:tcPr>
            <w:tcW w:w="1800" w:type="dxa"/>
            <w:vAlign w:val="bottom"/>
            <w:tcBorders>
              <w:right w:val="single" w:sz="8" w:color="E6E6E6"/>
            </w:tcBorders>
            <w:shd w:val="clear" w:color="auto" w:fill="E5E5E5"/>
          </w:tcPr>
          <w:p>
            <w:pPr>
              <w:spacing w:after="0"/>
              <w:rPr>
                <w:sz w:val="20"/>
                <w:szCs w:val="20"/>
                <w:color w:val="auto"/>
              </w:rPr>
            </w:pPr>
            <w:r>
              <w:rPr>
                <w:rFonts w:ascii="Arial" w:cs="Arial" w:eastAsia="Arial" w:hAnsi="Arial"/>
                <w:sz w:val="10"/>
                <w:szCs w:val="10"/>
                <w:color w:val="auto"/>
              </w:rPr>
              <w:t>180 bps</w:t>
            </w:r>
          </w:p>
        </w:tc>
        <w:tc>
          <w:tcPr>
            <w:tcW w:w="1780" w:type="dxa"/>
            <w:vAlign w:val="bottom"/>
            <w:tcBorders>
              <w:right w:val="single" w:sz="8" w:color="D9D9D9"/>
            </w:tcBorders>
            <w:shd w:val="clear" w:color="auto" w:fill="E5E5E5"/>
          </w:tcPr>
          <w:p>
            <w:pPr>
              <w:spacing w:after="0"/>
              <w:rPr>
                <w:sz w:val="18"/>
                <w:szCs w:val="18"/>
                <w:color w:val="auto"/>
              </w:rPr>
            </w:pPr>
          </w:p>
        </w:tc>
      </w:tr>
      <w:tr>
        <w:trPr>
          <w:trHeight w:val="151"/>
        </w:trPr>
        <w:tc>
          <w:tcPr>
            <w:tcW w:w="4060" w:type="dxa"/>
            <w:vAlign w:val="bottom"/>
            <w:tcBorders>
              <w:left w:val="single" w:sz="8" w:color="D9D9D9"/>
              <w:bottom w:val="single" w:sz="8" w:color="E6E6E6"/>
              <w:right w:val="single" w:sz="8" w:color="E6E6E6"/>
            </w:tcBorders>
          </w:tcPr>
          <w:p>
            <w:pPr>
              <w:ind w:left="40"/>
              <w:spacing w:after="0"/>
              <w:rPr>
                <w:sz w:val="20"/>
                <w:szCs w:val="20"/>
                <w:color w:val="auto"/>
              </w:rPr>
            </w:pPr>
            <w:r>
              <w:rPr>
                <w:rFonts w:ascii="Arial" w:cs="Arial" w:eastAsia="Arial" w:hAnsi="Arial"/>
                <w:sz w:val="10"/>
                <w:szCs w:val="10"/>
                <w:b w:val="1"/>
                <w:bCs w:val="1"/>
                <w:color w:val="auto"/>
              </w:rPr>
              <w:t>GAAP EPS</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$2.78</w:t>
            </w:r>
          </w:p>
        </w:tc>
        <w:tc>
          <w:tcPr>
            <w:tcW w:w="180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$1.16</w:t>
            </w:r>
          </w:p>
        </w:tc>
        <w:tc>
          <w:tcPr>
            <w:tcW w:w="180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$1.62</w:t>
            </w:r>
          </w:p>
        </w:tc>
        <w:tc>
          <w:tcPr>
            <w:tcW w:w="1780" w:type="dxa"/>
            <w:vAlign w:val="bottom"/>
            <w:tcBorders>
              <w:bottom w:val="single" w:sz="8" w:color="E6E6E6"/>
              <w:right w:val="single" w:sz="8" w:color="D9D9D9"/>
            </w:tcBorders>
          </w:tcPr>
          <w:p>
            <w:pPr>
              <w:spacing w:after="0"/>
              <w:rPr>
                <w:sz w:val="20"/>
                <w:szCs w:val="20"/>
                <w:color w:val="auto"/>
              </w:rPr>
            </w:pPr>
            <w:r>
              <w:rPr>
                <w:rFonts w:ascii="Arial" w:cs="Arial" w:eastAsia="Arial" w:hAnsi="Arial"/>
                <w:sz w:val="10"/>
                <w:szCs w:val="10"/>
                <w:b w:val="1"/>
                <w:bCs w:val="1"/>
                <w:color w:val="auto"/>
              </w:rPr>
              <w:t>139.7%</w:t>
            </w:r>
          </w:p>
        </w:tc>
      </w:tr>
      <w:tr>
        <w:trPr>
          <w:trHeight w:val="145"/>
        </w:trPr>
        <w:tc>
          <w:tcPr>
            <w:tcW w:w="4060" w:type="dxa"/>
            <w:vAlign w:val="bottom"/>
            <w:tcBorders>
              <w:left w:val="single" w:sz="8" w:color="D9D9D9"/>
              <w:bottom w:val="single" w:sz="8" w:color="D9D9D9"/>
              <w:right w:val="single" w:sz="8" w:color="E6E6E6"/>
            </w:tcBorders>
          </w:tcPr>
          <w:p>
            <w:pPr>
              <w:ind w:left="40"/>
              <w:spacing w:after="0"/>
              <w:rPr>
                <w:sz w:val="20"/>
                <w:szCs w:val="20"/>
                <w:color w:val="auto"/>
              </w:rPr>
            </w:pPr>
            <w:r>
              <w:rPr>
                <w:rFonts w:ascii="Arial" w:cs="Arial" w:eastAsia="Arial" w:hAnsi="Arial"/>
                <w:sz w:val="10"/>
                <w:szCs w:val="10"/>
                <w:b w:val="1"/>
                <w:bCs w:val="1"/>
                <w:color w:val="auto"/>
              </w:rPr>
              <w:t>EPS - Adjusted1</w:t>
            </w:r>
          </w:p>
        </w:tc>
        <w:tc>
          <w:tcPr>
            <w:tcW w:w="1800" w:type="dxa"/>
            <w:vAlign w:val="bottom"/>
            <w:tcBorders>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$3.55</w:t>
            </w:r>
          </w:p>
        </w:tc>
        <w:tc>
          <w:tcPr>
            <w:tcW w:w="1800" w:type="dxa"/>
            <w:vAlign w:val="bottom"/>
            <w:tcBorders>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$2.88</w:t>
            </w:r>
          </w:p>
        </w:tc>
        <w:tc>
          <w:tcPr>
            <w:tcW w:w="1800" w:type="dxa"/>
            <w:vAlign w:val="bottom"/>
            <w:tcBorders>
              <w:bottom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auto"/>
              </w:rPr>
              <w:t>$0.67</w:t>
            </w:r>
          </w:p>
        </w:tc>
        <w:tc>
          <w:tcPr>
            <w:tcW w:w="1780" w:type="dxa"/>
            <w:vAlign w:val="bottom"/>
            <w:tcBorders>
              <w:bottom w:val="single" w:sz="8" w:color="D9D9D9"/>
              <w:right w:val="single" w:sz="8" w:color="D9D9D9"/>
            </w:tcBorders>
          </w:tcPr>
          <w:p>
            <w:pPr>
              <w:spacing w:after="0"/>
              <w:rPr>
                <w:sz w:val="20"/>
                <w:szCs w:val="20"/>
                <w:color w:val="auto"/>
              </w:rPr>
            </w:pPr>
            <w:r>
              <w:rPr>
                <w:rFonts w:ascii="Arial" w:cs="Arial" w:eastAsia="Arial" w:hAnsi="Arial"/>
                <w:sz w:val="10"/>
                <w:szCs w:val="10"/>
                <w:b w:val="1"/>
                <w:bCs w:val="1"/>
                <w:color w:val="auto"/>
              </w:rPr>
              <w:t>23.3%</w:t>
            </w:r>
          </w:p>
        </w:tc>
      </w:tr>
    </w:tbl>
    <w:p>
      <w:pPr>
        <w:spacing w:after="0" w:line="151" w:lineRule="exact"/>
        <w:rPr>
          <w:sz w:val="20"/>
          <w:szCs w:val="20"/>
          <w:color w:val="auto"/>
        </w:rPr>
      </w:pPr>
    </w:p>
    <w:p>
      <w:pPr>
        <w:ind w:left="2"/>
        <w:spacing w:after="0"/>
        <w:rPr>
          <w:sz w:val="20"/>
          <w:szCs w:val="20"/>
          <w:color w:val="auto"/>
        </w:rPr>
      </w:pPr>
      <w:r>
        <w:rPr>
          <w:rFonts w:ascii="Arial" w:cs="Arial" w:eastAsia="Arial" w:hAnsi="Arial"/>
          <w:sz w:val="9"/>
          <w:szCs w:val="9"/>
          <w:color w:val="auto"/>
        </w:rPr>
        <w:t>(1) Refer to the “Non-GAAP Financial Measures” section of this release for a discussion of these non-GAAP measures and their reconciliation to the reported GAAP measures.</w:t>
      </w:r>
    </w:p>
    <w:p>
      <w:pPr>
        <w:spacing w:after="0" w:line="219" w:lineRule="exact"/>
        <w:rPr>
          <w:sz w:val="20"/>
          <w:szCs w:val="20"/>
          <w:color w:val="auto"/>
        </w:rPr>
      </w:pPr>
    </w:p>
    <w:p>
      <w:pPr>
        <w:jc w:val="both"/>
        <w:ind w:left="2" w:right="200"/>
        <w:spacing w:after="0" w:line="253" w:lineRule="auto"/>
        <w:rPr>
          <w:sz w:val="20"/>
          <w:szCs w:val="20"/>
          <w:color w:val="auto"/>
        </w:rPr>
      </w:pPr>
      <w:r>
        <w:rPr>
          <w:rFonts w:ascii="Arial" w:cs="Arial" w:eastAsia="Arial" w:hAnsi="Arial"/>
          <w:sz w:val="14"/>
          <w:szCs w:val="14"/>
          <w:color w:val="auto"/>
        </w:rPr>
        <w:t>Fourth-quarter and full-year 2019 results include the benefit from $77 million of revenue associated with an OEM license agreement with Fuji Xerox received as part of a series of transactions with FUJIFILM Holdings Corporation (FUJIFILM). This benefit was included in Xerox’s updated 2019 guidance measures filed with the U.S. Securities and Exchange Commission on Form 8-K on December 3, 2019 that reflected adjustments resulting from the transactions with FUJIFILM.</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Full-Year Key Business Highlights:</w:t>
      </w:r>
    </w:p>
    <w:p>
      <w:pPr>
        <w:spacing w:after="0" w:line="22" w:lineRule="exact"/>
        <w:rPr>
          <w:sz w:val="20"/>
          <w:szCs w:val="20"/>
          <w:color w:val="auto"/>
        </w:rPr>
      </w:pPr>
    </w:p>
    <w:p>
      <w:pPr>
        <w:ind w:left="242" w:right="20" w:hanging="242"/>
        <w:spacing w:after="0" w:line="246" w:lineRule="auto"/>
        <w:tabs>
          <w:tab w:leader="none" w:pos="242" w:val="left"/>
        </w:tabs>
        <w:numPr>
          <w:ilvl w:val="0"/>
          <w:numId w:val="3"/>
        </w:numPr>
        <w:rPr>
          <w:rFonts w:ascii="Arial" w:cs="Arial" w:eastAsia="Arial" w:hAnsi="Arial"/>
          <w:sz w:val="13"/>
          <w:szCs w:val="13"/>
          <w:color w:val="auto"/>
        </w:rPr>
      </w:pPr>
      <w:r>
        <w:rPr>
          <w:rFonts w:ascii="Arial" w:cs="Arial" w:eastAsia="Arial" w:hAnsi="Arial"/>
          <w:sz w:val="14"/>
          <w:szCs w:val="14"/>
          <w:color w:val="auto"/>
        </w:rPr>
        <w:t>Implemented a new supply chain and supplier strategy, which included expanding Xerox’s relationship with HP and favorably structuring terms with FUJIFILM that monetized the company’s investment in Fuji Xerox at over 20 times 2019 expected aggregate cash flow.</w:t>
      </w:r>
    </w:p>
    <w:p>
      <w:pPr>
        <w:ind w:left="242" w:right="180" w:hanging="242"/>
        <w:spacing w:after="0" w:line="260" w:lineRule="auto"/>
        <w:tabs>
          <w:tab w:leader="none" w:pos="242" w:val="left"/>
        </w:tabs>
        <w:numPr>
          <w:ilvl w:val="0"/>
          <w:numId w:val="3"/>
        </w:numPr>
        <w:rPr>
          <w:rFonts w:ascii="Arial" w:cs="Arial" w:eastAsia="Arial" w:hAnsi="Arial"/>
          <w:sz w:val="13"/>
          <w:szCs w:val="13"/>
          <w:color w:val="auto"/>
        </w:rPr>
      </w:pPr>
      <w:r>
        <w:rPr>
          <w:rFonts w:ascii="Arial" w:cs="Arial" w:eastAsia="Arial" w:hAnsi="Arial"/>
          <w:sz w:val="14"/>
          <w:szCs w:val="14"/>
          <w:color w:val="auto"/>
        </w:rPr>
        <w:t>Expanded Xerox’s services portfolio with the launch of Intelligent Workplace Services; IT Services for the small and mid-size business market in the U.S.; and vertical services targeting healthcare, retail, insurance, and the public sector.</w:t>
      </w:r>
    </w:p>
    <w:p>
      <w:pPr>
        <w:spacing w:after="0" w:line="294" w:lineRule="exact"/>
        <w:rPr>
          <w:sz w:val="20"/>
          <w:szCs w:val="20"/>
          <w:color w:val="auto"/>
        </w:rPr>
      </w:pPr>
    </w:p>
    <w:p>
      <w:pPr>
        <w:jc w:val="center"/>
        <w:ind w:right="-101"/>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62"/>
          </w:cols>
          <w:pgMar w:left="218" w:top="605" w:right="319" w:bottom="1440" w:gutter="0" w:footer="0" w:header="0"/>
        </w:sectPr>
      </w:pPr>
    </w:p>
    <w:bookmarkStart w:id="7" w:name="page8"/>
    <w:bookmarkEnd w:id="7"/>
    <w:p>
      <w:pPr>
        <w:ind w:left="242" w:hanging="242"/>
        <w:spacing w:after="0"/>
        <w:tabs>
          <w:tab w:leader="none" w:pos="242" w:val="left"/>
        </w:tabs>
        <w:numPr>
          <w:ilvl w:val="0"/>
          <w:numId w:val="4"/>
        </w:numPr>
        <w:rPr>
          <w:rFonts w:ascii="Arial" w:cs="Arial" w:eastAsia="Arial" w:hAnsi="Arial"/>
          <w:sz w:val="13"/>
          <w:szCs w:val="13"/>
          <w:color w:val="auto"/>
        </w:rPr>
      </w:pPr>
      <w:r>
        <w:rPr>
          <w:rFonts w:ascii="Arial" w:cs="Arial" w:eastAsia="Arial" w:hAnsi="Arial"/>
          <w:sz w:val="14"/>
          <w:szCs w:val="14"/>
          <w:color w:val="auto"/>
        </w:rPr>
        <w:t xml:space="preserve">Invested in several industry firsts within Xerox’s core technology business such as the </w:t>
      </w:r>
      <w:r>
        <w:rPr>
          <w:rFonts w:ascii="Arial" w:cs="Arial" w:eastAsia="Arial" w:hAnsi="Arial"/>
          <w:sz w:val="14"/>
          <w:szCs w:val="14"/>
          <w:color w:val="EE2724"/>
        </w:rPr>
        <w:t>Iridesse</w:t>
      </w:r>
      <w:r>
        <w:rPr>
          <w:rFonts w:ascii="Arial" w:cs="Arial" w:eastAsia="Arial" w:hAnsi="Arial"/>
          <w:sz w:val="18"/>
          <w:szCs w:val="18"/>
          <w:color w:val="EE2724"/>
          <w:vertAlign w:val="superscript"/>
        </w:rPr>
        <w:t>®</w:t>
      </w:r>
      <w:r>
        <w:rPr>
          <w:rFonts w:ascii="Arial" w:cs="Arial" w:eastAsia="Arial" w:hAnsi="Arial"/>
          <w:sz w:val="14"/>
          <w:szCs w:val="14"/>
          <w:color w:val="auto"/>
        </w:rPr>
        <w:t xml:space="preserve"> </w:t>
      </w:r>
      <w:r>
        <w:rPr>
          <w:rFonts w:ascii="Arial" w:cs="Arial" w:eastAsia="Arial" w:hAnsi="Arial"/>
          <w:sz w:val="14"/>
          <w:szCs w:val="14"/>
          <w:color w:val="EE2724"/>
        </w:rPr>
        <w:t>Production Press</w:t>
      </w:r>
      <w:r>
        <w:rPr>
          <w:rFonts w:ascii="Arial" w:cs="Arial" w:eastAsia="Arial" w:hAnsi="Arial"/>
          <w:sz w:val="14"/>
          <w:szCs w:val="14"/>
          <w:color w:val="auto"/>
        </w:rPr>
        <w:t xml:space="preserve">, </w:t>
      </w:r>
      <w:r>
        <w:rPr>
          <w:rFonts w:ascii="Arial" w:cs="Arial" w:eastAsia="Arial" w:hAnsi="Arial"/>
          <w:sz w:val="14"/>
          <w:szCs w:val="14"/>
          <w:color w:val="EE2724"/>
        </w:rPr>
        <w:t>Baltoro™ HF Inkjet Press</w:t>
      </w:r>
      <w:r>
        <w:rPr>
          <w:rFonts w:ascii="Arial" w:cs="Arial" w:eastAsia="Arial" w:hAnsi="Arial"/>
          <w:sz w:val="14"/>
          <w:szCs w:val="14"/>
          <w:color w:val="auto"/>
        </w:rPr>
        <w:t xml:space="preserve"> and </w:t>
      </w:r>
      <w:r>
        <w:rPr>
          <w:rFonts w:ascii="Arial" w:cs="Arial" w:eastAsia="Arial" w:hAnsi="Arial"/>
          <w:sz w:val="14"/>
          <w:szCs w:val="14"/>
          <w:color w:val="EE2724"/>
        </w:rPr>
        <w:t>Adaptive CMYK Plus Technology</w:t>
      </w:r>
      <w:r>
        <w:rPr>
          <w:rFonts w:ascii="Arial" w:cs="Arial" w:eastAsia="Arial" w:hAnsi="Arial"/>
          <w:sz w:val="14"/>
          <w:szCs w:val="14"/>
          <w:color w:val="auto"/>
        </w:rPr>
        <w:t>.</w:t>
      </w:r>
    </w:p>
    <w:p>
      <w:pPr>
        <w:ind w:left="242" w:right="640" w:hanging="242"/>
        <w:spacing w:after="0" w:line="246" w:lineRule="auto"/>
        <w:tabs>
          <w:tab w:leader="none" w:pos="242" w:val="left"/>
        </w:tabs>
        <w:numPr>
          <w:ilvl w:val="0"/>
          <w:numId w:val="4"/>
        </w:numPr>
        <w:rPr>
          <w:rFonts w:ascii="Arial" w:cs="Arial" w:eastAsia="Arial" w:hAnsi="Arial"/>
          <w:sz w:val="13"/>
          <w:szCs w:val="13"/>
          <w:color w:val="auto"/>
        </w:rPr>
      </w:pPr>
      <w:r>
        <w:rPr>
          <w:rFonts w:ascii="Arial" w:cs="Arial" w:eastAsia="Arial" w:hAnsi="Arial"/>
          <w:sz w:val="14"/>
          <w:szCs w:val="14"/>
          <w:color w:val="auto"/>
        </w:rPr>
        <w:t>Made progress on our three-year innovation roadmap with products for 3D printing and AI Workflow Assistants becoming commercially available in 2020 and monetizing innovations through partners.</w:t>
      </w:r>
    </w:p>
    <w:p>
      <w:pPr>
        <w:ind w:left="242" w:right="360" w:hanging="242"/>
        <w:spacing w:after="0" w:line="260" w:lineRule="auto"/>
        <w:tabs>
          <w:tab w:leader="none" w:pos="242" w:val="left"/>
        </w:tabs>
        <w:numPr>
          <w:ilvl w:val="0"/>
          <w:numId w:val="4"/>
        </w:numPr>
        <w:rPr>
          <w:rFonts w:ascii="Arial" w:cs="Arial" w:eastAsia="Arial" w:hAnsi="Arial"/>
          <w:sz w:val="13"/>
          <w:szCs w:val="13"/>
          <w:color w:val="auto"/>
        </w:rPr>
      </w:pPr>
      <w:r>
        <w:rPr>
          <w:rFonts w:ascii="Arial" w:cs="Arial" w:eastAsia="Arial" w:hAnsi="Arial"/>
          <w:sz w:val="14"/>
          <w:szCs w:val="14"/>
          <w:color w:val="auto"/>
        </w:rPr>
        <w:t>Added and renewed several Fortune 500 and public sector clients such as Morgan Stanley, Office Depot, Generali, BAE Systems, the Commonwealth of Massachusetts, the Texas Department of Information Resources and the California Department of State Hospitals.</w:t>
      </w:r>
    </w:p>
    <w:p>
      <w:pPr>
        <w:spacing w:after="0" w:line="11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2020 Guidance:</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company expects continued progress on its strategic initiatives, as projected in its 2020 financial guidance:</w:t>
      </w:r>
    </w:p>
    <w:p>
      <w:pPr>
        <w:spacing w:after="0" w:line="118" w:lineRule="exact"/>
        <w:rPr>
          <w:sz w:val="20"/>
          <w:szCs w:val="20"/>
          <w:color w:val="auto"/>
        </w:rPr>
      </w:pP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Revenue decline of approximately 4 percent at constant currency, excluding revenue from the $77 million OEM license in 2019.</w:t>
      </w:r>
      <w:r>
        <w:rPr>
          <w:rFonts w:ascii="Arial" w:cs="Arial" w:eastAsia="Arial" w:hAnsi="Arial"/>
          <w:sz w:val="18"/>
          <w:szCs w:val="18"/>
          <w:color w:val="auto"/>
          <w:vertAlign w:val="superscript"/>
        </w:rPr>
        <w:t>2</w:t>
      </w: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Adjusted operating margin of approximately 13 percent.</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GAAP EPS from continuing operations in the range of $2.80 to $2.90.</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Adjusted EPS in the range of $3.60 to $3.70.</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Operating cash flow from continuing operations of approximately $1.3 billion and free cash flow of approximately $1.2 billion.</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5"/>
        </w:numPr>
        <w:rPr>
          <w:rFonts w:ascii="Arial" w:cs="Arial" w:eastAsia="Arial" w:hAnsi="Arial"/>
          <w:sz w:val="13"/>
          <w:szCs w:val="13"/>
          <w:color w:val="auto"/>
        </w:rPr>
      </w:pPr>
      <w:r>
        <w:rPr>
          <w:rFonts w:ascii="Arial" w:cs="Arial" w:eastAsia="Arial" w:hAnsi="Arial"/>
          <w:sz w:val="14"/>
          <w:szCs w:val="14"/>
          <w:color w:val="auto"/>
        </w:rPr>
        <w:t>Company expects at least $300 million of share repurchases and return of at least 50 percent of annual free cash flow to shareholders in 2020.</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9"/>
          <w:szCs w:val="9"/>
          <w:color w:val="auto"/>
        </w:rPr>
        <w:t>(2) Revenue decline of approximately 4.9 percent including the $77 million OEM License in 2019.</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About Xerox</w:t>
      </w:r>
    </w:p>
    <w:p>
      <w:pPr>
        <w:spacing w:after="0" w:line="22" w:lineRule="exact"/>
        <w:rPr>
          <w:sz w:val="20"/>
          <w:szCs w:val="20"/>
          <w:color w:val="auto"/>
        </w:rPr>
      </w:pPr>
    </w:p>
    <w:p>
      <w:pPr>
        <w:ind w:left="2" w:right="60"/>
        <w:spacing w:after="0" w:line="253" w:lineRule="auto"/>
        <w:rPr>
          <w:sz w:val="20"/>
          <w:szCs w:val="20"/>
          <w:color w:val="auto"/>
        </w:rPr>
      </w:pPr>
      <w:r>
        <w:rPr>
          <w:rFonts w:ascii="Arial" w:cs="Arial" w:eastAsia="Arial" w:hAnsi="Arial"/>
          <w:sz w:val="14"/>
          <w:szCs w:val="14"/>
          <w:b w:val="1"/>
          <w:bCs w:val="1"/>
          <w:color w:val="auto"/>
        </w:rPr>
        <w:t xml:space="preserve">Xerox Holdings Corporation (NYSE: XRX) makes every day work better. </w:t>
      </w:r>
      <w:r>
        <w:rPr>
          <w:rFonts w:ascii="Arial" w:cs="Arial" w:eastAsia="Arial" w:hAnsi="Arial"/>
          <w:sz w:val="14"/>
          <w:szCs w:val="14"/>
          <w:color w:val="auto"/>
        </w:rPr>
        <w:t>We are a workplace technology company building and integrating software and hardware for enterprises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large and small. As customers seek to manage information across digital and physical platforms, Xerox delivers a seamless, secure and sustainable experience. Whether inventing the copier, the ethernet, the laser printer or more, Xerox has long defined the modern work experience. Learn how that innovation continues at </w:t>
      </w:r>
      <w:r>
        <w:rPr>
          <w:rFonts w:ascii="Arial" w:cs="Arial" w:eastAsia="Arial" w:hAnsi="Arial"/>
          <w:sz w:val="14"/>
          <w:szCs w:val="14"/>
          <w:u w:val="single" w:color="auto"/>
          <w:color w:val="FF0000"/>
        </w:rPr>
        <w:t>xerox.com</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2"/>
          </w:cols>
          <w:pgMar w:left="218" w:top="250" w:right="219" w:bottom="1440" w:gutter="0" w:footer="0" w:header="0"/>
        </w:sectPr>
      </w:pPr>
    </w:p>
    <w:bookmarkStart w:id="8" w:name="page9"/>
    <w:bookmarkEnd w:id="8"/>
    <w:p>
      <w:pPr>
        <w:ind w:left="2"/>
        <w:spacing w:after="0"/>
        <w:rPr>
          <w:sz w:val="20"/>
          <w:szCs w:val="20"/>
          <w:color w:val="auto"/>
        </w:rPr>
      </w:pPr>
      <w:r>
        <w:rPr>
          <w:rFonts w:ascii="Arial" w:cs="Arial" w:eastAsia="Arial" w:hAnsi="Arial"/>
          <w:sz w:val="14"/>
          <w:szCs w:val="14"/>
          <w:b w:val="1"/>
          <w:bCs w:val="1"/>
          <w:color w:val="auto"/>
        </w:rPr>
        <w:t>Non-GAAP Measures</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4"/>
          <w:szCs w:val="14"/>
          <w:color w:val="auto"/>
        </w:rPr>
        <w:t>This release refers to the following non-GAAP financial measures for the Fourth Quarter and Full-Year 2019 and Full-Year 2020 guidance:</w:t>
      </w:r>
    </w:p>
    <w:p>
      <w:pPr>
        <w:spacing w:after="0" w:line="160" w:lineRule="exact"/>
        <w:rPr>
          <w:sz w:val="20"/>
          <w:szCs w:val="20"/>
          <w:color w:val="auto"/>
        </w:rPr>
      </w:pPr>
    </w:p>
    <w:p>
      <w:pPr>
        <w:ind w:left="242" w:right="160" w:hanging="242"/>
        <w:spacing w:after="0" w:line="246" w:lineRule="auto"/>
        <w:tabs>
          <w:tab w:leader="none" w:pos="242" w:val="left"/>
        </w:tabs>
        <w:numPr>
          <w:ilvl w:val="0"/>
          <w:numId w:val="6"/>
        </w:numPr>
        <w:rPr>
          <w:rFonts w:ascii="Arial" w:cs="Arial" w:eastAsia="Arial" w:hAnsi="Arial"/>
          <w:sz w:val="13"/>
          <w:szCs w:val="13"/>
          <w:color w:val="auto"/>
        </w:rPr>
      </w:pPr>
      <w:r>
        <w:rPr>
          <w:rFonts w:ascii="Arial" w:cs="Arial" w:eastAsia="Arial" w:hAnsi="Arial"/>
          <w:sz w:val="14"/>
          <w:szCs w:val="14"/>
          <w:color w:val="auto"/>
        </w:rPr>
        <w:t>Adjusted EPS, which excludes restructuring and related costs, the amortization of intangible assets, non-service retirement-related costs, transaction and related costs, net and other discrete adjustments from GAAP-EPS from continuing operations.</w:t>
      </w:r>
    </w:p>
    <w:p>
      <w:pPr>
        <w:ind w:left="242" w:hanging="242"/>
        <w:spacing w:after="0"/>
        <w:tabs>
          <w:tab w:leader="none" w:pos="242" w:val="left"/>
        </w:tabs>
        <w:numPr>
          <w:ilvl w:val="0"/>
          <w:numId w:val="6"/>
        </w:numPr>
        <w:rPr>
          <w:rFonts w:ascii="Arial" w:cs="Arial" w:eastAsia="Arial" w:hAnsi="Arial"/>
          <w:sz w:val="13"/>
          <w:szCs w:val="13"/>
          <w:color w:val="auto"/>
        </w:rPr>
      </w:pPr>
      <w:r>
        <w:rPr>
          <w:rFonts w:ascii="Arial" w:cs="Arial" w:eastAsia="Arial" w:hAnsi="Arial"/>
          <w:sz w:val="14"/>
          <w:szCs w:val="14"/>
          <w:color w:val="auto"/>
        </w:rPr>
        <w:t>Adjusted operating margin and income, which exclude the EPS adjustments noted above as well as the remainder of other expenses, net from pre-tax margin and income.</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6"/>
        </w:numPr>
        <w:rPr>
          <w:rFonts w:ascii="Arial" w:cs="Arial" w:eastAsia="Arial" w:hAnsi="Arial"/>
          <w:sz w:val="13"/>
          <w:szCs w:val="13"/>
          <w:color w:val="auto"/>
        </w:rPr>
      </w:pPr>
      <w:r>
        <w:rPr>
          <w:rFonts w:ascii="Arial" w:cs="Arial" w:eastAsia="Arial" w:hAnsi="Arial"/>
          <w:sz w:val="14"/>
          <w:szCs w:val="14"/>
          <w:color w:val="auto"/>
        </w:rPr>
        <w:t>Constant currency (CC) revenue change, which excludes the effects of currency translation.</w:t>
      </w:r>
    </w:p>
    <w:p>
      <w:pPr>
        <w:spacing w:after="0" w:line="4" w:lineRule="exact"/>
        <w:rPr>
          <w:rFonts w:ascii="Arial" w:cs="Arial" w:eastAsia="Arial" w:hAnsi="Arial"/>
          <w:sz w:val="13"/>
          <w:szCs w:val="13"/>
          <w:color w:val="auto"/>
        </w:rPr>
      </w:pPr>
    </w:p>
    <w:p>
      <w:pPr>
        <w:ind w:left="242" w:hanging="242"/>
        <w:spacing w:after="0"/>
        <w:tabs>
          <w:tab w:leader="none" w:pos="242" w:val="left"/>
        </w:tabs>
        <w:numPr>
          <w:ilvl w:val="0"/>
          <w:numId w:val="6"/>
        </w:numPr>
        <w:rPr>
          <w:rFonts w:ascii="Arial" w:cs="Arial" w:eastAsia="Arial" w:hAnsi="Arial"/>
          <w:sz w:val="13"/>
          <w:szCs w:val="13"/>
          <w:color w:val="auto"/>
        </w:rPr>
      </w:pPr>
      <w:r>
        <w:rPr>
          <w:rFonts w:ascii="Arial" w:cs="Arial" w:eastAsia="Arial" w:hAnsi="Arial"/>
          <w:sz w:val="14"/>
          <w:szCs w:val="14"/>
          <w:color w:val="auto"/>
        </w:rPr>
        <w:t>Free cash flow, which is cash flow from continuing operations less capital expenditures.</w:t>
      </w:r>
    </w:p>
    <w:p>
      <w:pPr>
        <w:spacing w:after="0" w:line="160" w:lineRule="exact"/>
        <w:rPr>
          <w:sz w:val="20"/>
          <w:szCs w:val="20"/>
          <w:color w:val="auto"/>
        </w:rPr>
      </w:pPr>
    </w:p>
    <w:p>
      <w:pPr>
        <w:ind w:left="2" w:right="620"/>
        <w:spacing w:after="0" w:line="362" w:lineRule="auto"/>
        <w:rPr>
          <w:sz w:val="20"/>
          <w:szCs w:val="20"/>
          <w:color w:val="auto"/>
        </w:rPr>
      </w:pPr>
      <w:r>
        <w:rPr>
          <w:rFonts w:ascii="Arial" w:cs="Arial" w:eastAsia="Arial" w:hAnsi="Arial"/>
          <w:sz w:val="14"/>
          <w:szCs w:val="14"/>
          <w:color w:val="auto"/>
        </w:rPr>
        <w:t xml:space="preserve">Refer to the “Non-GAAP Financial Measures” section of this release for a discussion of these non-GAAP measures and their reconciliation to the reported GAAP measures. </w:t>
      </w:r>
      <w:r>
        <w:rPr>
          <w:rFonts w:ascii="Arial" w:cs="Arial" w:eastAsia="Arial" w:hAnsi="Arial"/>
          <w:sz w:val="14"/>
          <w:szCs w:val="14"/>
          <w:b w:val="1"/>
          <w:bCs w:val="1"/>
          <w:color w:val="auto"/>
        </w:rPr>
        <w:t>Forward-Looking Statements</w:t>
      </w:r>
    </w:p>
    <w:p>
      <w:pPr>
        <w:ind w:left="2"/>
        <w:spacing w:after="0" w:line="246" w:lineRule="auto"/>
        <w:rPr>
          <w:sz w:val="20"/>
          <w:szCs w:val="20"/>
          <w:color w:val="auto"/>
        </w:rPr>
      </w:pPr>
      <w:r>
        <w:rPr>
          <w:rFonts w:ascii="Arial" w:cs="Arial" w:eastAsia="Arial" w:hAnsi="Arial"/>
          <w:sz w:val="14"/>
          <w:szCs w:val="14"/>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the shared services arrangements entered into by us as part of Project Own It; the ultimate outcome of any possible transaction between Xerox Holdings Corporation (“Xerox”) and HP Inc. (“HP”), including the possibility that the parties will not agree to pursue a business combination transaction or that the terms of any definitive agreement will be materially different from those proposed; uncertainties as to whether HP will cooperate with Xerox regarding the proposed transaction; the ultimate result should Xerox determine to commence a proxy contest for election of directors to HP’s board of directors; Xerox’s ability to consummate the proposed transaction with HP; the conditions to the completion of the proposed transaction, including the receipt of any required shareholder approvals and any required regulatory a</w:t>
      </w:r>
    </w:p>
    <w:p>
      <w:pPr>
        <w:spacing w:after="0" w:line="160"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2"/>
          </w:cols>
          <w:pgMar w:left="218" w:top="274" w:right="25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4"/>
          <w:szCs w:val="14"/>
          <w:color w:val="auto"/>
        </w:rPr>
        <w:t>pprovals; Xerox’s ability to finance the proposed transaction with HP; Xerox’s indebtedness, including the substantial indebtedness Xerox expects to incur in connection with the proposed transaction with HP and the need to generate sufficient cash flows to service and repay such debt; the possibility that Xerox may be unable to achieve expected synergies and operating efficiencies within the expected time-frames or at all and to successfully integrate HP’s operations with those of Xerox; that such integration may be more difficult, time-consuming or costly than expected;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retention of certain key employees may be difficult; and general economic conditions that are less favorable than expected. Additional risks that may affect Xerox’s operations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-XXX-</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Contact: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Caroline Gransee-Linsey, Xerox, +1-203-849-2359, </w:t>
      </w:r>
      <w:r>
        <w:rPr>
          <w:rFonts w:ascii="Arial" w:cs="Arial" w:eastAsia="Arial" w:hAnsi="Arial"/>
          <w:sz w:val="14"/>
          <w:szCs w:val="14"/>
          <w:u w:val="single" w:color="auto"/>
          <w:color w:val="C00000"/>
        </w:rPr>
        <w:t>Caroline.Gransee-Linsey@xerox.com</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Contact: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Ann Pettrone, Xerox, +1-203-849-2590, </w:t>
      </w:r>
      <w:r>
        <w:rPr>
          <w:rFonts w:ascii="Arial" w:cs="Arial" w:eastAsia="Arial" w:hAnsi="Arial"/>
          <w:sz w:val="14"/>
          <w:szCs w:val="14"/>
          <w:u w:val="single" w:color="auto"/>
          <w:color w:val="C00000"/>
        </w:rPr>
        <w:t>Ann.Pettrone@xerox.com</w:t>
      </w:r>
    </w:p>
    <w:p>
      <w:pPr>
        <w:spacing w:after="0" w:line="142" w:lineRule="exact"/>
        <w:rPr>
          <w:sz w:val="20"/>
          <w:szCs w:val="20"/>
          <w:color w:val="auto"/>
        </w:rPr>
      </w:pPr>
    </w:p>
    <w:p>
      <w:pPr>
        <w:ind w:right="1720"/>
        <w:spacing w:after="0" w:line="28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receive RSS news feeds, visit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C00000"/>
        </w:rPr>
        <w:t>https://www.news.xerox.com</w:t>
      </w:r>
      <w:r>
        <w:rPr>
          <w:rFonts w:ascii="Arial" w:cs="Arial" w:eastAsia="Arial" w:hAnsi="Arial"/>
          <w:sz w:val="14"/>
          <w:szCs w:val="14"/>
          <w:color w:val="auto"/>
        </w:rPr>
        <w:t>. For open commentary, industry perspectives and views, visit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C00000"/>
        </w:rPr>
        <w:t>http://twitter.com/xerox</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C00000"/>
        </w:rPr>
        <w:t>http://www.facebook.com/XeroxCorp</w:t>
      </w:r>
      <w:r>
        <w:rPr>
          <w:rFonts w:ascii="Arial" w:cs="Arial" w:eastAsia="Arial" w:hAnsi="Arial"/>
          <w:sz w:val="14"/>
          <w:szCs w:val="14"/>
          <w:color w:val="000000"/>
        </w:rPr>
        <w:t>,</w:t>
      </w:r>
      <w:r>
        <w:rPr>
          <w:rFonts w:ascii="Arial" w:cs="Arial" w:eastAsia="Arial" w:hAnsi="Arial"/>
          <w:sz w:val="14"/>
          <w:szCs w:val="14"/>
          <w:color w:val="C00000"/>
        </w:rPr>
        <w:t xml:space="preserve"> </w:t>
      </w:r>
      <w:r>
        <w:rPr>
          <w:rFonts w:ascii="Arial" w:cs="Arial" w:eastAsia="Arial" w:hAnsi="Arial"/>
          <w:sz w:val="14"/>
          <w:szCs w:val="14"/>
          <w:u w:val="single" w:color="auto"/>
          <w:color w:val="C00000"/>
        </w:rPr>
        <w:t>https://www.instagram.com/xerox/</w:t>
      </w:r>
      <w:r>
        <w:rPr>
          <w:rFonts w:ascii="Arial" w:cs="Arial" w:eastAsia="Arial" w:hAnsi="Arial"/>
          <w:sz w:val="14"/>
          <w:szCs w:val="14"/>
          <w:color w:val="000000"/>
        </w:rPr>
        <w:t>,</w:t>
      </w:r>
      <w:r>
        <w:rPr>
          <w:rFonts w:ascii="Arial" w:cs="Arial" w:eastAsia="Arial" w:hAnsi="Arial"/>
          <w:sz w:val="14"/>
          <w:szCs w:val="14"/>
          <w:color w:val="C00000"/>
        </w:rPr>
        <w:t xml:space="preserve"> </w:t>
      </w:r>
      <w:r>
        <w:rPr>
          <w:rFonts w:ascii="Arial" w:cs="Arial" w:eastAsia="Arial" w:hAnsi="Arial"/>
          <w:sz w:val="14"/>
          <w:szCs w:val="14"/>
          <w:u w:val="single" w:color="auto"/>
          <w:color w:val="C00000"/>
        </w:rPr>
        <w:t>http://www.linkedin.com/company/xerox</w:t>
      </w:r>
      <w:r>
        <w:rPr>
          <w:rFonts w:ascii="Arial" w:cs="Arial" w:eastAsia="Arial" w:hAnsi="Arial"/>
          <w:sz w:val="14"/>
          <w:szCs w:val="14"/>
          <w:color w:val="000000"/>
        </w:rPr>
        <w:t>,</w:t>
      </w:r>
      <w:r>
        <w:rPr>
          <w:rFonts w:ascii="Arial" w:cs="Arial" w:eastAsia="Arial" w:hAnsi="Arial"/>
          <w:sz w:val="14"/>
          <w:szCs w:val="14"/>
          <w:color w:val="C00000"/>
        </w:rPr>
        <w:t xml:space="preserve"> </w:t>
      </w:r>
      <w:r>
        <w:rPr>
          <w:rFonts w:ascii="Arial" w:cs="Arial" w:eastAsia="Arial" w:hAnsi="Arial"/>
          <w:sz w:val="14"/>
          <w:szCs w:val="14"/>
          <w:u w:val="single" w:color="auto"/>
          <w:color w:val="C00000"/>
        </w:rPr>
        <w:t>http://www.youtube.com/XeroxCorp</w:t>
      </w:r>
      <w:r>
        <w:rPr>
          <w:rFonts w:ascii="Arial" w:cs="Arial" w:eastAsia="Arial" w:hAnsi="Arial"/>
          <w:sz w:val="14"/>
          <w:szCs w:val="14"/>
          <w:color w:val="000000"/>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Xerox</w:t>
      </w:r>
      <w:r>
        <w:rPr>
          <w:rFonts w:ascii="Arial" w:cs="Arial" w:eastAsia="Arial" w:hAnsi="Arial"/>
          <w:sz w:val="18"/>
          <w:szCs w:val="18"/>
          <w:color w:val="auto"/>
          <w:vertAlign w:val="superscript"/>
        </w:rPr>
        <w:t>®</w:t>
      </w:r>
      <w:r>
        <w:rPr>
          <w:rFonts w:ascii="Arial" w:cs="Arial" w:eastAsia="Arial" w:hAnsi="Arial"/>
          <w:sz w:val="14"/>
          <w:szCs w:val="14"/>
          <w:color w:val="auto"/>
        </w:rPr>
        <w:t>, Iridesse</w:t>
      </w:r>
      <w:r>
        <w:rPr>
          <w:rFonts w:ascii="Arial" w:cs="Arial" w:eastAsia="Arial" w:hAnsi="Arial"/>
          <w:sz w:val="18"/>
          <w:szCs w:val="18"/>
          <w:color w:val="auto"/>
          <w:vertAlign w:val="superscript"/>
        </w:rPr>
        <w:t>®</w:t>
      </w:r>
      <w:r>
        <w:rPr>
          <w:rFonts w:ascii="Arial" w:cs="Arial" w:eastAsia="Arial" w:hAnsi="Arial"/>
          <w:sz w:val="14"/>
          <w:szCs w:val="14"/>
          <w:color w:val="auto"/>
        </w:rPr>
        <w:t>, and Baltoro™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00"/>
          </w:cols>
          <w:pgMar w:left="220" w:top="292" w:right="279" w:bottom="1440" w:gutter="0" w:footer="0" w:header="0"/>
        </w:sectPr>
      </w:pPr>
    </w:p>
    <w:bookmarkStart w:id="10" w:name="page11"/>
    <w:bookmarkEnd w:id="10"/>
    <w:p>
      <w:pPr>
        <w:ind w:left="2"/>
        <w:spacing w:after="0"/>
        <w:rPr>
          <w:sz w:val="20"/>
          <w:szCs w:val="20"/>
          <w:color w:val="auto"/>
        </w:rPr>
      </w:pPr>
      <w:r>
        <w:rPr>
          <w:rFonts w:ascii="Arial" w:cs="Arial" w:eastAsia="Arial" w:hAnsi="Arial"/>
          <w:sz w:val="13"/>
          <w:szCs w:val="13"/>
          <w:b w:val="1"/>
          <w:bCs w:val="1"/>
          <w:color w:val="DA2031"/>
        </w:rPr>
        <w:t>XEROX HOLDINGS CORPORATION</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DA2031"/>
        </w:rPr>
        <w:t>CONDENSED CONSOLIDATED STATEMENTS OF INCOME (UNAUDITED)</w:t>
      </w:r>
    </w:p>
    <w:p>
      <w:pPr>
        <w:spacing w:after="0" w:line="31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0"/>
                <w:szCs w:val="10"/>
                <w:color w:val="auto"/>
              </w:rPr>
              <w:t>Year Ended</w:t>
            </w:r>
          </w:p>
        </w:tc>
        <w:tc>
          <w:tcPr>
            <w:tcW w:w="780" w:type="dxa"/>
            <w:vAlign w:val="bottom"/>
          </w:tcPr>
          <w:p>
            <w:pPr>
              <w:spacing w:after="0"/>
              <w:rPr>
                <w:sz w:val="10"/>
                <w:szCs w:val="10"/>
                <w:color w:val="auto"/>
              </w:rPr>
            </w:pPr>
          </w:p>
        </w:tc>
      </w:tr>
      <w:tr>
        <w:trPr>
          <w:trHeight w:val="128"/>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0"/>
                <w:szCs w:val="10"/>
                <w:color w:val="auto"/>
              </w:rPr>
              <w:t>December 31,</w:t>
            </w: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December 31,</w:t>
            </w:r>
          </w:p>
        </w:tc>
        <w:tc>
          <w:tcPr>
            <w:tcW w:w="780" w:type="dxa"/>
            <w:vAlign w:val="bottom"/>
            <w:tcBorders>
              <w:bottom w:val="single" w:sz="8" w:color="auto"/>
            </w:tcBorders>
          </w:tcPr>
          <w:p>
            <w:pPr>
              <w:spacing w:after="0"/>
              <w:rPr>
                <w:sz w:val="11"/>
                <w:szCs w:val="11"/>
                <w:color w:val="auto"/>
              </w:rPr>
            </w:pPr>
          </w:p>
        </w:tc>
      </w:tr>
      <w:tr>
        <w:trPr>
          <w:trHeight w:val="184"/>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per-share data)</w:t>
            </w:r>
          </w:p>
        </w:tc>
        <w:tc>
          <w:tcPr>
            <w:tcW w:w="1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2018</w:t>
            </w:r>
          </w:p>
        </w:tc>
      </w:tr>
      <w:tr>
        <w:trPr>
          <w:trHeight w:val="188"/>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Revenues</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94"/>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Sales</w:t>
            </w:r>
            <w:r>
              <w:rPr>
                <w:rFonts w:ascii="Arial" w:cs="Arial" w:eastAsia="Arial" w:hAnsi="Arial"/>
                <w:sz w:val="12"/>
                <w:szCs w:val="12"/>
                <w:color w:val="auto"/>
                <w:vertAlign w:val="superscript"/>
              </w:rPr>
              <w:t>(1)</w:t>
            </w:r>
          </w:p>
        </w:tc>
        <w:tc>
          <w:tcPr>
            <w:tcW w:w="2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919</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958</w:t>
            </w:r>
          </w:p>
        </w:tc>
        <w:tc>
          <w:tcPr>
            <w:tcW w:w="120" w:type="dxa"/>
            <w:vAlign w:val="bottom"/>
          </w:tcPr>
          <w:p>
            <w:pPr>
              <w:spacing w:after="0"/>
              <w:rPr>
                <w:sz w:val="16"/>
                <w:szCs w:val="16"/>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3,227</w:t>
            </w:r>
          </w:p>
        </w:tc>
        <w:tc>
          <w:tcPr>
            <w:tcW w:w="100" w:type="dxa"/>
            <w:vAlign w:val="bottom"/>
          </w:tcPr>
          <w:p>
            <w:pPr>
              <w:spacing w:after="0"/>
              <w:rPr>
                <w:sz w:val="16"/>
                <w:szCs w:val="16"/>
                <w:color w:val="auto"/>
              </w:rPr>
            </w:pPr>
          </w:p>
        </w:tc>
        <w:tc>
          <w:tcPr>
            <w:tcW w:w="36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3,454</w:t>
            </w:r>
          </w:p>
        </w:tc>
      </w:tr>
      <w:tr>
        <w:trPr>
          <w:trHeight w:val="194"/>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Services, maintenance and rentals</w:t>
            </w:r>
            <w:r>
              <w:rPr>
                <w:rFonts w:ascii="Arial" w:cs="Arial" w:eastAsia="Arial" w:hAnsi="Arial"/>
                <w:sz w:val="12"/>
                <w:szCs w:val="12"/>
                <w:color w:val="auto"/>
                <w:vertAlign w:val="superscript"/>
              </w:rPr>
              <w:t>(1)</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1,465</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1,476</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5,595</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5,940</w:t>
            </w:r>
          </w:p>
        </w:tc>
      </w:tr>
      <w:tr>
        <w:trPr>
          <w:trHeight w:val="190"/>
        </w:trPr>
        <w:tc>
          <w:tcPr>
            <w:tcW w:w="654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Financing</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60</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64</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244</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268</w:t>
            </w:r>
          </w:p>
        </w:tc>
      </w:tr>
      <w:tr>
        <w:trPr>
          <w:trHeight w:val="179"/>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Revenues</w:t>
            </w:r>
          </w:p>
        </w:tc>
        <w:tc>
          <w:tcPr>
            <w:tcW w:w="280" w:type="dxa"/>
            <w:vAlign w:val="bottom"/>
            <w:tcBorders>
              <w:bottom w:val="single" w:sz="8" w:color="auto"/>
            </w:tcBorders>
            <w:shd w:val="clear" w:color="auto" w:fill="E5E5E5"/>
          </w:tcPr>
          <w:p>
            <w:pPr>
              <w:spacing w:after="0"/>
              <w:rPr>
                <w:sz w:val="15"/>
                <w:szCs w:val="15"/>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2,444</w:t>
            </w:r>
          </w:p>
        </w:tc>
        <w:tc>
          <w:tcPr>
            <w:tcW w:w="120" w:type="dxa"/>
            <w:vAlign w:val="bottom"/>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spacing w:after="0"/>
              <w:rPr>
                <w:sz w:val="15"/>
                <w:szCs w:val="15"/>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2,498</w:t>
            </w:r>
          </w:p>
        </w:tc>
        <w:tc>
          <w:tcPr>
            <w:tcW w:w="120" w:type="dxa"/>
            <w:vAlign w:val="bottom"/>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spacing w:after="0"/>
              <w:rPr>
                <w:sz w:val="15"/>
                <w:szCs w:val="15"/>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9,066</w:t>
            </w:r>
          </w:p>
        </w:tc>
        <w:tc>
          <w:tcPr>
            <w:tcW w:w="100" w:type="dxa"/>
            <w:vAlign w:val="bottom"/>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spacing w:after="0"/>
              <w:rPr>
                <w:sz w:val="15"/>
                <w:szCs w:val="15"/>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9,662</w:t>
            </w: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Cost of sales</w:t>
            </w:r>
            <w:r>
              <w:rPr>
                <w:rFonts w:ascii="Arial" w:cs="Arial" w:eastAsia="Arial" w:hAnsi="Arial"/>
                <w:sz w:val="12"/>
                <w:szCs w:val="12"/>
                <w:color w:val="auto"/>
                <w:vertAlign w:val="superscript"/>
              </w:rPr>
              <w:t>(1)</w:t>
            </w:r>
          </w:p>
        </w:tc>
        <w:tc>
          <w:tcPr>
            <w:tcW w:w="2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605</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613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2,097</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2,188</w:t>
            </w:r>
          </w:p>
        </w:tc>
      </w:tr>
      <w:tr>
        <w:trPr>
          <w:trHeight w:val="194"/>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Cost of services, maintenance and rentals</w:t>
            </w:r>
            <w:r>
              <w:rPr>
                <w:rFonts w:ascii="Arial" w:cs="Arial" w:eastAsia="Arial" w:hAnsi="Arial"/>
                <w:sz w:val="12"/>
                <w:szCs w:val="12"/>
                <w:color w:val="auto"/>
                <w:vertAlign w:val="superscript"/>
              </w:rPr>
              <w:t>(1)</w:t>
            </w: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790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3,188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3,473</w:t>
            </w:r>
          </w:p>
        </w:tc>
      </w:tr>
      <w:tr>
        <w:trPr>
          <w:trHeight w:val="194"/>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Cost of financing</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32</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131</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132</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Research, development and engineering expenses</w:t>
            </w: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93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373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397</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Selling, administrative and general expenses</w:t>
            </w:r>
          </w:p>
        </w:tc>
        <w:tc>
          <w:tcPr>
            <w:tcW w:w="2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512</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2,085</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2,379</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Restructuring and related costs</w:t>
            </w: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229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157</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Amortization of intangible assets</w:t>
            </w:r>
          </w:p>
        </w:tc>
        <w:tc>
          <w:tcPr>
            <w:tcW w:w="2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45</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48</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Transaction and related costs, net</w:t>
            </w: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68</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Other expenses, net</w:t>
            </w:r>
          </w:p>
        </w:tc>
        <w:tc>
          <w:tcPr>
            <w:tcW w:w="28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144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84</w:t>
            </w:r>
          </w:p>
        </w:tc>
        <w:tc>
          <w:tcPr>
            <w:tcW w:w="10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271</w:t>
            </w:r>
          </w:p>
        </w:tc>
      </w:tr>
      <w:tr>
        <w:trPr>
          <w:trHeight w:val="170"/>
        </w:trPr>
        <w:tc>
          <w:tcPr>
            <w:tcW w:w="65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Total Costs and Expenses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2,108</w:t>
            </w:r>
          </w:p>
        </w:tc>
        <w:tc>
          <w:tcPr>
            <w:tcW w:w="120" w:type="dxa"/>
            <w:vAlign w:val="bottom"/>
            <w:tcBorders>
              <w:bottom w:val="single" w:sz="8" w:color="E5E5E5"/>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2,374</w:t>
            </w:r>
          </w:p>
        </w:tc>
        <w:tc>
          <w:tcPr>
            <w:tcW w:w="120" w:type="dxa"/>
            <w:vAlign w:val="bottom"/>
            <w:tcBorders>
              <w:bottom w:val="single" w:sz="8" w:color="E5E5E5"/>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8,244</w:t>
            </w:r>
          </w:p>
        </w:tc>
        <w:tc>
          <w:tcPr>
            <w:tcW w:w="10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9,113</w:t>
            </w:r>
          </w:p>
        </w:tc>
      </w:tr>
      <w:tr>
        <w:trPr>
          <w:trHeight w:val="179"/>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before Income Taxes &amp; Equity Income</w:t>
            </w:r>
            <w:r>
              <w:rPr>
                <w:rFonts w:ascii="Arial" w:cs="Arial" w:eastAsia="Arial" w:hAnsi="Arial"/>
                <w:sz w:val="12"/>
                <w:szCs w:val="12"/>
                <w:b w:val="1"/>
                <w:bCs w:val="1"/>
                <w:color w:val="auto"/>
                <w:vertAlign w:val="superscript"/>
              </w:rPr>
              <w:t>(2)</w:t>
            </w:r>
          </w:p>
        </w:tc>
        <w:tc>
          <w:tcPr>
            <w:tcW w:w="280" w:type="dxa"/>
            <w:vAlign w:val="bottom"/>
            <w:shd w:val="clear" w:color="auto" w:fill="E5E5E5"/>
          </w:tcPr>
          <w:p>
            <w:pPr>
              <w:spacing w:after="0"/>
              <w:rPr>
                <w:sz w:val="15"/>
                <w:szCs w:val="15"/>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336</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124</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822</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549</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Income tax expense</w:t>
            </w: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179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247</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Equity in net income of unconsolidated affiliates</w:t>
            </w:r>
          </w:p>
        </w:tc>
        <w:tc>
          <w:tcPr>
            <w:tcW w:w="28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w:t>
            </w:r>
          </w:p>
        </w:tc>
        <w:tc>
          <w:tcPr>
            <w:tcW w:w="10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w:t>
            </w:r>
          </w:p>
        </w:tc>
      </w:tr>
      <w:tr>
        <w:trPr>
          <w:trHeight w:val="17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Income from Continuing Operations</w:t>
            </w:r>
          </w:p>
        </w:tc>
        <w:tc>
          <w:tcPr>
            <w:tcW w:w="2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651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310</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Income from discontinued operations, net of tax</w:t>
            </w:r>
          </w:p>
        </w:tc>
        <w:tc>
          <w:tcPr>
            <w:tcW w:w="28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553</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710</w:t>
            </w:r>
          </w:p>
        </w:tc>
        <w:tc>
          <w:tcPr>
            <w:tcW w:w="10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64</w:t>
            </w:r>
          </w:p>
        </w:tc>
      </w:tr>
      <w:tr>
        <w:trPr>
          <w:trHeight w:val="17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Income</w:t>
            </w:r>
          </w:p>
        </w:tc>
        <w:tc>
          <w:tcPr>
            <w:tcW w:w="2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819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141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1,361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374</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Less: Income from continuing operations attributable to noncontrolling interests</w:t>
            </w: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w:t>
            </w:r>
          </w:p>
        </w:tc>
      </w:tr>
      <w:tr>
        <w:trPr>
          <w:trHeight w:val="190"/>
        </w:trPr>
        <w:tc>
          <w:tcPr>
            <w:tcW w:w="654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Less: Income from discontinued operations attributable to noncontrolling interests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w:t>
            </w:r>
          </w:p>
        </w:tc>
      </w:tr>
      <w:tr>
        <w:trPr>
          <w:trHeight w:val="178"/>
        </w:trPr>
        <w:tc>
          <w:tcPr>
            <w:tcW w:w="6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28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818</w:t>
            </w:r>
          </w:p>
        </w:tc>
        <w:tc>
          <w:tcPr>
            <w:tcW w:w="120" w:type="dxa"/>
            <w:vAlign w:val="bottom"/>
            <w:tcBorders>
              <w:bottom w:val="single" w:sz="8" w:color="E5E5E5"/>
            </w:tcBorders>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Borders>
              <w:bottom w:val="single" w:sz="8" w:color="E5E5E5"/>
            </w:tcBorders>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1,353</w:t>
            </w:r>
          </w:p>
        </w:tc>
        <w:tc>
          <w:tcPr>
            <w:tcW w:w="100" w:type="dxa"/>
            <w:vAlign w:val="bottom"/>
            <w:tcBorders>
              <w:bottom w:val="single" w:sz="8" w:color="E5E5E5"/>
            </w:tcBorders>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361</w:t>
            </w:r>
          </w:p>
        </w:tc>
      </w:tr>
      <w:tr>
        <w:trPr>
          <w:trHeight w:val="194"/>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Amounts Attributable to Xerox Holdings:</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Income from continuing operations</w:t>
            </w:r>
          </w:p>
        </w:tc>
        <w:tc>
          <w:tcPr>
            <w:tcW w:w="2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91</w:t>
            </w:r>
          </w:p>
        </w:tc>
        <w:tc>
          <w:tcPr>
            <w:tcW w:w="120" w:type="dxa"/>
            <w:vAlign w:val="bottom"/>
          </w:tcPr>
          <w:p>
            <w:pPr>
              <w:spacing w:after="0"/>
              <w:rPr>
                <w:sz w:val="16"/>
                <w:szCs w:val="16"/>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648</w:t>
            </w:r>
          </w:p>
        </w:tc>
        <w:tc>
          <w:tcPr>
            <w:tcW w:w="100" w:type="dxa"/>
            <w:vAlign w:val="bottom"/>
          </w:tcPr>
          <w:p>
            <w:pPr>
              <w:spacing w:after="0"/>
              <w:rPr>
                <w:sz w:val="16"/>
                <w:szCs w:val="16"/>
                <w:color w:val="auto"/>
              </w:rPr>
            </w:pPr>
          </w:p>
        </w:tc>
        <w:tc>
          <w:tcPr>
            <w:tcW w:w="36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306</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Income from discontinued operations</w:t>
            </w:r>
          </w:p>
        </w:tc>
        <w:tc>
          <w:tcPr>
            <w:tcW w:w="28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552</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46</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705</w:t>
            </w:r>
          </w:p>
        </w:tc>
        <w:tc>
          <w:tcPr>
            <w:tcW w:w="10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r>
      <w:tr>
        <w:trPr>
          <w:trHeight w:val="174"/>
        </w:trPr>
        <w:tc>
          <w:tcPr>
            <w:tcW w:w="65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2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818</w:t>
            </w:r>
          </w:p>
        </w:tc>
        <w:tc>
          <w:tcPr>
            <w:tcW w:w="12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1,353</w:t>
            </w:r>
          </w:p>
        </w:tc>
        <w:tc>
          <w:tcPr>
            <w:tcW w:w="100" w:type="dxa"/>
            <w:vAlign w:val="bottom"/>
            <w:tcBorders>
              <w:bottom w:val="single" w:sz="8" w:color="E5E5E5"/>
            </w:tcBorders>
          </w:tcPr>
          <w:p>
            <w:pPr>
              <w:spacing w:after="0"/>
              <w:rPr>
                <w:sz w:val="15"/>
                <w:szCs w:val="15"/>
                <w:color w:val="auto"/>
              </w:rPr>
            </w:pPr>
          </w:p>
        </w:tc>
        <w:tc>
          <w:tcPr>
            <w:tcW w:w="36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361</w:t>
            </w:r>
          </w:p>
        </w:tc>
      </w:tr>
      <w:tr>
        <w:trPr>
          <w:trHeight w:val="194"/>
        </w:trPr>
        <w:tc>
          <w:tcPr>
            <w:tcW w:w="64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9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Continuing operations</w:t>
            </w:r>
          </w:p>
        </w:tc>
        <w:tc>
          <w:tcPr>
            <w:tcW w:w="28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1.22</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0.37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2.86</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1.17</w:t>
            </w:r>
          </w:p>
        </w:tc>
      </w:tr>
      <w:tr>
        <w:trPr>
          <w:trHeight w:val="190"/>
        </w:trPr>
        <w:tc>
          <w:tcPr>
            <w:tcW w:w="654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Discontinued operations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2.56</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0.19</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3.17</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0.23</w:t>
            </w:r>
          </w:p>
        </w:tc>
      </w:tr>
      <w:tr>
        <w:trPr>
          <w:trHeight w:val="178"/>
        </w:trPr>
        <w:tc>
          <w:tcPr>
            <w:tcW w:w="6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28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3.78</w:t>
            </w:r>
          </w:p>
        </w:tc>
        <w:tc>
          <w:tcPr>
            <w:tcW w:w="120" w:type="dxa"/>
            <w:vAlign w:val="bottom"/>
            <w:tcBorders>
              <w:bottom w:val="single" w:sz="8" w:color="E5E5E5"/>
            </w:tcBorders>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0.56</w:t>
            </w:r>
          </w:p>
        </w:tc>
        <w:tc>
          <w:tcPr>
            <w:tcW w:w="120" w:type="dxa"/>
            <w:vAlign w:val="bottom"/>
            <w:tcBorders>
              <w:bottom w:val="single" w:sz="8" w:color="E5E5E5"/>
            </w:tcBorders>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6.03</w:t>
            </w:r>
          </w:p>
        </w:tc>
        <w:tc>
          <w:tcPr>
            <w:tcW w:w="100" w:type="dxa"/>
            <w:vAlign w:val="bottom"/>
            <w:tcBorders>
              <w:bottom w:val="single" w:sz="8" w:color="E5E5E5"/>
            </w:tcBorders>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1.40</w:t>
            </w:r>
          </w:p>
        </w:tc>
      </w:tr>
      <w:tr>
        <w:trPr>
          <w:trHeight w:val="204"/>
        </w:trPr>
        <w:tc>
          <w:tcPr>
            <w:tcW w:w="6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4"/>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Continuing operations</w:t>
            </w:r>
          </w:p>
        </w:tc>
        <w:tc>
          <w:tcPr>
            <w:tcW w:w="2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1.17</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0.37</w:t>
            </w:r>
          </w:p>
        </w:tc>
        <w:tc>
          <w:tcPr>
            <w:tcW w:w="120" w:type="dxa"/>
            <w:vAlign w:val="bottom"/>
          </w:tcPr>
          <w:p>
            <w:pPr>
              <w:spacing w:after="0"/>
              <w:rPr>
                <w:sz w:val="16"/>
                <w:szCs w:val="16"/>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2.78</w:t>
            </w:r>
          </w:p>
        </w:tc>
        <w:tc>
          <w:tcPr>
            <w:tcW w:w="100" w:type="dxa"/>
            <w:vAlign w:val="bottom"/>
          </w:tcPr>
          <w:p>
            <w:pPr>
              <w:spacing w:after="0"/>
              <w:rPr>
                <w:sz w:val="16"/>
                <w:szCs w:val="16"/>
                <w:color w:val="auto"/>
              </w:rPr>
            </w:pPr>
          </w:p>
        </w:tc>
        <w:tc>
          <w:tcPr>
            <w:tcW w:w="36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1.16</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Discontinued operations</w:t>
            </w:r>
          </w:p>
        </w:tc>
        <w:tc>
          <w:tcPr>
            <w:tcW w:w="28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2.44</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0.19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3.02</w:t>
            </w:r>
          </w:p>
        </w:tc>
        <w:tc>
          <w:tcPr>
            <w:tcW w:w="10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0.22</w:t>
            </w:r>
          </w:p>
        </w:tc>
      </w:tr>
      <w:tr>
        <w:trPr>
          <w:trHeight w:val="174"/>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2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3.61</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0.56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5.80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1.38</w:t>
            </w:r>
          </w:p>
        </w:tc>
      </w:tr>
      <w:tr>
        <w:trPr>
          <w:trHeight w:val="133"/>
        </w:trPr>
        <w:tc>
          <w:tcPr>
            <w:tcW w:w="6420" w:type="dxa"/>
            <w:vAlign w:val="bottom"/>
          </w:tcPr>
          <w:p>
            <w:pPr>
              <w:spacing w:after="0"/>
              <w:rPr>
                <w:sz w:val="20"/>
                <w:szCs w:val="20"/>
                <w:color w:val="auto"/>
              </w:rPr>
            </w:pPr>
            <w:r>
              <w:rPr>
                <w:rFonts w:ascii="Arial" w:cs="Arial" w:eastAsia="Arial" w:hAnsi="Arial"/>
                <w:sz w:val="9"/>
                <w:szCs w:val="9"/>
                <w:i w:val="1"/>
                <w:iCs w:val="1"/>
                <w:color w:val="auto"/>
              </w:rPr>
              <w:t>___________________________</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88" w:lineRule="exact"/>
        <w:rPr>
          <w:sz w:val="20"/>
          <w:szCs w:val="20"/>
          <w:color w:val="auto"/>
        </w:rPr>
      </w:pPr>
    </w:p>
    <w:p>
      <w:pPr>
        <w:ind w:left="102" w:hanging="102"/>
        <w:spacing w:after="0"/>
        <w:tabs>
          <w:tab w:leader="none" w:pos="102" w:val="left"/>
        </w:tabs>
        <w:numPr>
          <w:ilvl w:val="0"/>
          <w:numId w:val="7"/>
        </w:numPr>
        <w:rPr>
          <w:rFonts w:ascii="Arial" w:cs="Arial" w:eastAsia="Arial" w:hAnsi="Arial"/>
          <w:sz w:val="6"/>
          <w:szCs w:val="6"/>
          <w:i w:val="1"/>
          <w:iCs w:val="1"/>
          <w:color w:val="auto"/>
        </w:rPr>
      </w:pPr>
      <w:r>
        <w:rPr>
          <w:rFonts w:ascii="Arial" w:cs="Arial" w:eastAsia="Arial" w:hAnsi="Arial"/>
          <w:sz w:val="9"/>
          <w:szCs w:val="9"/>
          <w:i w:val="1"/>
          <w:iCs w:val="1"/>
          <w:color w:val="auto"/>
        </w:rPr>
        <w:t>Certain prior year amounts have been conformed to the current year presentation. See Appendix III for this change in presentation.</w:t>
      </w:r>
    </w:p>
    <w:p>
      <w:pPr>
        <w:spacing w:after="0" w:line="42" w:lineRule="exact"/>
        <w:rPr>
          <w:rFonts w:ascii="Arial" w:cs="Arial" w:eastAsia="Arial" w:hAnsi="Arial"/>
          <w:sz w:val="6"/>
          <w:szCs w:val="6"/>
          <w:i w:val="1"/>
          <w:iCs w:val="1"/>
          <w:color w:val="auto"/>
        </w:rPr>
      </w:pPr>
    </w:p>
    <w:p>
      <w:pPr>
        <w:ind w:left="102" w:hanging="102"/>
        <w:spacing w:after="0"/>
        <w:tabs>
          <w:tab w:leader="none" w:pos="102" w:val="left"/>
        </w:tabs>
        <w:numPr>
          <w:ilvl w:val="0"/>
          <w:numId w:val="7"/>
        </w:numPr>
        <w:rPr>
          <w:rFonts w:ascii="Arial" w:cs="Arial" w:eastAsia="Arial" w:hAnsi="Arial"/>
          <w:sz w:val="6"/>
          <w:szCs w:val="6"/>
          <w:i w:val="1"/>
          <w:iCs w:val="1"/>
          <w:color w:val="auto"/>
        </w:rPr>
      </w:pPr>
      <w:r>
        <w:rPr>
          <w:rFonts w:ascii="Arial" w:cs="Arial" w:eastAsia="Arial" w:hAnsi="Arial"/>
          <w:sz w:val="9"/>
          <w:szCs w:val="9"/>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82"/>
          </w:cols>
          <w:pgMar w:left="218" w:top="482" w:right="19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DA2031"/>
        </w:rPr>
        <w:t>XEROX HOLDINGS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DA2031"/>
        </w:rPr>
        <w:t>CONDENSED CONSOLIDATED STATEMENTS OF COMPREHENSIVE INCOME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3"/>
          </w:tcPr>
          <w:p>
            <w:pPr>
              <w:jc w:val="right"/>
              <w:ind w:right="68"/>
              <w:spacing w:after="0"/>
              <w:rPr>
                <w:sz w:val="20"/>
                <w:szCs w:val="20"/>
                <w:color w:val="auto"/>
              </w:rPr>
            </w:pPr>
            <w:r>
              <w:rPr>
                <w:rFonts w:ascii="Arial" w:cs="Arial" w:eastAsia="Arial" w:hAnsi="Arial"/>
                <w:sz w:val="10"/>
                <w:szCs w:val="10"/>
                <w:color w:val="auto"/>
              </w:rPr>
              <w:t>Three Months Ended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gridSpan w:val="3"/>
          </w:tcPr>
          <w:p>
            <w:pPr>
              <w:jc w:val="right"/>
              <w:ind w:right="188"/>
              <w:spacing w:after="0"/>
              <w:rPr>
                <w:sz w:val="20"/>
                <w:szCs w:val="20"/>
                <w:color w:val="auto"/>
              </w:rPr>
            </w:pPr>
            <w:r>
              <w:rPr>
                <w:rFonts w:ascii="Arial" w:cs="Arial" w:eastAsia="Arial" w:hAnsi="Arial"/>
                <w:sz w:val="10"/>
                <w:szCs w:val="10"/>
                <w:color w:val="auto"/>
              </w:rPr>
              <w:t>Year Ended</w:t>
            </w:r>
          </w:p>
        </w:tc>
        <w:tc>
          <w:tcPr>
            <w:tcW w:w="1020" w:type="dxa"/>
            <w:vAlign w:val="bottom"/>
          </w:tcPr>
          <w:p>
            <w:pPr>
              <w:spacing w:after="0"/>
              <w:rPr>
                <w:sz w:val="10"/>
                <w:szCs w:val="10"/>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0"/>
                <w:szCs w:val="10"/>
                <w:color w:val="auto"/>
              </w:rPr>
              <w:t>December 31,</w:t>
            </w: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0"/>
                <w:szCs w:val="10"/>
                <w:color w:val="auto"/>
              </w:rPr>
              <w:t>December 31,</w:t>
            </w:r>
          </w:p>
        </w:tc>
        <w:tc>
          <w:tcPr>
            <w:tcW w:w="1020" w:type="dxa"/>
            <w:vAlign w:val="bottom"/>
            <w:tcBorders>
              <w:bottom w:val="single" w:sz="8" w:color="auto"/>
            </w:tcBorders>
          </w:tcPr>
          <w:p>
            <w:pPr>
              <w:spacing w:after="0"/>
              <w:rPr>
                <w:sz w:val="11"/>
                <w:szCs w:val="11"/>
                <w:color w:val="auto"/>
              </w:rPr>
            </w:pPr>
          </w:p>
        </w:tc>
      </w:tr>
      <w:tr>
        <w:trPr>
          <w:trHeight w:val="18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rPr>
              <w:t>2018</w:t>
            </w:r>
          </w:p>
        </w:tc>
      </w:tr>
      <w:tr>
        <w:trPr>
          <w:trHeight w:val="17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income</w:t>
            </w:r>
          </w:p>
        </w:tc>
        <w:tc>
          <w:tcPr>
            <w:tcW w:w="360" w:type="dxa"/>
            <w:vAlign w:val="bottom"/>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819</w:t>
            </w: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jc w:val="right"/>
              <w:ind w:right="408"/>
              <w:spacing w:after="0"/>
              <w:rPr>
                <w:sz w:val="20"/>
                <w:szCs w:val="20"/>
                <w:color w:val="auto"/>
              </w:rPr>
            </w:pPr>
            <w:r>
              <w:rPr>
                <w:rFonts w:ascii="Arial" w:cs="Arial" w:eastAsia="Arial" w:hAnsi="Arial"/>
                <w:sz w:val="10"/>
                <w:szCs w:val="10"/>
                <w:color w:val="auto"/>
              </w:rPr>
              <w:t>$</w:t>
            </w: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141</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1,361</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374</w:t>
            </w:r>
          </w:p>
        </w:tc>
      </w:tr>
      <w:tr>
        <w:trPr>
          <w:trHeight w:val="194"/>
        </w:trPr>
        <w:tc>
          <w:tcPr>
            <w:tcW w:w="516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Less: Net income attributable to noncontrolling interests</w:t>
            </w:r>
            <w:r>
              <w:rPr>
                <w:rFonts w:ascii="Arial" w:cs="Arial" w:eastAsia="Arial" w:hAnsi="Arial"/>
                <w:sz w:val="12"/>
                <w:szCs w:val="12"/>
                <w:color w:val="auto"/>
                <w:vertAlign w:val="superscript"/>
              </w:rPr>
              <w:t>(1)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E5E5E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13</w:t>
            </w:r>
          </w:p>
        </w:tc>
      </w:tr>
      <w:tr>
        <w:trPr>
          <w:trHeight w:val="170"/>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360" w:type="dxa"/>
            <w:vAlign w:val="bottom"/>
            <w:tcBorders>
              <w:bottom w:val="single" w:sz="8" w:color="auto"/>
            </w:tcBorders>
            <w:shd w:val="clear" w:color="auto" w:fill="E5E5E5"/>
          </w:tcPr>
          <w:p>
            <w:pPr>
              <w:spacing w:after="0"/>
              <w:rPr>
                <w:sz w:val="14"/>
                <w:szCs w:val="14"/>
                <w:color w:val="auto"/>
              </w:rPr>
            </w:pP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818</w:t>
            </w:r>
          </w:p>
        </w:tc>
        <w:tc>
          <w:tcPr>
            <w:tcW w:w="100" w:type="dxa"/>
            <w:vAlign w:val="bottom"/>
            <w:shd w:val="clear" w:color="auto" w:fill="E5E5E5"/>
          </w:tcPr>
          <w:p>
            <w:pPr>
              <w:spacing w:after="0"/>
              <w:rPr>
                <w:sz w:val="14"/>
                <w:szCs w:val="14"/>
                <w:color w:val="auto"/>
              </w:rPr>
            </w:pPr>
          </w:p>
        </w:tc>
        <w:tc>
          <w:tcPr>
            <w:tcW w:w="540" w:type="dxa"/>
            <w:vAlign w:val="bottom"/>
            <w:tcBorders>
              <w:bottom w:val="single" w:sz="8" w:color="auto"/>
            </w:tcBorders>
            <w:shd w:val="clear" w:color="auto" w:fill="E5E5E5"/>
          </w:tcPr>
          <w:p>
            <w:pPr>
              <w:spacing w:after="0"/>
              <w:rPr>
                <w:sz w:val="14"/>
                <w:szCs w:val="14"/>
                <w:color w:val="auto"/>
              </w:rPr>
            </w:pPr>
          </w:p>
        </w:tc>
        <w:tc>
          <w:tcPr>
            <w:tcW w:w="9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shd w:val="clear" w:color="auto" w:fill="E5E5E5"/>
          </w:tcPr>
          <w:p>
            <w:pPr>
              <w:spacing w:after="0"/>
              <w:rPr>
                <w:sz w:val="14"/>
                <w:szCs w:val="14"/>
                <w:color w:val="auto"/>
              </w:rPr>
            </w:pPr>
          </w:p>
        </w:tc>
        <w:tc>
          <w:tcPr>
            <w:tcW w:w="360" w:type="dxa"/>
            <w:vAlign w:val="bottom"/>
            <w:tcBorders>
              <w:bottom w:val="single" w:sz="8" w:color="auto"/>
            </w:tcBorders>
            <w:shd w:val="clear" w:color="auto" w:fill="E5E5E5"/>
          </w:tcPr>
          <w:p>
            <w:pPr>
              <w:spacing w:after="0"/>
              <w:rPr>
                <w:sz w:val="14"/>
                <w:szCs w:val="14"/>
                <w:color w:val="auto"/>
              </w:rPr>
            </w:pPr>
          </w:p>
        </w:tc>
        <w:tc>
          <w:tcPr>
            <w:tcW w:w="11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1,353</w:t>
            </w:r>
          </w:p>
        </w:tc>
        <w:tc>
          <w:tcPr>
            <w:tcW w:w="120" w:type="dxa"/>
            <w:vAlign w:val="bottom"/>
            <w:shd w:val="clear" w:color="auto" w:fill="E5E5E5"/>
          </w:tcPr>
          <w:p>
            <w:pPr>
              <w:spacing w:after="0"/>
              <w:rPr>
                <w:sz w:val="14"/>
                <w:szCs w:val="14"/>
                <w:color w:val="auto"/>
              </w:rPr>
            </w:pPr>
          </w:p>
        </w:tc>
        <w:tc>
          <w:tcPr>
            <w:tcW w:w="440" w:type="dxa"/>
            <w:vAlign w:val="bottom"/>
            <w:tcBorders>
              <w:bottom w:val="single" w:sz="8" w:color="auto"/>
            </w:tcBorders>
            <w:shd w:val="clear" w:color="auto" w:fill="E5E5E5"/>
          </w:tcPr>
          <w:p>
            <w:pPr>
              <w:spacing w:after="0"/>
              <w:rPr>
                <w:sz w:val="14"/>
                <w:szCs w:val="14"/>
                <w:color w:val="auto"/>
              </w:rPr>
            </w:pPr>
          </w:p>
        </w:tc>
        <w:tc>
          <w:tcPr>
            <w:tcW w:w="10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361</w:t>
            </w:r>
          </w:p>
        </w:tc>
      </w:tr>
      <w:tr>
        <w:trPr>
          <w:trHeight w:val="169"/>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Income (Loss), Net</w:t>
            </w: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r>
      <w:tr>
        <w:trPr>
          <w:trHeight w:val="190"/>
        </w:trPr>
        <w:tc>
          <w:tcPr>
            <w:tcW w:w="5160" w:type="dxa"/>
            <w:vAlign w:val="bottom"/>
            <w:gridSpan w:val="2"/>
          </w:tcPr>
          <w:p>
            <w:pPr>
              <w:ind w:left="260"/>
              <w:spacing w:after="0"/>
              <w:rPr>
                <w:sz w:val="20"/>
                <w:szCs w:val="20"/>
                <w:color w:val="auto"/>
              </w:rPr>
            </w:pPr>
            <w:r>
              <w:rPr>
                <w:rFonts w:ascii="Arial" w:cs="Arial" w:eastAsia="Arial" w:hAnsi="Arial"/>
                <w:sz w:val="10"/>
                <w:szCs w:val="10"/>
                <w:color w:val="auto"/>
              </w:rPr>
              <w:t>Translation adjustments, net</w:t>
            </w:r>
          </w:p>
        </w:tc>
        <w:tc>
          <w:tcPr>
            <w:tcW w:w="3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0"/>
                <w:szCs w:val="10"/>
                <w:color w:val="auto"/>
              </w:rPr>
              <w:t>184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0"/>
                <w:szCs w:val="10"/>
                <w:color w:val="auto"/>
              </w:rPr>
              <w:t>(242)</w:t>
            </w:r>
          </w:p>
        </w:tc>
      </w:tr>
      <w:tr>
        <w:trPr>
          <w:trHeight w:val="199"/>
        </w:trPr>
        <w:tc>
          <w:tcPr>
            <w:tcW w:w="516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Unrealized (losses) gains, net</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(9)</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8"/>
              <w:spacing w:after="0"/>
              <w:rPr>
                <w:sz w:val="20"/>
                <w:szCs w:val="20"/>
                <w:color w:val="auto"/>
              </w:rPr>
            </w:pPr>
            <w:r>
              <w:rPr>
                <w:rFonts w:ascii="Arial" w:cs="Arial" w:eastAsia="Arial" w:hAnsi="Arial"/>
                <w:sz w:val="10"/>
                <w:szCs w:val="10"/>
                <w:color w:val="auto"/>
              </w:rPr>
              <w:t>(6)</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16</w:t>
            </w:r>
          </w:p>
        </w:tc>
      </w:tr>
      <w:tr>
        <w:trPr>
          <w:trHeight w:val="190"/>
        </w:trPr>
        <w:tc>
          <w:tcPr>
            <w:tcW w:w="516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Changes in defined benefit plans, net</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37</w:t>
            </w:r>
          </w:p>
        </w:tc>
        <w:tc>
          <w:tcPr>
            <w:tcW w:w="100" w:type="dxa"/>
            <w:vAlign w:val="bottom"/>
            <w:tcBorders>
              <w:bottom w:val="single" w:sz="8" w:color="E5E5E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218</w:t>
            </w:r>
          </w:p>
        </w:tc>
        <w:tc>
          <w:tcPr>
            <w:tcW w:w="12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409</w:t>
            </w:r>
          </w:p>
        </w:tc>
      </w:tr>
      <w:tr>
        <w:trPr>
          <w:trHeight w:val="17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Income, Net</w:t>
            </w: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212</w:t>
            </w: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146</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55</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183</w:t>
            </w:r>
          </w:p>
        </w:tc>
      </w:tr>
      <w:tr>
        <w:trPr>
          <w:trHeight w:val="194"/>
        </w:trPr>
        <w:tc>
          <w:tcPr>
            <w:tcW w:w="5160" w:type="dxa"/>
            <w:vAlign w:val="bottom"/>
            <w:gridSpan w:val="2"/>
          </w:tcPr>
          <w:p>
            <w:pPr>
              <w:ind w:left="260"/>
              <w:spacing w:after="0"/>
              <w:rPr>
                <w:sz w:val="20"/>
                <w:szCs w:val="20"/>
                <w:color w:val="auto"/>
              </w:rPr>
            </w:pPr>
            <w:r>
              <w:rPr>
                <w:rFonts w:ascii="Arial" w:cs="Arial" w:eastAsia="Arial" w:hAnsi="Arial"/>
                <w:sz w:val="10"/>
                <w:szCs w:val="10"/>
                <w:color w:val="auto"/>
              </w:rPr>
              <w:t>Less: Other comprehensive loss, net attributable to noncontrolling interests</w:t>
            </w:r>
            <w:r>
              <w:rPr>
                <w:rFonts w:ascii="Arial" w:cs="Arial" w:eastAsia="Arial" w:hAnsi="Arial"/>
                <w:sz w:val="12"/>
                <w:szCs w:val="12"/>
                <w:color w:val="auto"/>
                <w:vertAlign w:val="superscript"/>
              </w:rPr>
              <w:t>(1)</w:t>
            </w:r>
          </w:p>
        </w:tc>
        <w:tc>
          <w:tcPr>
            <w:tcW w:w="3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0"/>
                <w:szCs w:val="10"/>
                <w:color w:val="auto"/>
              </w:rPr>
              <w:t>—</w:t>
            </w:r>
          </w:p>
        </w:tc>
      </w:tr>
      <w:tr>
        <w:trPr>
          <w:trHeight w:val="170"/>
        </w:trPr>
        <w:tc>
          <w:tcPr>
            <w:tcW w:w="516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Income, Net Attributable to Xerox Holdings</w:t>
            </w:r>
          </w:p>
        </w:tc>
        <w:tc>
          <w:tcPr>
            <w:tcW w:w="360" w:type="dxa"/>
            <w:vAlign w:val="bottom"/>
            <w:tcBorders>
              <w:top w:val="single" w:sz="8" w:color="auto"/>
              <w:bottom w:val="single" w:sz="8" w:color="auto"/>
            </w:tcBorders>
            <w:shd w:val="clear" w:color="auto" w:fill="E5E5E5"/>
          </w:tcPr>
          <w:p>
            <w:pPr>
              <w:spacing w:after="0"/>
              <w:rPr>
                <w:sz w:val="14"/>
                <w:szCs w:val="14"/>
                <w:color w:val="auto"/>
              </w:rPr>
            </w:pPr>
          </w:p>
        </w:tc>
        <w:tc>
          <w:tcPr>
            <w:tcW w:w="11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213</w:t>
            </w:r>
          </w:p>
        </w:tc>
        <w:tc>
          <w:tcPr>
            <w:tcW w:w="100" w:type="dxa"/>
            <w:vAlign w:val="bottom"/>
            <w:tcBorders>
              <w:top w:val="single" w:sz="8" w:color="E5E5E5"/>
            </w:tcBorders>
            <w:shd w:val="clear" w:color="auto" w:fill="E5E5E5"/>
          </w:tcPr>
          <w:p>
            <w:pPr>
              <w:spacing w:after="0"/>
              <w:rPr>
                <w:sz w:val="14"/>
                <w:szCs w:val="14"/>
                <w:color w:val="auto"/>
              </w:rPr>
            </w:pPr>
          </w:p>
        </w:tc>
        <w:tc>
          <w:tcPr>
            <w:tcW w:w="540" w:type="dxa"/>
            <w:vAlign w:val="bottom"/>
            <w:tcBorders>
              <w:top w:val="single" w:sz="8" w:color="auto"/>
              <w:bottom w:val="single" w:sz="8" w:color="auto"/>
            </w:tcBorders>
            <w:shd w:val="clear" w:color="auto" w:fill="E5E5E5"/>
          </w:tcPr>
          <w:p>
            <w:pPr>
              <w:spacing w:after="0"/>
              <w:rPr>
                <w:sz w:val="14"/>
                <w:szCs w:val="14"/>
                <w:color w:val="auto"/>
              </w:rPr>
            </w:pPr>
          </w:p>
        </w:tc>
        <w:tc>
          <w:tcPr>
            <w:tcW w:w="96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146</w:t>
            </w:r>
          </w:p>
        </w:tc>
        <w:tc>
          <w:tcPr>
            <w:tcW w:w="120" w:type="dxa"/>
            <w:vAlign w:val="bottom"/>
            <w:tcBorders>
              <w:top w:val="single" w:sz="8" w:color="E5E5E5"/>
            </w:tcBorders>
            <w:shd w:val="clear" w:color="auto" w:fill="E5E5E5"/>
          </w:tcPr>
          <w:p>
            <w:pPr>
              <w:spacing w:after="0"/>
              <w:rPr>
                <w:sz w:val="14"/>
                <w:szCs w:val="14"/>
                <w:color w:val="auto"/>
              </w:rPr>
            </w:pPr>
          </w:p>
        </w:tc>
        <w:tc>
          <w:tcPr>
            <w:tcW w:w="360" w:type="dxa"/>
            <w:vAlign w:val="bottom"/>
            <w:tcBorders>
              <w:top w:val="single" w:sz="8" w:color="auto"/>
              <w:bottom w:val="single" w:sz="8" w:color="auto"/>
            </w:tcBorders>
            <w:shd w:val="clear" w:color="auto" w:fill="E5E5E5"/>
          </w:tcPr>
          <w:p>
            <w:pPr>
              <w:spacing w:after="0"/>
              <w:rPr>
                <w:sz w:val="14"/>
                <w:szCs w:val="14"/>
                <w:color w:val="auto"/>
              </w:rPr>
            </w:pPr>
          </w:p>
        </w:tc>
        <w:tc>
          <w:tcPr>
            <w:tcW w:w="11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55</w:t>
            </w:r>
          </w:p>
        </w:tc>
        <w:tc>
          <w:tcPr>
            <w:tcW w:w="120" w:type="dxa"/>
            <w:vAlign w:val="bottom"/>
            <w:tcBorders>
              <w:top w:val="single" w:sz="8" w:color="E5E5E5"/>
            </w:tcBorders>
            <w:shd w:val="clear" w:color="auto" w:fill="E5E5E5"/>
          </w:tcPr>
          <w:p>
            <w:pPr>
              <w:spacing w:after="0"/>
              <w:rPr>
                <w:sz w:val="14"/>
                <w:szCs w:val="14"/>
                <w:color w:val="auto"/>
              </w:rPr>
            </w:pPr>
          </w:p>
        </w:tc>
        <w:tc>
          <w:tcPr>
            <w:tcW w:w="440" w:type="dxa"/>
            <w:vAlign w:val="bottom"/>
            <w:tcBorders>
              <w:top w:val="single" w:sz="8" w:color="auto"/>
              <w:bottom w:val="single" w:sz="8" w:color="auto"/>
            </w:tcBorders>
            <w:shd w:val="clear" w:color="auto" w:fill="E5E5E5"/>
          </w:tcPr>
          <w:p>
            <w:pPr>
              <w:spacing w:after="0"/>
              <w:rPr>
                <w:sz w:val="14"/>
                <w:szCs w:val="14"/>
                <w:color w:val="auto"/>
              </w:rPr>
            </w:pPr>
          </w:p>
        </w:tc>
        <w:tc>
          <w:tcPr>
            <w:tcW w:w="10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183</w:t>
            </w:r>
          </w:p>
        </w:tc>
      </w:tr>
      <w:tr>
        <w:trPr>
          <w:trHeight w:val="169"/>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Comprehensive Income, Net</w:t>
            </w: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1,031</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287</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1,416</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557</w:t>
            </w:r>
          </w:p>
        </w:tc>
      </w:tr>
      <w:tr>
        <w:trPr>
          <w:trHeight w:val="194"/>
        </w:trPr>
        <w:tc>
          <w:tcPr>
            <w:tcW w:w="5160" w:type="dxa"/>
            <w:vAlign w:val="bottom"/>
            <w:gridSpan w:val="2"/>
          </w:tcPr>
          <w:p>
            <w:pPr>
              <w:ind w:left="260"/>
              <w:spacing w:after="0"/>
              <w:rPr>
                <w:sz w:val="20"/>
                <w:szCs w:val="20"/>
                <w:color w:val="auto"/>
              </w:rPr>
            </w:pPr>
            <w:r>
              <w:rPr>
                <w:rFonts w:ascii="Arial" w:cs="Arial" w:eastAsia="Arial" w:hAnsi="Arial"/>
                <w:sz w:val="10"/>
                <w:szCs w:val="10"/>
                <w:color w:val="auto"/>
              </w:rPr>
              <w:t>Less: Comprehensive income from continuing operations, net attributable to noncontrolling interests</w:t>
            </w:r>
            <w:r>
              <w:rPr>
                <w:rFonts w:ascii="Arial" w:cs="Arial" w:eastAsia="Arial" w:hAnsi="Arial"/>
                <w:sz w:val="12"/>
                <w:szCs w:val="12"/>
                <w:color w:val="auto"/>
                <w:vertAlign w:val="superscript"/>
              </w:rPr>
              <w:t>(1)</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0"/>
                <w:szCs w:val="10"/>
                <w:color w:val="auto"/>
              </w:rPr>
              <w:t>13</w:t>
            </w:r>
          </w:p>
        </w:tc>
      </w:tr>
      <w:tr>
        <w:trPr>
          <w:trHeight w:val="185"/>
        </w:trPr>
        <w:tc>
          <w:tcPr>
            <w:tcW w:w="516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Comprehensive Income, Net Attributable to Xerox Holdings</w:t>
            </w:r>
          </w:p>
        </w:tc>
        <w:tc>
          <w:tcPr>
            <w:tcW w:w="360" w:type="dxa"/>
            <w:vAlign w:val="bottom"/>
            <w:tcBorders>
              <w:top w:val="single" w:sz="8" w:color="auto"/>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1,031</w:t>
            </w:r>
          </w:p>
        </w:tc>
        <w:tc>
          <w:tcPr>
            <w:tcW w:w="100" w:type="dxa"/>
            <w:vAlign w:val="bottom"/>
            <w:tcBorders>
              <w:top w:val="single" w:sz="8" w:color="E5E5E5"/>
              <w:bottom w:val="single" w:sz="8" w:color="E5E5E5"/>
            </w:tcBorders>
            <w:shd w:val="clear" w:color="auto" w:fill="E5E5E5"/>
          </w:tcPr>
          <w:p>
            <w:pPr>
              <w:spacing w:after="0"/>
              <w:rPr>
                <w:sz w:val="16"/>
                <w:szCs w:val="16"/>
                <w:color w:val="auto"/>
              </w:rPr>
            </w:pPr>
          </w:p>
        </w:tc>
        <w:tc>
          <w:tcPr>
            <w:tcW w:w="540" w:type="dxa"/>
            <w:vAlign w:val="bottom"/>
            <w:tcBorders>
              <w:top w:val="single" w:sz="8" w:color="auto"/>
              <w:bottom w:val="single" w:sz="8" w:color="auto"/>
            </w:tcBorders>
            <w:shd w:val="clear" w:color="auto" w:fill="E5E5E5"/>
          </w:tcPr>
          <w:p>
            <w:pPr>
              <w:jc w:val="right"/>
              <w:ind w:right="408"/>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283</w:t>
            </w:r>
          </w:p>
        </w:tc>
        <w:tc>
          <w:tcPr>
            <w:tcW w:w="120" w:type="dxa"/>
            <w:vAlign w:val="bottom"/>
            <w:tcBorders>
              <w:top w:val="single" w:sz="8" w:color="E5E5E5"/>
              <w:bottom w:val="single" w:sz="8" w:color="E5E5E5"/>
            </w:tcBorders>
            <w:shd w:val="clear" w:color="auto" w:fill="E5E5E5"/>
          </w:tcPr>
          <w:p>
            <w:pPr>
              <w:spacing w:after="0"/>
              <w:rPr>
                <w:sz w:val="16"/>
                <w:szCs w:val="16"/>
                <w:color w:val="auto"/>
              </w:rPr>
            </w:pPr>
          </w:p>
        </w:tc>
        <w:tc>
          <w:tcPr>
            <w:tcW w:w="360" w:type="dxa"/>
            <w:vAlign w:val="bottom"/>
            <w:tcBorders>
              <w:top w:val="single" w:sz="8" w:color="auto"/>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1,408</w:t>
            </w:r>
          </w:p>
        </w:tc>
        <w:tc>
          <w:tcPr>
            <w:tcW w:w="120" w:type="dxa"/>
            <w:vAlign w:val="bottom"/>
            <w:tcBorders>
              <w:top w:val="single" w:sz="8" w:color="E5E5E5"/>
              <w:bottom w:val="single" w:sz="8" w:color="E5E5E5"/>
            </w:tcBorders>
            <w:shd w:val="clear" w:color="auto" w:fill="E5E5E5"/>
          </w:tcPr>
          <w:p>
            <w:pPr>
              <w:spacing w:after="0"/>
              <w:rPr>
                <w:sz w:val="16"/>
                <w:szCs w:val="16"/>
                <w:color w:val="auto"/>
              </w:rPr>
            </w:pPr>
          </w:p>
        </w:tc>
        <w:tc>
          <w:tcPr>
            <w:tcW w:w="440" w:type="dxa"/>
            <w:vAlign w:val="bottom"/>
            <w:tcBorders>
              <w:top w:val="single" w:sz="8" w:color="auto"/>
              <w:bottom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10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544</w:t>
            </w:r>
          </w:p>
        </w:tc>
      </w:tr>
      <w:tr>
        <w:trPr>
          <w:trHeight w:val="93"/>
        </w:trPr>
        <w:tc>
          <w:tcPr>
            <w:tcW w:w="5040" w:type="dxa"/>
            <w:vAlign w:val="bottom"/>
          </w:tcPr>
          <w:p>
            <w:pPr>
              <w:spacing w:after="0" w:line="93" w:lineRule="exact"/>
              <w:rPr>
                <w:sz w:val="20"/>
                <w:szCs w:val="20"/>
                <w:color w:val="auto"/>
              </w:rPr>
            </w:pPr>
            <w:r>
              <w:rPr>
                <w:rFonts w:ascii="Arial" w:cs="Arial" w:eastAsia="Arial" w:hAnsi="Arial"/>
                <w:sz w:val="9"/>
                <w:szCs w:val="9"/>
                <w:i w:val="1"/>
                <w:iCs w:val="1"/>
                <w:color w:val="auto"/>
              </w:rPr>
              <w:t>___________________________</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46"/>
        </w:trPr>
        <w:tc>
          <w:tcPr>
            <w:tcW w:w="5160" w:type="dxa"/>
            <w:vAlign w:val="bottom"/>
            <w:gridSpan w:val="2"/>
          </w:tcPr>
          <w:p>
            <w:pPr>
              <w:spacing w:after="0"/>
              <w:rPr>
                <w:sz w:val="20"/>
                <w:szCs w:val="20"/>
                <w:color w:val="auto"/>
              </w:rPr>
            </w:pPr>
            <w:r>
              <w:rPr>
                <w:rFonts w:ascii="Arial" w:cs="Arial" w:eastAsia="Arial" w:hAnsi="Arial"/>
                <w:sz w:val="6"/>
                <w:szCs w:val="6"/>
                <w:i w:val="1"/>
                <w:iCs w:val="1"/>
                <w:color w:val="auto"/>
              </w:rPr>
              <w:t xml:space="preserve">(1) </w:t>
            </w:r>
            <w:r>
              <w:rPr>
                <w:rFonts w:ascii="Arial" w:cs="Arial" w:eastAsia="Arial" w:hAnsi="Arial"/>
                <w:sz w:val="9"/>
                <w:szCs w:val="9"/>
                <w:i w:val="1"/>
                <w:iCs w:val="1"/>
                <w:color w:val="auto"/>
              </w:rPr>
              <w:t>Includes continuing and discontinued operations.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40"/>
          </w:cols>
          <w:pgMar w:left="220" w:top="482" w:right="2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DA2031"/>
        </w:rPr>
        <w:t>XEROX HOLDINGS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DA2031"/>
        </w:rPr>
        <w:t>CONDENSED CONSOLIDATED BALANCE SHEETS (UNAUDITED)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share data in thousands)</w:t>
            </w:r>
          </w:p>
        </w:tc>
        <w:tc>
          <w:tcPr>
            <w:tcW w:w="120" w:type="dxa"/>
            <w:vAlign w:val="bottom"/>
            <w:tcBorders>
              <w:bottom w:val="single" w:sz="8" w:color="E5E5E5"/>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rPr>
              <w:t>December 31, 2018</w:t>
            </w:r>
          </w:p>
        </w:tc>
      </w:tr>
      <w:tr>
        <w:trPr>
          <w:trHeight w:val="168"/>
        </w:trPr>
        <w:tc>
          <w:tcPr>
            <w:tcW w:w="79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Assets</w:t>
            </w:r>
          </w:p>
        </w:tc>
        <w:tc>
          <w:tcPr>
            <w:tcW w:w="240" w:type="dxa"/>
            <w:vAlign w:val="bottom"/>
            <w:tcBorders>
              <w:bottom w:val="single" w:sz="8" w:color="E5E5E5"/>
            </w:tcBorders>
            <w:shd w:val="clear" w:color="auto" w:fill="E5E5E5"/>
          </w:tcPr>
          <w:p>
            <w:pPr>
              <w:spacing w:after="0"/>
              <w:rPr>
                <w:sz w:val="14"/>
                <w:szCs w:val="14"/>
                <w:color w:val="auto"/>
              </w:rPr>
            </w:pPr>
          </w:p>
        </w:tc>
        <w:tc>
          <w:tcPr>
            <w:tcW w:w="1500" w:type="dxa"/>
            <w:vAlign w:val="bottom"/>
            <w:tcBorders>
              <w:bottom w:val="single" w:sz="8" w:color="E5E5E5"/>
            </w:tcBorders>
            <w:shd w:val="clear" w:color="auto" w:fill="E5E5E5"/>
          </w:tcPr>
          <w:p>
            <w:pPr>
              <w:spacing w:after="0"/>
              <w:rPr>
                <w:sz w:val="14"/>
                <w:szCs w:val="14"/>
                <w:color w:val="auto"/>
              </w:rPr>
            </w:pPr>
          </w:p>
        </w:tc>
        <w:tc>
          <w:tcPr>
            <w:tcW w:w="120" w:type="dxa"/>
            <w:vAlign w:val="bottom"/>
            <w:tcBorders>
              <w:bottom w:val="single" w:sz="8" w:color="E5E5E5"/>
            </w:tcBorders>
            <w:shd w:val="clear" w:color="auto" w:fill="E5E5E5"/>
          </w:tcPr>
          <w:p>
            <w:pPr>
              <w:spacing w:after="0"/>
              <w:rPr>
                <w:sz w:val="14"/>
                <w:szCs w:val="14"/>
                <w:color w:val="auto"/>
              </w:rPr>
            </w:pPr>
          </w:p>
        </w:tc>
        <w:tc>
          <w:tcPr>
            <w:tcW w:w="220" w:type="dxa"/>
            <w:vAlign w:val="bottom"/>
            <w:tcBorders>
              <w:bottom w:val="single" w:sz="8" w:color="E5E5E5"/>
            </w:tcBorders>
            <w:shd w:val="clear" w:color="auto" w:fill="E5E5E5"/>
          </w:tcPr>
          <w:p>
            <w:pPr>
              <w:spacing w:after="0"/>
              <w:rPr>
                <w:sz w:val="14"/>
                <w:szCs w:val="14"/>
                <w:color w:val="auto"/>
              </w:rPr>
            </w:pPr>
          </w:p>
        </w:tc>
        <w:tc>
          <w:tcPr>
            <w:tcW w:w="1480" w:type="dxa"/>
            <w:vAlign w:val="bottom"/>
            <w:tcBorders>
              <w:bottom w:val="single" w:sz="8" w:color="E5E5E5"/>
            </w:tcBorders>
            <w:shd w:val="clear" w:color="auto" w:fill="E5E5E5"/>
          </w:tcPr>
          <w:p>
            <w:pPr>
              <w:spacing w:after="0"/>
              <w:rPr>
                <w:sz w:val="14"/>
                <w:szCs w:val="14"/>
                <w:color w:val="auto"/>
              </w:rPr>
            </w:pP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Cash and cash equivalents</w:t>
            </w:r>
          </w:p>
        </w:tc>
        <w:tc>
          <w:tcPr>
            <w:tcW w:w="2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2,740</w:t>
            </w:r>
          </w:p>
        </w:tc>
        <w:tc>
          <w:tcPr>
            <w:tcW w:w="120" w:type="dxa"/>
            <w:vAlign w:val="bottom"/>
          </w:tcPr>
          <w:p>
            <w:pPr>
              <w:spacing w:after="0"/>
              <w:rPr>
                <w:sz w:val="16"/>
                <w:szCs w:val="16"/>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1,081</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Accounts receivable, net</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1,236</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1,270</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Billed portion of finance receivables, net</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105</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Finance receivables, net</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1,158</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1,218</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Inventories</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694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829</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Assets of discontinued operations</w:t>
            </w:r>
          </w:p>
        </w:tc>
        <w:tc>
          <w:tcPr>
            <w:tcW w:w="240" w:type="dxa"/>
            <w:vAlign w:val="bottom"/>
            <w:shd w:val="clear" w:color="auto" w:fill="E5E5E5"/>
          </w:tcPr>
          <w:p>
            <w:pPr>
              <w:spacing w:after="0"/>
              <w:rPr>
                <w:sz w:val="17"/>
                <w:szCs w:val="17"/>
                <w:color w:val="auto"/>
              </w:rPr>
            </w:pPr>
          </w:p>
        </w:tc>
        <w:tc>
          <w:tcPr>
            <w:tcW w:w="162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19</w:t>
            </w:r>
          </w:p>
        </w:tc>
      </w:tr>
      <w:tr>
        <w:trPr>
          <w:trHeight w:val="190"/>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current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201</w:t>
            </w: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191</w:t>
            </w:r>
          </w:p>
        </w:tc>
      </w:tr>
      <w:tr>
        <w:trPr>
          <w:trHeight w:val="179"/>
        </w:trPr>
        <w:tc>
          <w:tcPr>
            <w:tcW w:w="792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Total current assets</w:t>
            </w:r>
          </w:p>
        </w:tc>
        <w:tc>
          <w:tcPr>
            <w:tcW w:w="24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6,140</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4,713</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Finance receivables due after one year, net</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2,082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2,149</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Equipment on operating leases, net</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364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442</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Land, buildings and equipment, net</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426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498</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Intangible assets, net</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199</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220</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Goodwill</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3,900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3,858</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Deferred tax assets</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596</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740</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Assets of discontinued operations</w:t>
            </w:r>
          </w:p>
        </w:tc>
        <w:tc>
          <w:tcPr>
            <w:tcW w:w="240" w:type="dxa"/>
            <w:vAlign w:val="bottom"/>
          </w:tcPr>
          <w:p>
            <w:pPr>
              <w:spacing w:after="0"/>
              <w:rPr>
                <w:sz w:val="16"/>
                <w:szCs w:val="16"/>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1,352</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assets</w:t>
            </w:r>
          </w:p>
        </w:tc>
        <w:tc>
          <w:tcPr>
            <w:tcW w:w="24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1,349</w:t>
            </w:r>
          </w:p>
        </w:tc>
        <w:tc>
          <w:tcPr>
            <w:tcW w:w="12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902</w:t>
            </w:r>
          </w:p>
        </w:tc>
      </w:tr>
      <w:tr>
        <w:trPr>
          <w:trHeight w:val="174"/>
        </w:trPr>
        <w:tc>
          <w:tcPr>
            <w:tcW w:w="792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b w:val="1"/>
                <w:bCs w:val="1"/>
                <w:color w:val="auto"/>
              </w:rPr>
              <w:t>Total Assets</w:t>
            </w:r>
          </w:p>
        </w:tc>
        <w:tc>
          <w:tcPr>
            <w:tcW w:w="24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15,056</w:t>
            </w:r>
          </w:p>
        </w:tc>
        <w:tc>
          <w:tcPr>
            <w:tcW w:w="1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14,874</w:t>
            </w:r>
          </w:p>
        </w:tc>
      </w:tr>
      <w:tr>
        <w:trPr>
          <w:trHeight w:val="194"/>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2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80" w:type="dxa"/>
            <w:vAlign w:val="bottom"/>
            <w:shd w:val="clear" w:color="auto" w:fill="E5E5E5"/>
          </w:tcPr>
          <w:p>
            <w:pPr>
              <w:spacing w:after="0"/>
              <w:rPr>
                <w:sz w:val="16"/>
                <w:szCs w:val="16"/>
                <w:color w:val="auto"/>
              </w:rPr>
            </w:pP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Short-term debt and current portion of long-term debt</w:t>
            </w:r>
          </w:p>
        </w:tc>
        <w:tc>
          <w:tcPr>
            <w:tcW w:w="2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1,049</w:t>
            </w:r>
          </w:p>
        </w:tc>
        <w:tc>
          <w:tcPr>
            <w:tcW w:w="120" w:type="dxa"/>
            <w:vAlign w:val="bottom"/>
          </w:tcPr>
          <w:p>
            <w:pPr>
              <w:spacing w:after="0"/>
              <w:rPr>
                <w:sz w:val="16"/>
                <w:szCs w:val="16"/>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961</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Accounts payable</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1,053</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1,073</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Accrued compensation and benefits costs</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349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348</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Liabilities of discontinued operations</w:t>
            </w:r>
          </w:p>
        </w:tc>
        <w:tc>
          <w:tcPr>
            <w:tcW w:w="240" w:type="dxa"/>
            <w:vAlign w:val="bottom"/>
            <w:shd w:val="clear" w:color="auto" w:fill="E5E5E5"/>
          </w:tcPr>
          <w:p>
            <w:pPr>
              <w:spacing w:after="0"/>
              <w:rPr>
                <w:sz w:val="17"/>
                <w:szCs w:val="17"/>
                <w:color w:val="auto"/>
              </w:rPr>
            </w:pPr>
          </w:p>
        </w:tc>
        <w:tc>
          <w:tcPr>
            <w:tcW w:w="162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21</w:t>
            </w:r>
          </w:p>
        </w:tc>
      </w:tr>
      <w:tr>
        <w:trPr>
          <w:trHeight w:val="190"/>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Accrued expenses and other current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984</w:t>
            </w: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848</w:t>
            </w:r>
          </w:p>
        </w:tc>
      </w:tr>
      <w:tr>
        <w:trPr>
          <w:trHeight w:val="179"/>
        </w:trPr>
        <w:tc>
          <w:tcPr>
            <w:tcW w:w="792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Total current liabilities</w:t>
            </w:r>
          </w:p>
        </w:tc>
        <w:tc>
          <w:tcPr>
            <w:tcW w:w="24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3,435</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3,251</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Long-term debt</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3,233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4,269</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Pension and other benefit liabilities</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1,707</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1,482</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Post-retirement medical benefits</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352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350</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liabilities</w:t>
            </w:r>
          </w:p>
        </w:tc>
        <w:tc>
          <w:tcPr>
            <w:tcW w:w="24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512</w:t>
            </w:r>
          </w:p>
        </w:tc>
        <w:tc>
          <w:tcPr>
            <w:tcW w:w="12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269</w:t>
            </w:r>
          </w:p>
        </w:tc>
      </w:tr>
      <w:tr>
        <w:trPr>
          <w:trHeight w:val="170"/>
        </w:trPr>
        <w:tc>
          <w:tcPr>
            <w:tcW w:w="792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9,239</w:t>
            </w:r>
          </w:p>
        </w:tc>
        <w:tc>
          <w:tcPr>
            <w:tcW w:w="120" w:type="dxa"/>
            <w:vAlign w:val="bottom"/>
            <w:tcBorders>
              <w:bottom w:val="single" w:sz="8" w:color="E5E5E5"/>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9,621</w:t>
            </w:r>
          </w:p>
        </w:tc>
      </w:tr>
      <w:tr>
        <w:trPr>
          <w:trHeight w:val="198"/>
        </w:trPr>
        <w:tc>
          <w:tcPr>
            <w:tcW w:w="78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r>
      <w:tr>
        <w:trPr>
          <w:trHeight w:val="190"/>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Convertible Preferred Stock</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214</w:t>
            </w: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214</w:t>
            </w:r>
          </w:p>
        </w:tc>
      </w:tr>
      <w:tr>
        <w:trPr>
          <w:trHeight w:val="198"/>
        </w:trPr>
        <w:tc>
          <w:tcPr>
            <w:tcW w:w="78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Common stock</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215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232</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Additional paid-in capital</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2,782</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3,321</w:t>
            </w: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Treasury stock, at cost</w:t>
            </w:r>
          </w:p>
        </w:tc>
        <w:tc>
          <w:tcPr>
            <w:tcW w:w="24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0"/>
                <w:szCs w:val="10"/>
                <w:color w:val="auto"/>
              </w:rPr>
              <w:t>(76)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8"/>
              <w:spacing w:after="0"/>
              <w:rPr>
                <w:sz w:val="20"/>
                <w:szCs w:val="20"/>
                <w:color w:val="auto"/>
              </w:rPr>
            </w:pPr>
            <w:r>
              <w:rPr>
                <w:rFonts w:ascii="Arial" w:cs="Arial" w:eastAsia="Arial" w:hAnsi="Arial"/>
                <w:sz w:val="10"/>
                <w:szCs w:val="10"/>
                <w:color w:val="auto"/>
              </w:rPr>
              <w:t>(55)</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Retained earnings</w:t>
            </w: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6,312</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5,072</w:t>
            </w:r>
          </w:p>
        </w:tc>
      </w:tr>
      <w:tr>
        <w:trPr>
          <w:trHeight w:val="190"/>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Accumulated other comprehensive loss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(3,637)</w:t>
            </w: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(3,565)</w:t>
            </w:r>
          </w:p>
        </w:tc>
      </w:tr>
      <w:tr>
        <w:trPr>
          <w:trHeight w:val="179"/>
        </w:trPr>
        <w:tc>
          <w:tcPr>
            <w:tcW w:w="792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Xerox Holdings shareholders’ equity</w:t>
            </w:r>
          </w:p>
        </w:tc>
        <w:tc>
          <w:tcPr>
            <w:tcW w:w="24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5,596</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5,005</w:t>
            </w:r>
          </w:p>
        </w:tc>
      </w:tr>
      <w:tr>
        <w:trPr>
          <w:trHeight w:val="190"/>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Noncontrolling interests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7</w:t>
            </w: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34</w:t>
            </w:r>
          </w:p>
        </w:tc>
      </w:tr>
      <w:tr>
        <w:trPr>
          <w:trHeight w:val="179"/>
        </w:trPr>
        <w:tc>
          <w:tcPr>
            <w:tcW w:w="7920" w:type="dxa"/>
            <w:vAlign w:val="bottom"/>
            <w:gridSpan w:val="2"/>
            <w:shd w:val="clear" w:color="auto" w:fill="E5E5E5"/>
          </w:tcPr>
          <w:p>
            <w:pPr>
              <w:ind w:left="260"/>
              <w:spacing w:after="0"/>
              <w:rPr>
                <w:sz w:val="20"/>
                <w:szCs w:val="20"/>
                <w:color w:val="auto"/>
              </w:rPr>
            </w:pPr>
            <w:r>
              <w:rPr>
                <w:rFonts w:ascii="Arial" w:cs="Arial" w:eastAsia="Arial" w:hAnsi="Arial"/>
                <w:sz w:val="10"/>
                <w:szCs w:val="10"/>
                <w:b w:val="1"/>
                <w:bCs w:val="1"/>
                <w:color w:val="auto"/>
              </w:rPr>
              <w:t>Total Equity</w:t>
            </w:r>
          </w:p>
        </w:tc>
        <w:tc>
          <w:tcPr>
            <w:tcW w:w="240" w:type="dxa"/>
            <w:vAlign w:val="bottom"/>
            <w:tcBorders>
              <w:bottom w:val="single" w:sz="8" w:color="auto"/>
            </w:tcBorders>
            <w:shd w:val="clear" w:color="auto" w:fill="E5E5E5"/>
          </w:tcPr>
          <w:p>
            <w:pPr>
              <w:spacing w:after="0"/>
              <w:rPr>
                <w:sz w:val="15"/>
                <w:szCs w:val="15"/>
                <w:color w:val="auto"/>
              </w:rPr>
            </w:pP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5,603</w:t>
            </w:r>
          </w:p>
        </w:tc>
        <w:tc>
          <w:tcPr>
            <w:tcW w:w="120" w:type="dxa"/>
            <w:vAlign w:val="bottom"/>
            <w:shd w:val="clear" w:color="auto" w:fill="E5E5E5"/>
          </w:tcPr>
          <w:p>
            <w:pPr>
              <w:spacing w:after="0"/>
              <w:rPr>
                <w:sz w:val="15"/>
                <w:szCs w:val="15"/>
                <w:color w:val="auto"/>
              </w:rPr>
            </w:pPr>
          </w:p>
        </w:tc>
        <w:tc>
          <w:tcPr>
            <w:tcW w:w="220" w:type="dxa"/>
            <w:vAlign w:val="bottom"/>
            <w:tcBorders>
              <w:bottom w:val="single" w:sz="8" w:color="auto"/>
            </w:tcBorders>
            <w:shd w:val="clear" w:color="auto" w:fill="E5E5E5"/>
          </w:tcPr>
          <w:p>
            <w:pPr>
              <w:spacing w:after="0"/>
              <w:rPr>
                <w:sz w:val="15"/>
                <w:szCs w:val="15"/>
                <w:color w:val="auto"/>
              </w:rPr>
            </w:pP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5,039</w:t>
            </w:r>
          </w:p>
        </w:tc>
      </w:tr>
      <w:tr>
        <w:trPr>
          <w:trHeight w:val="174"/>
        </w:trPr>
        <w:tc>
          <w:tcPr>
            <w:tcW w:w="792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b w:val="1"/>
                <w:bCs w:val="1"/>
                <w:color w:val="auto"/>
              </w:rPr>
              <w:t>Total Liabilities and Equity</w:t>
            </w:r>
          </w:p>
        </w:tc>
        <w:tc>
          <w:tcPr>
            <w:tcW w:w="24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15,056</w:t>
            </w:r>
          </w:p>
        </w:tc>
        <w:tc>
          <w:tcPr>
            <w:tcW w:w="1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14,874</w:t>
            </w:r>
          </w:p>
        </w:tc>
      </w:tr>
      <w:tr>
        <w:trPr>
          <w:trHeight w:val="204"/>
        </w:trPr>
        <w:tc>
          <w:tcPr>
            <w:tcW w:w="78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r>
      <w:tr>
        <w:trPr>
          <w:trHeight w:val="190"/>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Shares of common stock issued</w:t>
            </w:r>
          </w:p>
        </w:tc>
        <w:tc>
          <w:tcPr>
            <w:tcW w:w="24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Arial" w:cs="Arial" w:eastAsia="Arial" w:hAnsi="Arial"/>
                <w:sz w:val="10"/>
                <w:szCs w:val="10"/>
                <w:color w:val="auto"/>
              </w:rPr>
              <w:t>214,621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231,690</w:t>
            </w:r>
          </w:p>
        </w:tc>
      </w:tr>
      <w:tr>
        <w:trPr>
          <w:trHeight w:val="199"/>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Treasury stock</w:t>
            </w:r>
          </w:p>
        </w:tc>
        <w:tc>
          <w:tcPr>
            <w:tcW w:w="24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(2,031)</w:t>
            </w:r>
          </w:p>
        </w:tc>
        <w:tc>
          <w:tcPr>
            <w:tcW w:w="12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4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(2,067)</w:t>
            </w:r>
          </w:p>
        </w:tc>
      </w:tr>
      <w:tr>
        <w:trPr>
          <w:trHeight w:val="174"/>
        </w:trPr>
        <w:tc>
          <w:tcPr>
            <w:tcW w:w="79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 of Common Stock Outstanding</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212,590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229,623</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80"/>
          </w:cols>
          <w:pgMar w:left="220" w:top="317" w:right="199" w:bottom="1440" w:gutter="0" w:footer="0" w:header="0"/>
        </w:sectPr>
      </w:pPr>
    </w:p>
    <w:bookmarkStart w:id="13" w:name="page14"/>
    <w:bookmarkEnd w:id="13"/>
    <w:p>
      <w:pPr>
        <w:ind w:left="2"/>
        <w:spacing w:after="0"/>
        <w:rPr>
          <w:sz w:val="20"/>
          <w:szCs w:val="20"/>
          <w:color w:val="auto"/>
        </w:rPr>
      </w:pPr>
      <w:r>
        <w:rPr>
          <w:rFonts w:ascii="Arial" w:cs="Arial" w:eastAsia="Arial" w:hAnsi="Arial"/>
          <w:sz w:val="13"/>
          <w:szCs w:val="13"/>
          <w:b w:val="1"/>
          <w:bCs w:val="1"/>
          <w:color w:val="DA2031"/>
        </w:rPr>
        <w:t>XEROX HOLDINGS CORPORATION</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DA2031"/>
        </w:rPr>
        <w:t>CONDENSED CONSOLIDATED STATEMENTS OF CASH FLOWS (UNAUDITED)</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jc w:val="right"/>
              <w:ind w:right="268"/>
              <w:spacing w:after="0"/>
              <w:rPr>
                <w:sz w:val="20"/>
                <w:szCs w:val="20"/>
                <w:color w:val="auto"/>
              </w:rPr>
            </w:pPr>
            <w:r>
              <w:rPr>
                <w:rFonts w:ascii="Arial" w:cs="Arial" w:eastAsia="Arial" w:hAnsi="Arial"/>
                <w:sz w:val="10"/>
                <w:szCs w:val="10"/>
                <w:color w:val="auto"/>
              </w:rPr>
              <w:t>Three Months Ended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3"/>
          </w:tcPr>
          <w:p>
            <w:pPr>
              <w:jc w:val="right"/>
              <w:ind w:right="108"/>
              <w:spacing w:after="0"/>
              <w:rPr>
                <w:sz w:val="20"/>
                <w:szCs w:val="20"/>
                <w:color w:val="auto"/>
              </w:rPr>
            </w:pPr>
            <w:r>
              <w:rPr>
                <w:rFonts w:ascii="Arial" w:cs="Arial" w:eastAsia="Arial" w:hAnsi="Arial"/>
                <w:sz w:val="10"/>
                <w:szCs w:val="10"/>
                <w:color w:val="auto"/>
              </w:rPr>
              <w:t>Year Ended</w:t>
            </w:r>
          </w:p>
        </w:tc>
        <w:tc>
          <w:tcPr>
            <w:tcW w:w="780" w:type="dxa"/>
            <w:vAlign w:val="bottom"/>
          </w:tcPr>
          <w:p>
            <w:pPr>
              <w:spacing w:after="0"/>
              <w:rPr>
                <w:sz w:val="10"/>
                <w:szCs w:val="10"/>
                <w:color w:val="auto"/>
              </w:rPr>
            </w:pPr>
          </w:p>
        </w:tc>
      </w:tr>
      <w:tr>
        <w:trPr>
          <w:trHeight w:val="128"/>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0"/>
                <w:szCs w:val="10"/>
                <w:color w:val="auto"/>
              </w:rPr>
              <w:t>December 31,</w:t>
            </w: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December 31,</w:t>
            </w:r>
          </w:p>
        </w:tc>
        <w:tc>
          <w:tcPr>
            <w:tcW w:w="780" w:type="dxa"/>
            <w:vAlign w:val="bottom"/>
            <w:tcBorders>
              <w:bottom w:val="single" w:sz="8" w:color="auto"/>
            </w:tcBorders>
          </w:tcPr>
          <w:p>
            <w:pPr>
              <w:spacing w:after="0"/>
              <w:rPr>
                <w:sz w:val="11"/>
                <w:szCs w:val="11"/>
                <w:color w:val="auto"/>
              </w:rPr>
            </w:pPr>
          </w:p>
        </w:tc>
      </w:tr>
      <w:tr>
        <w:trPr>
          <w:trHeight w:val="184"/>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2018</w:t>
            </w:r>
          </w:p>
        </w:tc>
      </w:tr>
      <w:tr>
        <w:trPr>
          <w:trHeight w:val="188"/>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7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90"/>
        </w:trPr>
        <w:tc>
          <w:tcPr>
            <w:tcW w:w="654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20" w:type="dxa"/>
            <w:vAlign w:val="bottom"/>
          </w:tcPr>
          <w:p>
            <w:pPr>
              <w:jc w:val="right"/>
              <w:ind w:right="588"/>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819</w:t>
            </w:r>
          </w:p>
        </w:tc>
        <w:tc>
          <w:tcPr>
            <w:tcW w:w="120" w:type="dxa"/>
            <w:vAlign w:val="bottom"/>
          </w:tcPr>
          <w:p>
            <w:pPr>
              <w:spacing w:after="0"/>
              <w:rPr>
                <w:sz w:val="16"/>
                <w:szCs w:val="16"/>
                <w:color w:val="auto"/>
              </w:rPr>
            </w:pPr>
          </w:p>
        </w:tc>
        <w:tc>
          <w:tcPr>
            <w:tcW w:w="740" w:type="dxa"/>
            <w:vAlign w:val="bottom"/>
          </w:tcPr>
          <w:p>
            <w:pPr>
              <w:jc w:val="right"/>
              <w:ind w:right="608"/>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141</w:t>
            </w:r>
          </w:p>
        </w:tc>
        <w:tc>
          <w:tcPr>
            <w:tcW w:w="120" w:type="dxa"/>
            <w:vAlign w:val="bottom"/>
          </w:tcPr>
          <w:p>
            <w:pPr>
              <w:spacing w:after="0"/>
              <w:rPr>
                <w:sz w:val="16"/>
                <w:szCs w:val="16"/>
                <w:color w:val="auto"/>
              </w:rPr>
            </w:pP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1,361</w:t>
            </w:r>
          </w:p>
        </w:tc>
        <w:tc>
          <w:tcPr>
            <w:tcW w:w="100" w:type="dxa"/>
            <w:vAlign w:val="bottom"/>
          </w:tcPr>
          <w:p>
            <w:pPr>
              <w:spacing w:after="0"/>
              <w:rPr>
                <w:sz w:val="16"/>
                <w:szCs w:val="16"/>
                <w:color w:val="auto"/>
              </w:rPr>
            </w:pPr>
          </w:p>
        </w:tc>
        <w:tc>
          <w:tcPr>
            <w:tcW w:w="36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374</w:t>
            </w:r>
          </w:p>
        </w:tc>
      </w:tr>
      <w:tr>
        <w:trPr>
          <w:trHeight w:val="194"/>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Income from discontinued operations, net of tax</w:t>
            </w:r>
          </w:p>
        </w:tc>
        <w:tc>
          <w:tcPr>
            <w:tcW w:w="720" w:type="dxa"/>
            <w:vAlign w:val="bottom"/>
            <w:tcBorders>
              <w:bottom w:val="single" w:sz="8" w:color="auto"/>
            </w:tcBorders>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(553)</w:t>
            </w:r>
          </w:p>
        </w:tc>
        <w:tc>
          <w:tcPr>
            <w:tcW w:w="120" w:type="dxa"/>
            <w:vAlign w:val="bottom"/>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(49)</w:t>
            </w:r>
          </w:p>
        </w:tc>
        <w:tc>
          <w:tcPr>
            <w:tcW w:w="120" w:type="dxa"/>
            <w:vAlign w:val="bottom"/>
            <w:shd w:val="clear" w:color="auto" w:fill="E5E5E5"/>
          </w:tcPr>
          <w:p>
            <w:pPr>
              <w:spacing w:after="0"/>
              <w:rPr>
                <w:sz w:val="16"/>
                <w:szCs w:val="16"/>
                <w:color w:val="auto"/>
              </w:rPr>
            </w:pPr>
          </w:p>
        </w:tc>
        <w:tc>
          <w:tcPr>
            <w:tcW w:w="700" w:type="dxa"/>
            <w:vAlign w:val="bottom"/>
            <w:tcBorders>
              <w:bottom w:val="single" w:sz="8" w:color="auto"/>
            </w:tcBorders>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(710)</w:t>
            </w:r>
          </w:p>
        </w:tc>
        <w:tc>
          <w:tcPr>
            <w:tcW w:w="100" w:type="dxa"/>
            <w:vAlign w:val="bottom"/>
            <w:shd w:val="clear" w:color="auto" w:fill="E5E5E5"/>
          </w:tcPr>
          <w:p>
            <w:pPr>
              <w:spacing w:after="0"/>
              <w:rPr>
                <w:sz w:val="16"/>
                <w:szCs w:val="16"/>
                <w:color w:val="auto"/>
              </w:rPr>
            </w:pPr>
          </w:p>
        </w:tc>
        <w:tc>
          <w:tcPr>
            <w:tcW w:w="360" w:type="dxa"/>
            <w:vAlign w:val="bottom"/>
            <w:tcBorders>
              <w:bottom w:val="single" w:sz="8" w:color="auto"/>
            </w:tcBorders>
            <w:shd w:val="clear" w:color="auto" w:fill="E5E5E5"/>
          </w:tcPr>
          <w:p>
            <w:pPr>
              <w:spacing w:after="0"/>
              <w:rPr>
                <w:sz w:val="16"/>
                <w:szCs w:val="16"/>
                <w:color w:val="auto"/>
              </w:rPr>
            </w:pPr>
          </w:p>
        </w:tc>
        <w:tc>
          <w:tcPr>
            <w:tcW w:w="7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(64)</w:t>
            </w:r>
          </w:p>
        </w:tc>
      </w:tr>
      <w:tr>
        <w:trPr>
          <w:trHeight w:val="174"/>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Income from continuing operations</w:t>
            </w:r>
          </w:p>
        </w:tc>
        <w:tc>
          <w:tcPr>
            <w:tcW w:w="72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651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310</w:t>
            </w:r>
          </w:p>
        </w:tc>
      </w:tr>
      <w:tr>
        <w:trPr>
          <w:trHeight w:val="199"/>
        </w:trPr>
        <w:tc>
          <w:tcPr>
            <w:tcW w:w="65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Adjustments required to reconcile Net income to Cash flows from operating activities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Depreciation and amortization</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98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128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430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526</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Provisions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15</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73</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70</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Net gain on sales of businesses and assets</w:t>
            </w:r>
          </w:p>
        </w:tc>
        <w:tc>
          <w:tcPr>
            <w:tcW w:w="7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(35)</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Stock-based compensation</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9</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13</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50</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57</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Restructuring and asset impairment charges</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66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156</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Payments for restructurings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(22)</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(39)</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(93)</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(169)</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Defined benefit pension cost</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175</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Contributions to defined benefit pension plans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(34)</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(144)</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(Increase) decrease in accounts receivable and billed portion of finance receivables</w:t>
            </w:r>
          </w:p>
        </w:tc>
        <w:tc>
          <w:tcPr>
            <w:tcW w:w="7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31</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Decrease in inventories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78</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126</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109</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Increase in equipment on operating leases</w:t>
            </w:r>
          </w:p>
        </w:tc>
        <w:tc>
          <w:tcPr>
            <w:tcW w:w="7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(66)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(248)</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(Increase) decrease in finance receivables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(23)</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(15)</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166</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(Increase) decrease in other current and long-term assets</w:t>
            </w:r>
          </w:p>
        </w:tc>
        <w:tc>
          <w:tcPr>
            <w:tcW w:w="7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29</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(Decrease) increase in accounts payable</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(23)</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(27)</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(47)</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Increase (decrease) in accrued compensation</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(111)</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Increase in other current and long-term liabilities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21</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40</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40</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52</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Net change in income tax assets and liabilities</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176</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Net change in derivative assets and liabilities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(12)</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(14)</w:t>
            </w:r>
          </w:p>
        </w:tc>
      </w:tr>
      <w:tr>
        <w:trPr>
          <w:trHeight w:val="190"/>
        </w:trPr>
        <w:tc>
          <w:tcPr>
            <w:tcW w:w="654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Other operating, net</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(9)</w:t>
            </w:r>
          </w:p>
        </w:tc>
        <w:tc>
          <w:tcPr>
            <w:tcW w:w="120" w:type="dxa"/>
            <w:vAlign w:val="bottom"/>
            <w:tcBorders>
              <w:bottom w:val="single" w:sz="8" w:color="E5E5E5"/>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37</w:t>
            </w:r>
          </w:p>
        </w:tc>
      </w:tr>
      <w:tr>
        <w:trPr>
          <w:trHeight w:val="179"/>
        </w:trPr>
        <w:tc>
          <w:tcPr>
            <w:tcW w:w="6540" w:type="dxa"/>
            <w:vAlign w:val="bottom"/>
            <w:gridSpan w:val="2"/>
            <w:shd w:val="clear" w:color="auto" w:fill="E5E5E5"/>
          </w:tcPr>
          <w:p>
            <w:pPr>
              <w:ind w:left="500"/>
              <w:spacing w:after="0"/>
              <w:rPr>
                <w:sz w:val="20"/>
                <w:szCs w:val="20"/>
                <w:color w:val="auto"/>
              </w:rPr>
            </w:pPr>
            <w:r>
              <w:rPr>
                <w:rFonts w:ascii="Arial" w:cs="Arial" w:eastAsia="Arial" w:hAnsi="Arial"/>
                <w:sz w:val="10"/>
                <w:szCs w:val="10"/>
                <w:color w:val="auto"/>
              </w:rPr>
              <w:t>Net cash provided by operating activities of continuing operations</w:t>
            </w:r>
          </w:p>
        </w:tc>
        <w:tc>
          <w:tcPr>
            <w:tcW w:w="72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398</w:t>
            </w: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384</w:t>
            </w:r>
          </w:p>
        </w:tc>
        <w:tc>
          <w:tcPr>
            <w:tcW w:w="1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1,082</w:t>
            </w:r>
          </w:p>
        </w:tc>
      </w:tr>
      <w:tr>
        <w:trPr>
          <w:trHeight w:val="190"/>
        </w:trPr>
        <w:tc>
          <w:tcPr>
            <w:tcW w:w="6540" w:type="dxa"/>
            <w:vAlign w:val="bottom"/>
            <w:tcBorders>
              <w:bottom w:val="single" w:sz="8" w:color="E5E5E5"/>
            </w:tcBorders>
            <w:gridSpan w:val="2"/>
          </w:tcPr>
          <w:p>
            <w:pPr>
              <w:ind w:left="500"/>
              <w:spacing w:after="0"/>
              <w:rPr>
                <w:sz w:val="20"/>
                <w:szCs w:val="20"/>
                <w:color w:val="auto"/>
              </w:rPr>
            </w:pPr>
            <w:r>
              <w:rPr>
                <w:rFonts w:ascii="Arial" w:cs="Arial" w:eastAsia="Arial" w:hAnsi="Arial"/>
                <w:sz w:val="10"/>
                <w:szCs w:val="10"/>
                <w:color w:val="auto"/>
              </w:rPr>
              <w:t>Net cash provided by operating activities of discontinued operations</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40</w:t>
            </w:r>
          </w:p>
        </w:tc>
        <w:tc>
          <w:tcPr>
            <w:tcW w:w="120" w:type="dxa"/>
            <w:vAlign w:val="bottom"/>
            <w:tcBorders>
              <w:bottom w:val="single" w:sz="8" w:color="E5E5E5"/>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31</w:t>
            </w: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89</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58</w:t>
            </w:r>
          </w:p>
        </w:tc>
      </w:tr>
      <w:tr>
        <w:trPr>
          <w:trHeight w:val="179"/>
        </w:trPr>
        <w:tc>
          <w:tcPr>
            <w:tcW w:w="6540" w:type="dxa"/>
            <w:vAlign w:val="bottom"/>
            <w:gridSpan w:val="2"/>
            <w:shd w:val="clear" w:color="auto" w:fill="E5E5E5"/>
          </w:tcPr>
          <w:p>
            <w:pPr>
              <w:ind w:left="500"/>
              <w:spacing w:after="0"/>
              <w:rPr>
                <w:sz w:val="20"/>
                <w:szCs w:val="20"/>
                <w:color w:val="auto"/>
              </w:rPr>
            </w:pPr>
            <w:r>
              <w:rPr>
                <w:rFonts w:ascii="Arial" w:cs="Arial" w:eastAsia="Arial" w:hAnsi="Arial"/>
                <w:sz w:val="10"/>
                <w:szCs w:val="10"/>
                <w:color w:val="auto"/>
              </w:rPr>
              <w:t>Net cash provided by operating activities</w:t>
            </w:r>
          </w:p>
        </w:tc>
        <w:tc>
          <w:tcPr>
            <w:tcW w:w="720" w:type="dxa"/>
            <w:vAlign w:val="bottom"/>
            <w:tcBorders>
              <w:bottom w:val="single" w:sz="8" w:color="auto"/>
            </w:tcBorders>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438</w:t>
            </w:r>
          </w:p>
        </w:tc>
        <w:tc>
          <w:tcPr>
            <w:tcW w:w="120" w:type="dxa"/>
            <w:vAlign w:val="bottom"/>
            <w:shd w:val="clear" w:color="auto" w:fill="E5E5E5"/>
          </w:tcPr>
          <w:p>
            <w:pPr>
              <w:spacing w:after="0"/>
              <w:rPr>
                <w:sz w:val="15"/>
                <w:szCs w:val="15"/>
                <w:color w:val="auto"/>
              </w:rPr>
            </w:pPr>
          </w:p>
        </w:tc>
        <w:tc>
          <w:tcPr>
            <w:tcW w:w="740" w:type="dxa"/>
            <w:vAlign w:val="bottom"/>
            <w:tcBorders>
              <w:bottom w:val="single" w:sz="8" w:color="auto"/>
            </w:tcBorders>
            <w:shd w:val="clear" w:color="auto" w:fill="E5E5E5"/>
          </w:tcPr>
          <w:p>
            <w:pPr>
              <w:spacing w:after="0"/>
              <w:rPr>
                <w:sz w:val="15"/>
                <w:szCs w:val="15"/>
                <w:color w:val="auto"/>
              </w:rPr>
            </w:pPr>
          </w:p>
        </w:tc>
        <w:tc>
          <w:tcPr>
            <w:tcW w:w="4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415</w:t>
            </w:r>
          </w:p>
        </w:tc>
        <w:tc>
          <w:tcPr>
            <w:tcW w:w="120" w:type="dxa"/>
            <w:vAlign w:val="bottom"/>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1,333</w:t>
            </w:r>
          </w:p>
        </w:tc>
        <w:tc>
          <w:tcPr>
            <w:tcW w:w="100" w:type="dxa"/>
            <w:vAlign w:val="bottom"/>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spacing w:after="0"/>
              <w:rPr>
                <w:sz w:val="15"/>
                <w:szCs w:val="15"/>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1,140</w:t>
            </w: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Cost of additions to land, buildings, equipment and software</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(65)</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(90)</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Proceeds from sales of businesses and assets</w:t>
            </w:r>
          </w:p>
        </w:tc>
        <w:tc>
          <w:tcPr>
            <w:tcW w:w="72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59</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Acquisitions, net of cash acquired</w:t>
            </w:r>
          </w:p>
        </w:tc>
        <w:tc>
          <w:tcPr>
            <w:tcW w:w="7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(42)</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Other investing, net</w:t>
            </w:r>
          </w:p>
        </w:tc>
        <w:tc>
          <w:tcPr>
            <w:tcW w:w="72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6"/>
                <w:szCs w:val="16"/>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2</w:t>
            </w:r>
          </w:p>
        </w:tc>
      </w:tr>
      <w:tr>
        <w:trPr>
          <w:trHeight w:val="179"/>
        </w:trPr>
        <w:tc>
          <w:tcPr>
            <w:tcW w:w="6540" w:type="dxa"/>
            <w:vAlign w:val="bottom"/>
            <w:tcBorders>
              <w:top w:val="single" w:sz="8" w:color="E5E5E5"/>
            </w:tcBorders>
            <w:gridSpan w:val="2"/>
            <w:shd w:val="clear" w:color="auto" w:fill="E5E5E5"/>
          </w:tcPr>
          <w:p>
            <w:pPr>
              <w:ind w:left="500"/>
              <w:spacing w:after="0"/>
              <w:rPr>
                <w:sz w:val="20"/>
                <w:szCs w:val="20"/>
                <w:color w:val="auto"/>
              </w:rPr>
            </w:pPr>
            <w:r>
              <w:rPr>
                <w:rFonts w:ascii="Arial" w:cs="Arial" w:eastAsia="Arial" w:hAnsi="Arial"/>
                <w:sz w:val="10"/>
                <w:szCs w:val="10"/>
                <w:color w:val="auto"/>
              </w:rPr>
              <w:t>Net cash (used in) provided by investing activities of continuing operations</w:t>
            </w:r>
          </w:p>
        </w:tc>
        <w:tc>
          <w:tcPr>
            <w:tcW w:w="720" w:type="dxa"/>
            <w:vAlign w:val="bottom"/>
            <w:tcBorders>
              <w:top w:val="single" w:sz="8" w:color="auto"/>
            </w:tcBorders>
            <w:shd w:val="clear" w:color="auto" w:fill="E5E5E5"/>
          </w:tcPr>
          <w:p>
            <w:pPr>
              <w:spacing w:after="0"/>
              <w:rPr>
                <w:sz w:val="15"/>
                <w:szCs w:val="15"/>
                <w:color w:val="auto"/>
              </w:rPr>
            </w:pPr>
          </w:p>
        </w:tc>
        <w:tc>
          <w:tcPr>
            <w:tcW w:w="44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tcBorders>
              <w:top w:val="single" w:sz="8" w:color="E5E5E5"/>
            </w:tcBorders>
            <w:shd w:val="clear" w:color="auto" w:fill="E5E5E5"/>
          </w:tcPr>
          <w:p>
            <w:pPr>
              <w:spacing w:after="0"/>
              <w:rPr>
                <w:sz w:val="15"/>
                <w:szCs w:val="15"/>
                <w:color w:val="auto"/>
              </w:rPr>
            </w:pPr>
          </w:p>
        </w:tc>
        <w:tc>
          <w:tcPr>
            <w:tcW w:w="740" w:type="dxa"/>
            <w:vAlign w:val="bottom"/>
            <w:tcBorders>
              <w:top w:val="single" w:sz="8" w:color="auto"/>
            </w:tcBorders>
            <w:shd w:val="clear" w:color="auto" w:fill="E5E5E5"/>
          </w:tcPr>
          <w:p>
            <w:pPr>
              <w:spacing w:after="0"/>
              <w:rPr>
                <w:sz w:val="15"/>
                <w:szCs w:val="15"/>
                <w:color w:val="auto"/>
              </w:rPr>
            </w:pPr>
          </w:p>
        </w:tc>
        <w:tc>
          <w:tcPr>
            <w:tcW w:w="42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tcBorders>
              <w:top w:val="single" w:sz="8" w:color="E5E5E5"/>
            </w:tcBorders>
            <w:shd w:val="clear" w:color="auto" w:fill="E5E5E5"/>
          </w:tcPr>
          <w:p>
            <w:pPr>
              <w:spacing w:after="0"/>
              <w:rPr>
                <w:sz w:val="15"/>
                <w:szCs w:val="15"/>
                <w:color w:val="auto"/>
              </w:rPr>
            </w:pPr>
          </w:p>
        </w:tc>
        <w:tc>
          <w:tcPr>
            <w:tcW w:w="700" w:type="dxa"/>
            <w:vAlign w:val="bottom"/>
            <w:tcBorders>
              <w:top w:val="single" w:sz="8" w:color="auto"/>
            </w:tcBorders>
            <w:shd w:val="clear" w:color="auto" w:fill="E5E5E5"/>
          </w:tcPr>
          <w:p>
            <w:pPr>
              <w:spacing w:after="0"/>
              <w:rPr>
                <w:sz w:val="15"/>
                <w:szCs w:val="15"/>
                <w:color w:val="auto"/>
              </w:rPr>
            </w:pPr>
          </w:p>
        </w:tc>
        <w:tc>
          <w:tcPr>
            <w:tcW w:w="44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(85)</w:t>
            </w:r>
          </w:p>
        </w:tc>
        <w:tc>
          <w:tcPr>
            <w:tcW w:w="100" w:type="dxa"/>
            <w:vAlign w:val="bottom"/>
            <w:tcBorders>
              <w:top w:val="single" w:sz="8" w:color="E5E5E5"/>
            </w:tcBorders>
            <w:shd w:val="clear" w:color="auto" w:fill="E5E5E5"/>
          </w:tcPr>
          <w:p>
            <w:pPr>
              <w:spacing w:after="0"/>
              <w:rPr>
                <w:sz w:val="15"/>
                <w:szCs w:val="15"/>
                <w:color w:val="auto"/>
              </w:rPr>
            </w:pPr>
          </w:p>
        </w:tc>
        <w:tc>
          <w:tcPr>
            <w:tcW w:w="360" w:type="dxa"/>
            <w:vAlign w:val="bottom"/>
            <w:tcBorders>
              <w:top w:val="single" w:sz="8" w:color="auto"/>
            </w:tcBorders>
            <w:shd w:val="clear" w:color="auto" w:fill="E5E5E5"/>
          </w:tcPr>
          <w:p>
            <w:pPr>
              <w:spacing w:after="0"/>
              <w:rPr>
                <w:sz w:val="15"/>
                <w:szCs w:val="15"/>
                <w:color w:val="auto"/>
              </w:rPr>
            </w:pPr>
          </w:p>
        </w:tc>
        <w:tc>
          <w:tcPr>
            <w:tcW w:w="78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(29)</w:t>
            </w:r>
          </w:p>
        </w:tc>
      </w:tr>
      <w:tr>
        <w:trPr>
          <w:trHeight w:val="190"/>
        </w:trPr>
        <w:tc>
          <w:tcPr>
            <w:tcW w:w="6540" w:type="dxa"/>
            <w:vAlign w:val="bottom"/>
            <w:gridSpan w:val="2"/>
          </w:tcPr>
          <w:p>
            <w:pPr>
              <w:ind w:left="480"/>
              <w:spacing w:after="0"/>
              <w:rPr>
                <w:sz w:val="20"/>
                <w:szCs w:val="20"/>
                <w:color w:val="auto"/>
              </w:rPr>
            </w:pPr>
            <w:r>
              <w:rPr>
                <w:rFonts w:ascii="Arial" w:cs="Arial" w:eastAsia="Arial" w:hAnsi="Arial"/>
                <w:sz w:val="10"/>
                <w:szCs w:val="10"/>
                <w:color w:val="auto"/>
              </w:rPr>
              <w:t>Net cash provided by investing activities of discontinued operations</w:t>
            </w:r>
          </w:p>
        </w:tc>
        <w:tc>
          <w:tcPr>
            <w:tcW w:w="72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2,233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2,233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r>
      <w:tr>
        <w:trPr>
          <w:trHeight w:val="179"/>
        </w:trPr>
        <w:tc>
          <w:tcPr>
            <w:tcW w:w="6540" w:type="dxa"/>
            <w:vAlign w:val="bottom"/>
            <w:tcBorders>
              <w:top w:val="single" w:sz="8" w:color="E5E5E5"/>
            </w:tcBorders>
            <w:gridSpan w:val="2"/>
            <w:shd w:val="clear" w:color="auto" w:fill="E5E5E5"/>
          </w:tcPr>
          <w:p>
            <w:pPr>
              <w:ind w:left="480"/>
              <w:spacing w:after="0"/>
              <w:rPr>
                <w:sz w:val="20"/>
                <w:szCs w:val="20"/>
                <w:color w:val="auto"/>
              </w:rPr>
            </w:pPr>
            <w:r>
              <w:rPr>
                <w:rFonts w:ascii="Arial" w:cs="Arial" w:eastAsia="Arial" w:hAnsi="Arial"/>
                <w:sz w:val="10"/>
                <w:szCs w:val="10"/>
                <w:color w:val="auto"/>
              </w:rPr>
              <w:t>Net cash provided by (used in) investing activities</w:t>
            </w:r>
          </w:p>
        </w:tc>
        <w:tc>
          <w:tcPr>
            <w:tcW w:w="720" w:type="dxa"/>
            <w:vAlign w:val="bottom"/>
            <w:tcBorders>
              <w:top w:val="single" w:sz="8" w:color="auto"/>
              <w:bottom w:val="single" w:sz="8" w:color="auto"/>
            </w:tcBorders>
            <w:shd w:val="clear" w:color="auto" w:fill="E5E5E5"/>
          </w:tcPr>
          <w:p>
            <w:pPr>
              <w:spacing w:after="0"/>
              <w:rPr>
                <w:sz w:val="15"/>
                <w:szCs w:val="15"/>
                <w:color w:val="auto"/>
              </w:rPr>
            </w:pPr>
          </w:p>
        </w:tc>
        <w:tc>
          <w:tcPr>
            <w:tcW w:w="4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2,216</w:t>
            </w:r>
          </w:p>
        </w:tc>
        <w:tc>
          <w:tcPr>
            <w:tcW w:w="120" w:type="dxa"/>
            <w:vAlign w:val="bottom"/>
            <w:tcBorders>
              <w:top w:val="single" w:sz="8" w:color="E5E5E5"/>
            </w:tcBorders>
            <w:shd w:val="clear" w:color="auto" w:fill="E5E5E5"/>
          </w:tcPr>
          <w:p>
            <w:pPr>
              <w:spacing w:after="0"/>
              <w:rPr>
                <w:sz w:val="15"/>
                <w:szCs w:val="15"/>
                <w:color w:val="auto"/>
              </w:rPr>
            </w:pPr>
          </w:p>
        </w:tc>
        <w:tc>
          <w:tcPr>
            <w:tcW w:w="740" w:type="dxa"/>
            <w:vAlign w:val="bottom"/>
            <w:tcBorders>
              <w:top w:val="single" w:sz="8" w:color="auto"/>
              <w:bottom w:val="single" w:sz="8" w:color="auto"/>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tcBorders>
              <w:top w:val="single" w:sz="8" w:color="E5E5E5"/>
            </w:tcBorders>
            <w:shd w:val="clear" w:color="auto" w:fill="E5E5E5"/>
          </w:tcPr>
          <w:p>
            <w:pPr>
              <w:spacing w:after="0"/>
              <w:rPr>
                <w:sz w:val="15"/>
                <w:szCs w:val="15"/>
                <w:color w:val="auto"/>
              </w:rPr>
            </w:pPr>
          </w:p>
        </w:tc>
        <w:tc>
          <w:tcPr>
            <w:tcW w:w="700" w:type="dxa"/>
            <w:vAlign w:val="bottom"/>
            <w:tcBorders>
              <w:top w:val="single" w:sz="8" w:color="auto"/>
              <w:bottom w:val="single" w:sz="8" w:color="auto"/>
            </w:tcBorders>
            <w:shd w:val="clear" w:color="auto" w:fill="E5E5E5"/>
          </w:tcPr>
          <w:p>
            <w:pPr>
              <w:spacing w:after="0"/>
              <w:rPr>
                <w:sz w:val="15"/>
                <w:szCs w:val="15"/>
                <w:color w:val="auto"/>
              </w:rPr>
            </w:pPr>
          </w:p>
        </w:tc>
        <w:tc>
          <w:tcPr>
            <w:tcW w:w="4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2,148</w:t>
            </w:r>
          </w:p>
        </w:tc>
        <w:tc>
          <w:tcPr>
            <w:tcW w:w="100" w:type="dxa"/>
            <w:vAlign w:val="bottom"/>
            <w:tcBorders>
              <w:top w:val="single" w:sz="8" w:color="E5E5E5"/>
            </w:tcBorders>
            <w:shd w:val="clear" w:color="auto" w:fill="E5E5E5"/>
          </w:tcPr>
          <w:p>
            <w:pPr>
              <w:spacing w:after="0"/>
              <w:rPr>
                <w:sz w:val="15"/>
                <w:szCs w:val="15"/>
                <w:color w:val="auto"/>
              </w:rPr>
            </w:pPr>
          </w:p>
        </w:tc>
        <w:tc>
          <w:tcPr>
            <w:tcW w:w="360" w:type="dxa"/>
            <w:vAlign w:val="bottom"/>
            <w:tcBorders>
              <w:top w:val="single" w:sz="8" w:color="auto"/>
              <w:bottom w:val="single" w:sz="8" w:color="auto"/>
            </w:tcBorders>
            <w:shd w:val="clear" w:color="auto" w:fill="E5E5E5"/>
          </w:tcPr>
          <w:p>
            <w:pPr>
              <w:spacing w:after="0"/>
              <w:rPr>
                <w:sz w:val="15"/>
                <w:szCs w:val="15"/>
                <w:color w:val="auto"/>
              </w:rPr>
            </w:pPr>
          </w:p>
        </w:tc>
        <w:tc>
          <w:tcPr>
            <w:tcW w:w="78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(29)</w:t>
            </w: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Net payments on debt</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(551)</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(950)</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(307)</w:t>
            </w:r>
          </w:p>
        </w:tc>
      </w:tr>
      <w:tr>
        <w:trPr>
          <w:trHeight w:val="190"/>
        </w:trPr>
        <w:tc>
          <w:tcPr>
            <w:tcW w:w="6540" w:type="dxa"/>
            <w:vAlign w:val="bottom"/>
            <w:gridSpan w:val="2"/>
          </w:tcPr>
          <w:p>
            <w:pPr>
              <w:ind w:left="260"/>
              <w:spacing w:after="0"/>
              <w:rPr>
                <w:sz w:val="20"/>
                <w:szCs w:val="20"/>
                <w:color w:val="auto"/>
              </w:rPr>
            </w:pPr>
            <w:r>
              <w:rPr>
                <w:rFonts w:ascii="Arial" w:cs="Arial" w:eastAsia="Arial" w:hAnsi="Arial"/>
                <w:sz w:val="10"/>
                <w:szCs w:val="10"/>
                <w:color w:val="auto"/>
              </w:rPr>
              <w:t>Dividends</w:t>
            </w:r>
          </w:p>
        </w:tc>
        <w:tc>
          <w:tcPr>
            <w:tcW w:w="7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(65)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(243)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(269)</w:t>
            </w:r>
          </w:p>
        </w:tc>
      </w:tr>
      <w:tr>
        <w:trPr>
          <w:trHeight w:val="199"/>
        </w:trPr>
        <w:tc>
          <w:tcPr>
            <w:tcW w:w="654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Payments to acquire treasury stock, including fees</w:t>
            </w: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(232)</w:t>
            </w:r>
          </w:p>
        </w:tc>
        <w:tc>
          <w:tcPr>
            <w:tcW w:w="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(416)</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(600)</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(700)</w:t>
            </w:r>
          </w:p>
        </w:tc>
      </w:tr>
      <w:tr>
        <w:trPr>
          <w:trHeight w:val="190"/>
        </w:trPr>
        <w:tc>
          <w:tcPr>
            <w:tcW w:w="654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Other financing, net</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E5E5E5"/>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(31)</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(15)</w:t>
            </w:r>
          </w:p>
        </w:tc>
      </w:tr>
      <w:tr>
        <w:trPr>
          <w:trHeight w:val="179"/>
        </w:trPr>
        <w:tc>
          <w:tcPr>
            <w:tcW w:w="6540" w:type="dxa"/>
            <w:vAlign w:val="bottom"/>
            <w:gridSpan w:val="2"/>
            <w:shd w:val="clear" w:color="auto" w:fill="E5E5E5"/>
          </w:tcPr>
          <w:p>
            <w:pPr>
              <w:ind w:left="480"/>
              <w:spacing w:after="0"/>
              <w:rPr>
                <w:sz w:val="20"/>
                <w:szCs w:val="20"/>
                <w:color w:val="auto"/>
              </w:rPr>
            </w:pPr>
            <w:r>
              <w:rPr>
                <w:rFonts w:ascii="Arial" w:cs="Arial" w:eastAsia="Arial" w:hAnsi="Arial"/>
                <w:sz w:val="10"/>
                <w:szCs w:val="10"/>
                <w:color w:val="auto"/>
              </w:rPr>
              <w:t>Net cash used in financing activities of continuing operations</w:t>
            </w:r>
          </w:p>
        </w:tc>
        <w:tc>
          <w:tcPr>
            <w:tcW w:w="72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(851)</w:t>
            </w: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(1,824)</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(1,291)</w:t>
            </w:r>
          </w:p>
        </w:tc>
      </w:tr>
      <w:tr>
        <w:trPr>
          <w:trHeight w:val="190"/>
        </w:trPr>
        <w:tc>
          <w:tcPr>
            <w:tcW w:w="6540" w:type="dxa"/>
            <w:vAlign w:val="bottom"/>
            <w:gridSpan w:val="2"/>
          </w:tcPr>
          <w:p>
            <w:pPr>
              <w:ind w:left="480"/>
              <w:spacing w:after="0"/>
              <w:rPr>
                <w:sz w:val="20"/>
                <w:szCs w:val="20"/>
                <w:color w:val="auto"/>
              </w:rPr>
            </w:pPr>
            <w:r>
              <w:rPr>
                <w:rFonts w:ascii="Arial" w:cs="Arial" w:eastAsia="Arial" w:hAnsi="Arial"/>
                <w:sz w:val="10"/>
                <w:szCs w:val="10"/>
                <w:color w:val="auto"/>
              </w:rPr>
              <w:t>Net cash used in financing activities of discontinued operations</w:t>
            </w:r>
          </w:p>
        </w:tc>
        <w:tc>
          <w:tcPr>
            <w:tcW w:w="72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6"/>
                <w:szCs w:val="16"/>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(10)</w:t>
            </w:r>
          </w:p>
        </w:tc>
      </w:tr>
      <w:tr>
        <w:trPr>
          <w:trHeight w:val="174"/>
        </w:trPr>
        <w:tc>
          <w:tcPr>
            <w:tcW w:w="6540" w:type="dxa"/>
            <w:vAlign w:val="bottom"/>
            <w:tcBorders>
              <w:top w:val="single" w:sz="8" w:color="E5E5E5"/>
            </w:tcBorders>
            <w:gridSpan w:val="2"/>
            <w:shd w:val="clear" w:color="auto" w:fill="E5E5E5"/>
          </w:tcPr>
          <w:p>
            <w:pPr>
              <w:ind w:left="480"/>
              <w:spacing w:after="0"/>
              <w:rPr>
                <w:sz w:val="20"/>
                <w:szCs w:val="20"/>
                <w:color w:val="auto"/>
              </w:rPr>
            </w:pPr>
            <w:r>
              <w:rPr>
                <w:rFonts w:ascii="Arial" w:cs="Arial" w:eastAsia="Arial" w:hAnsi="Arial"/>
                <w:sz w:val="10"/>
                <w:szCs w:val="10"/>
                <w:color w:val="auto"/>
              </w:rPr>
              <w:t>Net cash used in financing activities</w:t>
            </w:r>
          </w:p>
        </w:tc>
        <w:tc>
          <w:tcPr>
            <w:tcW w:w="720" w:type="dxa"/>
            <w:vAlign w:val="bottom"/>
            <w:tcBorders>
              <w:top w:val="single" w:sz="8" w:color="auto"/>
              <w:bottom w:val="single" w:sz="8" w:color="auto"/>
            </w:tcBorders>
            <w:shd w:val="clear" w:color="auto" w:fill="E5E5E5"/>
          </w:tcPr>
          <w:p>
            <w:pPr>
              <w:spacing w:after="0"/>
              <w:rPr>
                <w:sz w:val="15"/>
                <w:szCs w:val="15"/>
                <w:color w:val="auto"/>
              </w:rPr>
            </w:pPr>
          </w:p>
        </w:tc>
        <w:tc>
          <w:tcPr>
            <w:tcW w:w="44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(851)</w:t>
            </w:r>
          </w:p>
        </w:tc>
        <w:tc>
          <w:tcPr>
            <w:tcW w:w="120" w:type="dxa"/>
            <w:vAlign w:val="bottom"/>
            <w:tcBorders>
              <w:top w:val="single" w:sz="8" w:color="E5E5E5"/>
            </w:tcBorders>
            <w:shd w:val="clear" w:color="auto" w:fill="E5E5E5"/>
          </w:tcPr>
          <w:p>
            <w:pPr>
              <w:spacing w:after="0"/>
              <w:rPr>
                <w:sz w:val="15"/>
                <w:szCs w:val="15"/>
                <w:color w:val="auto"/>
              </w:rPr>
            </w:pPr>
          </w:p>
        </w:tc>
        <w:tc>
          <w:tcPr>
            <w:tcW w:w="740" w:type="dxa"/>
            <w:vAlign w:val="bottom"/>
            <w:tcBorders>
              <w:top w:val="single" w:sz="8" w:color="auto"/>
              <w:bottom w:val="single" w:sz="8" w:color="auto"/>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(486)</w:t>
            </w:r>
          </w:p>
        </w:tc>
        <w:tc>
          <w:tcPr>
            <w:tcW w:w="120" w:type="dxa"/>
            <w:vAlign w:val="bottom"/>
            <w:tcBorders>
              <w:top w:val="single" w:sz="8" w:color="E5E5E5"/>
            </w:tcBorders>
            <w:shd w:val="clear" w:color="auto" w:fill="E5E5E5"/>
          </w:tcPr>
          <w:p>
            <w:pPr>
              <w:spacing w:after="0"/>
              <w:rPr>
                <w:sz w:val="15"/>
                <w:szCs w:val="15"/>
                <w:color w:val="auto"/>
              </w:rPr>
            </w:pPr>
          </w:p>
        </w:tc>
        <w:tc>
          <w:tcPr>
            <w:tcW w:w="700" w:type="dxa"/>
            <w:vAlign w:val="bottom"/>
            <w:tcBorders>
              <w:top w:val="single" w:sz="8" w:color="auto"/>
              <w:bottom w:val="single" w:sz="8" w:color="auto"/>
            </w:tcBorders>
            <w:shd w:val="clear" w:color="auto" w:fill="E5E5E5"/>
          </w:tcPr>
          <w:p>
            <w:pPr>
              <w:spacing w:after="0"/>
              <w:rPr>
                <w:sz w:val="15"/>
                <w:szCs w:val="15"/>
                <w:color w:val="auto"/>
              </w:rPr>
            </w:pPr>
          </w:p>
        </w:tc>
        <w:tc>
          <w:tcPr>
            <w:tcW w:w="44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(1,834)</w:t>
            </w:r>
          </w:p>
        </w:tc>
        <w:tc>
          <w:tcPr>
            <w:tcW w:w="100" w:type="dxa"/>
            <w:vAlign w:val="bottom"/>
            <w:tcBorders>
              <w:top w:val="single" w:sz="8" w:color="E5E5E5"/>
            </w:tcBorders>
            <w:shd w:val="clear" w:color="auto" w:fill="E5E5E5"/>
          </w:tcPr>
          <w:p>
            <w:pPr>
              <w:spacing w:after="0"/>
              <w:rPr>
                <w:sz w:val="15"/>
                <w:szCs w:val="15"/>
                <w:color w:val="auto"/>
              </w:rPr>
            </w:pPr>
          </w:p>
        </w:tc>
        <w:tc>
          <w:tcPr>
            <w:tcW w:w="360" w:type="dxa"/>
            <w:vAlign w:val="bottom"/>
            <w:tcBorders>
              <w:top w:val="single" w:sz="8" w:color="auto"/>
              <w:bottom w:val="single" w:sz="8" w:color="auto"/>
            </w:tcBorders>
            <w:shd w:val="clear" w:color="auto" w:fill="E5E5E5"/>
          </w:tcPr>
          <w:p>
            <w:pPr>
              <w:spacing w:after="0"/>
              <w:rPr>
                <w:sz w:val="15"/>
                <w:szCs w:val="15"/>
                <w:color w:val="auto"/>
              </w:rPr>
            </w:pPr>
          </w:p>
        </w:tc>
        <w:tc>
          <w:tcPr>
            <w:tcW w:w="78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(1,301)</w:t>
            </w:r>
          </w:p>
        </w:tc>
      </w:tr>
      <w:tr>
        <w:trPr>
          <w:trHeight w:val="174"/>
        </w:trPr>
        <w:tc>
          <w:tcPr>
            <w:tcW w:w="6540" w:type="dxa"/>
            <w:vAlign w:val="bottom"/>
            <w:gridSpan w:val="2"/>
          </w:tcPr>
          <w:p>
            <w:pPr>
              <w:ind w:left="20"/>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72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(30)</w:t>
            </w:r>
          </w:p>
        </w:tc>
      </w:tr>
      <w:tr>
        <w:trPr>
          <w:trHeight w:val="179"/>
        </w:trPr>
        <w:tc>
          <w:tcPr>
            <w:tcW w:w="654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Increase (decrease) in cash, cash equivalents and restricted cash</w:t>
            </w:r>
          </w:p>
        </w:tc>
        <w:tc>
          <w:tcPr>
            <w:tcW w:w="720" w:type="dxa"/>
            <w:vAlign w:val="bottom"/>
            <w:tcBorders>
              <w:top w:val="single" w:sz="8" w:color="auto"/>
            </w:tcBorders>
            <w:shd w:val="clear" w:color="auto" w:fill="E5E5E5"/>
          </w:tcPr>
          <w:p>
            <w:pPr>
              <w:spacing w:after="0"/>
              <w:rPr>
                <w:sz w:val="15"/>
                <w:szCs w:val="15"/>
                <w:color w:val="auto"/>
              </w:rPr>
            </w:pPr>
          </w:p>
        </w:tc>
        <w:tc>
          <w:tcPr>
            <w:tcW w:w="44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1,816</w:t>
            </w:r>
          </w:p>
        </w:tc>
        <w:tc>
          <w:tcPr>
            <w:tcW w:w="120" w:type="dxa"/>
            <w:vAlign w:val="bottom"/>
            <w:tcBorders>
              <w:top w:val="single" w:sz="8" w:color="E5E5E5"/>
            </w:tcBorders>
            <w:shd w:val="clear" w:color="auto" w:fill="E5E5E5"/>
          </w:tcPr>
          <w:p>
            <w:pPr>
              <w:spacing w:after="0"/>
              <w:rPr>
                <w:sz w:val="15"/>
                <w:szCs w:val="15"/>
                <w:color w:val="auto"/>
              </w:rPr>
            </w:pPr>
          </w:p>
        </w:tc>
        <w:tc>
          <w:tcPr>
            <w:tcW w:w="740" w:type="dxa"/>
            <w:vAlign w:val="bottom"/>
            <w:tcBorders>
              <w:top w:val="single" w:sz="8" w:color="auto"/>
            </w:tcBorders>
            <w:shd w:val="clear" w:color="auto" w:fill="E5E5E5"/>
          </w:tcPr>
          <w:p>
            <w:pPr>
              <w:spacing w:after="0"/>
              <w:rPr>
                <w:sz w:val="15"/>
                <w:szCs w:val="15"/>
                <w:color w:val="auto"/>
              </w:rPr>
            </w:pPr>
          </w:p>
        </w:tc>
        <w:tc>
          <w:tcPr>
            <w:tcW w:w="42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(70)</w:t>
            </w:r>
          </w:p>
        </w:tc>
        <w:tc>
          <w:tcPr>
            <w:tcW w:w="120" w:type="dxa"/>
            <w:vAlign w:val="bottom"/>
            <w:tcBorders>
              <w:top w:val="single" w:sz="8" w:color="E5E5E5"/>
            </w:tcBorders>
            <w:shd w:val="clear" w:color="auto" w:fill="E5E5E5"/>
          </w:tcPr>
          <w:p>
            <w:pPr>
              <w:spacing w:after="0"/>
              <w:rPr>
                <w:sz w:val="15"/>
                <w:szCs w:val="15"/>
                <w:color w:val="auto"/>
              </w:rPr>
            </w:pPr>
          </w:p>
        </w:tc>
        <w:tc>
          <w:tcPr>
            <w:tcW w:w="700" w:type="dxa"/>
            <w:vAlign w:val="bottom"/>
            <w:tcBorders>
              <w:top w:val="single" w:sz="8" w:color="auto"/>
            </w:tcBorders>
            <w:shd w:val="clear" w:color="auto" w:fill="E5E5E5"/>
          </w:tcPr>
          <w:p>
            <w:pPr>
              <w:spacing w:after="0"/>
              <w:rPr>
                <w:sz w:val="15"/>
                <w:szCs w:val="15"/>
                <w:color w:val="auto"/>
              </w:rPr>
            </w:pPr>
          </w:p>
        </w:tc>
        <w:tc>
          <w:tcPr>
            <w:tcW w:w="44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1,647</w:t>
            </w:r>
          </w:p>
        </w:tc>
        <w:tc>
          <w:tcPr>
            <w:tcW w:w="100" w:type="dxa"/>
            <w:vAlign w:val="bottom"/>
            <w:tcBorders>
              <w:top w:val="single" w:sz="8" w:color="E5E5E5"/>
            </w:tcBorders>
            <w:shd w:val="clear" w:color="auto" w:fill="E5E5E5"/>
          </w:tcPr>
          <w:p>
            <w:pPr>
              <w:spacing w:after="0"/>
              <w:rPr>
                <w:sz w:val="15"/>
                <w:szCs w:val="15"/>
                <w:color w:val="auto"/>
              </w:rPr>
            </w:pPr>
          </w:p>
        </w:tc>
        <w:tc>
          <w:tcPr>
            <w:tcW w:w="360" w:type="dxa"/>
            <w:vAlign w:val="bottom"/>
            <w:tcBorders>
              <w:top w:val="single" w:sz="8" w:color="auto"/>
            </w:tcBorders>
            <w:shd w:val="clear" w:color="auto" w:fill="E5E5E5"/>
          </w:tcPr>
          <w:p>
            <w:pPr>
              <w:spacing w:after="0"/>
              <w:rPr>
                <w:sz w:val="15"/>
                <w:szCs w:val="15"/>
                <w:color w:val="auto"/>
              </w:rPr>
            </w:pPr>
          </w:p>
        </w:tc>
        <w:tc>
          <w:tcPr>
            <w:tcW w:w="78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(220)</w:t>
            </w:r>
          </w:p>
        </w:tc>
      </w:tr>
      <w:tr>
        <w:trPr>
          <w:trHeight w:val="190"/>
        </w:trPr>
        <w:tc>
          <w:tcPr>
            <w:tcW w:w="65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979</w:t>
            </w:r>
          </w:p>
        </w:tc>
        <w:tc>
          <w:tcPr>
            <w:tcW w:w="120" w:type="dxa"/>
            <w:vAlign w:val="bottom"/>
            <w:tcBorders>
              <w:bottom w:val="single" w:sz="8" w:color="E5E5E5"/>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1,218</w:t>
            </w: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1,148</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1,368</w:t>
            </w:r>
          </w:p>
        </w:tc>
      </w:tr>
      <w:tr>
        <w:trPr>
          <w:trHeight w:val="178"/>
        </w:trPr>
        <w:tc>
          <w:tcPr>
            <w:tcW w:w="6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r>
              <w:rPr>
                <w:rFonts w:ascii="Arial" w:cs="Arial" w:eastAsia="Arial" w:hAnsi="Arial"/>
                <w:sz w:val="12"/>
                <w:szCs w:val="12"/>
                <w:b w:val="1"/>
                <w:bCs w:val="1"/>
                <w:color w:val="auto"/>
                <w:vertAlign w:val="superscript"/>
              </w:rPr>
              <w:t>(1)</w:t>
            </w:r>
          </w:p>
        </w:tc>
        <w:tc>
          <w:tcPr>
            <w:tcW w:w="72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2,795</w:t>
            </w:r>
          </w:p>
        </w:tc>
        <w:tc>
          <w:tcPr>
            <w:tcW w:w="120" w:type="dxa"/>
            <w:vAlign w:val="bottom"/>
            <w:tcBorders>
              <w:bottom w:val="single" w:sz="8" w:color="E5E5E5"/>
            </w:tcBorders>
            <w:shd w:val="clear" w:color="auto" w:fill="E5E5E5"/>
          </w:tcPr>
          <w:p>
            <w:pPr>
              <w:spacing w:after="0"/>
              <w:rPr>
                <w:sz w:val="15"/>
                <w:szCs w:val="15"/>
                <w:color w:val="auto"/>
              </w:rPr>
            </w:pPr>
          </w:p>
        </w:tc>
        <w:tc>
          <w:tcPr>
            <w:tcW w:w="740" w:type="dxa"/>
            <w:vAlign w:val="bottom"/>
            <w:tcBorders>
              <w:bottom w:val="single" w:sz="8" w:color="auto"/>
            </w:tcBorders>
            <w:shd w:val="clear" w:color="auto" w:fill="E5E5E5"/>
          </w:tcPr>
          <w:p>
            <w:pPr>
              <w:jc w:val="right"/>
              <w:ind w:right="608"/>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1,148</w:t>
            </w:r>
          </w:p>
        </w:tc>
        <w:tc>
          <w:tcPr>
            <w:tcW w:w="120" w:type="dxa"/>
            <w:vAlign w:val="bottom"/>
            <w:tcBorders>
              <w:bottom w:val="single" w:sz="8" w:color="E5E5E5"/>
            </w:tcBorders>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2,795</w:t>
            </w:r>
          </w:p>
        </w:tc>
        <w:tc>
          <w:tcPr>
            <w:tcW w:w="100" w:type="dxa"/>
            <w:vAlign w:val="bottom"/>
            <w:tcBorders>
              <w:bottom w:val="single" w:sz="8" w:color="E5E5E5"/>
            </w:tcBorders>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1,148</w:t>
            </w:r>
          </w:p>
        </w:tc>
      </w:tr>
    </w:tbl>
    <w:p>
      <w:pPr>
        <w:spacing w:after="0" w:line="149" w:lineRule="exact"/>
        <w:rPr>
          <w:sz w:val="20"/>
          <w:szCs w:val="20"/>
          <w:color w:val="auto"/>
        </w:rPr>
      </w:pPr>
    </w:p>
    <w:p>
      <w:pPr>
        <w:ind w:left="2"/>
        <w:spacing w:after="0"/>
        <w:rPr>
          <w:sz w:val="20"/>
          <w:szCs w:val="20"/>
          <w:color w:val="auto"/>
        </w:rPr>
      </w:pPr>
      <w:r>
        <w:rPr>
          <w:rFonts w:ascii="Arial" w:cs="Arial" w:eastAsia="Arial" w:hAnsi="Arial"/>
          <w:sz w:val="8"/>
          <w:szCs w:val="8"/>
          <w:color w:val="auto"/>
        </w:rPr>
        <w:t>____________________________</w:t>
      </w:r>
    </w:p>
    <w:p>
      <w:pPr>
        <w:ind w:left="122" w:hanging="122"/>
        <w:spacing w:after="0" w:line="221" w:lineRule="auto"/>
        <w:tabs>
          <w:tab w:leader="none" w:pos="122" w:val="left"/>
        </w:tabs>
        <w:numPr>
          <w:ilvl w:val="0"/>
          <w:numId w:val="8"/>
        </w:numPr>
        <w:rPr>
          <w:rFonts w:ascii="Arial" w:cs="Arial" w:eastAsia="Arial" w:hAnsi="Arial"/>
          <w:sz w:val="14"/>
          <w:szCs w:val="14"/>
          <w:color w:val="auto"/>
          <w:vertAlign w:val="superscript"/>
        </w:rPr>
      </w:pPr>
      <w:r>
        <w:rPr>
          <w:rFonts w:ascii="Arial" w:cs="Arial" w:eastAsia="Arial" w:hAnsi="Arial"/>
          <w:sz w:val="10"/>
          <w:szCs w:val="10"/>
          <w:i w:val="1"/>
          <w:iCs w:val="1"/>
          <w:color w:val="auto"/>
        </w:rPr>
        <w:t>Balance at December 31, 2018 includes $3 million associated with discontinued operations.</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82"/>
          </w:cols>
          <w:pgMar w:left="218" w:top="317" w:right="199" w:bottom="1440" w:gutter="0" w:footer="0" w:header="0"/>
        </w:sectPr>
      </w:pPr>
    </w:p>
    <w:bookmarkStart w:id="14" w:name="page15"/>
    <w:bookmarkEnd w:id="14"/>
    <w:p>
      <w:pPr>
        <w:ind w:left="2"/>
        <w:spacing w:after="0"/>
        <w:rPr>
          <w:sz w:val="20"/>
          <w:szCs w:val="20"/>
          <w:color w:val="auto"/>
        </w:rPr>
      </w:pPr>
      <w:r>
        <w:rPr>
          <w:rFonts w:ascii="Arial" w:cs="Arial" w:eastAsia="Arial" w:hAnsi="Arial"/>
          <w:sz w:val="18"/>
          <w:szCs w:val="18"/>
          <w:b w:val="1"/>
          <w:bCs w:val="1"/>
          <w:color w:val="DA2031"/>
        </w:rPr>
        <w:t>Sales of Ownership Interests in Fuji Xerox Co., Ltd. and Xerox International Partners</w:t>
      </w:r>
    </w:p>
    <w:p>
      <w:pPr>
        <w:spacing w:after="0" w:line="105" w:lineRule="exact"/>
        <w:rPr>
          <w:sz w:val="20"/>
          <w:szCs w:val="20"/>
          <w:color w:val="auto"/>
        </w:rPr>
      </w:pPr>
    </w:p>
    <w:p>
      <w:pPr>
        <w:ind w:left="2" w:right="60"/>
        <w:spacing w:after="0" w:line="300" w:lineRule="auto"/>
        <w:rPr>
          <w:sz w:val="20"/>
          <w:szCs w:val="20"/>
          <w:color w:val="auto"/>
        </w:rPr>
      </w:pPr>
      <w:r>
        <w:rPr>
          <w:rFonts w:ascii="Arial" w:cs="Arial" w:eastAsia="Arial" w:hAnsi="Arial"/>
          <w:sz w:val="12"/>
          <w:szCs w:val="12"/>
          <w:color w:val="auto"/>
        </w:rPr>
        <w:t>In November 2019, Xerox Holdings completed a series of transactions to restructure its relationship with FUJIFILM Holdings Corporation (“FH”), including the sale of its indirect 25% equity interest in Fuji Xerox ("FX") for approximately $2.2 billion as well as the sale of its indirect 51% partnership interest in Xerox International Partners (XIP) for approximately $23 million (collectively the “Sales”).</w:t>
      </w:r>
    </w:p>
    <w:p>
      <w:pPr>
        <w:spacing w:after="0" w:line="63" w:lineRule="exact"/>
        <w:rPr>
          <w:sz w:val="20"/>
          <w:szCs w:val="20"/>
          <w:color w:val="auto"/>
        </w:rPr>
      </w:pPr>
    </w:p>
    <w:p>
      <w:pPr>
        <w:ind w:left="2" w:right="240"/>
        <w:spacing w:after="0" w:line="258" w:lineRule="auto"/>
        <w:rPr>
          <w:sz w:val="20"/>
          <w:szCs w:val="20"/>
          <w:color w:val="auto"/>
        </w:rPr>
      </w:pPr>
      <w:r>
        <w:rPr>
          <w:rFonts w:ascii="Arial" w:cs="Arial" w:eastAsia="Arial" w:hAnsi="Arial"/>
          <w:sz w:val="13"/>
          <w:szCs w:val="13"/>
          <w:color w:val="auto"/>
        </w:rPr>
        <w:t>As a result of the Sales and the related strategic shift in our business, the historical financial results of our equity method investment in FX and our XIP business, which was fully consolidated, are reflected as a discontinued operation for the periods prior to the Sales, and their impact is excluded from continuing operations for all periods presented.</w:t>
      </w:r>
    </w:p>
    <w:p>
      <w:pPr>
        <w:spacing w:after="0" w:line="87" w:lineRule="exact"/>
        <w:rPr>
          <w:sz w:val="20"/>
          <w:szCs w:val="20"/>
          <w:color w:val="auto"/>
        </w:rPr>
      </w:pPr>
    </w:p>
    <w:p>
      <w:pPr>
        <w:ind w:left="2" w:right="20"/>
        <w:spacing w:after="0" w:line="251" w:lineRule="auto"/>
        <w:rPr>
          <w:sz w:val="20"/>
          <w:szCs w:val="20"/>
          <w:color w:val="auto"/>
        </w:rPr>
      </w:pPr>
      <w:r>
        <w:rPr>
          <w:rFonts w:ascii="Arial" w:cs="Arial" w:eastAsia="Arial" w:hAnsi="Arial"/>
          <w:sz w:val="13"/>
          <w:szCs w:val="13"/>
          <w:color w:val="auto"/>
        </w:rPr>
        <w:t>The transactions with FH also included an OEM license agreement by and between FX and Xerox, granting FX the right to use specific Xerox Intellectual Property (IP) in providing certain named original equipment manufacturers (OEM’s) with products (such as printer engines) in exchange for an upfront license fee of $77 million. The license fee is recorded within other revenues. In addition, arrangements with FX whereby we purchase inventory from and sell inventory to FX, will continue post the Sales and, as a result of our Technology Agreement with Fuji Xerox which remains in effect through March 2021, we will continue to receive royalty payments for FX’s use of our Xerox brand trademark, as well as rights to access our patent portfolio in exchange for access to their patent portfolio.</w:t>
      </w:r>
    </w:p>
    <w:p>
      <w:pPr>
        <w:spacing w:after="0" w:line="93" w:lineRule="exact"/>
        <w:rPr>
          <w:sz w:val="20"/>
          <w:szCs w:val="20"/>
          <w:color w:val="auto"/>
        </w:rPr>
      </w:pPr>
    </w:p>
    <w:p>
      <w:pPr>
        <w:ind w:left="2" w:right="120"/>
        <w:spacing w:after="0" w:line="258" w:lineRule="auto"/>
        <w:rPr>
          <w:sz w:val="20"/>
          <w:szCs w:val="20"/>
          <w:color w:val="auto"/>
        </w:rPr>
      </w:pPr>
      <w:r>
        <w:rPr>
          <w:rFonts w:ascii="Arial" w:cs="Arial" w:eastAsia="Arial" w:hAnsi="Arial"/>
          <w:sz w:val="13"/>
          <w:szCs w:val="13"/>
          <w:color w:val="auto"/>
        </w:rPr>
        <w:t>See the “Discontinued Operations” section for additional information. The $77 million ($58 million after-tax) OEM license had the following impact on our financial results for the Fourth Quarter 2019 and Full Year 2019:</w:t>
      </w:r>
    </w:p>
    <w:p>
      <w:pPr>
        <w:spacing w:after="0" w:line="207" w:lineRule="exact"/>
        <w:rPr>
          <w:sz w:val="20"/>
          <w:szCs w:val="20"/>
          <w:color w:val="auto"/>
        </w:rPr>
      </w:pPr>
    </w:p>
    <w:tbl>
      <w:tblPr>
        <w:tblLayout w:type="fixed"/>
        <w:tblInd w:w="122" w:type="dxa"/>
        <w:tblCellMar>
          <w:top w:w="0" w:type="dxa"/>
          <w:left w:w="0" w:type="dxa"/>
          <w:bottom w:w="0" w:type="dxa"/>
          <w:right w:w="0" w:type="dxa"/>
        </w:tblCellMar>
      </w:tblPr>
      <w:tr>
        <w:trPr>
          <w:trHeight w:val="117"/>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left="8"/>
              <w:spacing w:after="0"/>
              <w:rPr>
                <w:sz w:val="20"/>
                <w:szCs w:val="20"/>
                <w:color w:val="auto"/>
              </w:rPr>
            </w:pPr>
            <w:r>
              <w:rPr>
                <w:rFonts w:ascii="Arial" w:cs="Arial" w:eastAsia="Arial" w:hAnsi="Arial"/>
                <w:sz w:val="10"/>
                <w:szCs w:val="10"/>
                <w:color w:val="auto"/>
              </w:rPr>
              <w:t>Three Months Ended</w:t>
            </w: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color w:val="auto"/>
              </w:rPr>
              <w:t>Year Ended</w:t>
            </w: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 share amounts)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0"/>
                <w:szCs w:val="10"/>
                <w:color w:val="auto"/>
              </w:rPr>
              <w:t>December 31, 2019</w:t>
            </w: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0"/>
                <w:szCs w:val="10"/>
                <w:color w:val="auto"/>
              </w:rPr>
              <w:t>December 31, 2019</w:t>
            </w: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Financial Results from Continuing Operations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2"/>
          </w:tcPr>
          <w:p>
            <w:pPr>
              <w:ind w:left="20"/>
              <w:spacing w:after="0"/>
              <w:rPr>
                <w:sz w:val="20"/>
                <w:szCs w:val="20"/>
                <w:color w:val="auto"/>
              </w:rPr>
            </w:pPr>
            <w:r>
              <w:rPr>
                <w:rFonts w:ascii="Arial" w:cs="Arial" w:eastAsia="Arial" w:hAnsi="Arial"/>
                <w:sz w:val="10"/>
                <w:szCs w:val="10"/>
                <w:color w:val="auto"/>
              </w:rPr>
              <w:t>As Reported Excluding OEM</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right"/>
              <w:ind w:right="28"/>
              <w:spacing w:after="0"/>
              <w:rPr>
                <w:sz w:val="20"/>
                <w:szCs w:val="20"/>
                <w:color w:val="auto"/>
              </w:rPr>
            </w:pPr>
            <w:r>
              <w:rPr>
                <w:rFonts w:ascii="Arial" w:cs="Arial" w:eastAsia="Arial" w:hAnsi="Arial"/>
                <w:sz w:val="10"/>
                <w:szCs w:val="10"/>
                <w:color w:val="auto"/>
              </w:rPr>
              <w:t>As Reported Excluding OEM</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5E5E5"/>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rPr>
              <w:t>As Reported</w:t>
            </w:r>
          </w:p>
        </w:tc>
        <w:tc>
          <w:tcPr>
            <w:tcW w:w="120" w:type="dxa"/>
            <w:vAlign w:val="bottom"/>
            <w:tcBorders>
              <w:bottom w:val="single" w:sz="8" w:color="E5E5E5"/>
            </w:tcBorders>
          </w:tcPr>
          <w:p>
            <w:pPr>
              <w:spacing w:after="0"/>
              <w:rPr>
                <w:sz w:val="11"/>
                <w:szCs w:val="11"/>
                <w:color w:val="auto"/>
              </w:rPr>
            </w:pPr>
          </w:p>
        </w:tc>
        <w:tc>
          <w:tcPr>
            <w:tcW w:w="11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color w:val="auto"/>
              </w:rPr>
              <w:t>OEM License Impact</w:t>
            </w:r>
          </w:p>
        </w:tc>
        <w:tc>
          <w:tcPr>
            <w:tcW w:w="100" w:type="dxa"/>
            <w:vAlign w:val="bottom"/>
            <w:tcBorders>
              <w:bottom w:val="single" w:sz="8" w:color="E5E5E5"/>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rPr>
              <w:t>License Impact</w:t>
            </w:r>
          </w:p>
        </w:tc>
        <w:tc>
          <w:tcPr>
            <w:tcW w:w="100" w:type="dxa"/>
            <w:vAlign w:val="bottom"/>
            <w:tcBorders>
              <w:bottom w:val="single" w:sz="8" w:color="E5E5E5"/>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As Reported</w:t>
            </w:r>
          </w:p>
        </w:tc>
        <w:tc>
          <w:tcPr>
            <w:tcW w:w="100" w:type="dxa"/>
            <w:vAlign w:val="bottom"/>
            <w:tcBorders>
              <w:bottom w:val="single" w:sz="8" w:color="E5E5E5"/>
            </w:tcBorders>
          </w:tcPr>
          <w:p>
            <w:pPr>
              <w:spacing w:after="0"/>
              <w:rPr>
                <w:sz w:val="11"/>
                <w:szCs w:val="11"/>
                <w:color w:val="auto"/>
              </w:rPr>
            </w:pP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color w:val="auto"/>
              </w:rPr>
              <w:t>OEM License Impact</w:t>
            </w:r>
          </w:p>
        </w:tc>
        <w:tc>
          <w:tcPr>
            <w:tcW w:w="10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rPr>
              <w:t>License Impact</w:t>
            </w:r>
          </w:p>
        </w:tc>
        <w:tc>
          <w:tcPr>
            <w:tcW w:w="0" w:type="dxa"/>
            <w:vAlign w:val="bottom"/>
          </w:tcPr>
          <w:p>
            <w:pPr>
              <w:spacing w:after="0"/>
              <w:rPr>
                <w:sz w:val="1"/>
                <w:szCs w:val="1"/>
                <w:color w:val="auto"/>
              </w:rPr>
            </w:pPr>
          </w:p>
        </w:tc>
      </w:tr>
      <w:tr>
        <w:trPr>
          <w:trHeight w:val="179"/>
        </w:trPr>
        <w:tc>
          <w:tcPr>
            <w:tcW w:w="32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Revenue</w:t>
            </w:r>
          </w:p>
        </w:tc>
        <w:tc>
          <w:tcPr>
            <w:tcW w:w="18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(2.2)%</w:t>
            </w: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3.1%</w:t>
            </w: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(6.2)%</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0.8%</w:t>
            </w:r>
          </w:p>
        </w:tc>
        <w:tc>
          <w:tcPr>
            <w:tcW w:w="1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94"/>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 xml:space="preserve">Revenue - CC </w:t>
            </w:r>
            <w:r>
              <w:rPr>
                <w:rFonts w:ascii="Arial" w:cs="Arial" w:eastAsia="Arial" w:hAnsi="Arial"/>
                <w:sz w:val="12"/>
                <w:szCs w:val="12"/>
                <w:color w:val="auto"/>
                <w:vertAlign w:val="superscript"/>
              </w:rPr>
              <w:t>(1)</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204"/>
        </w:trPr>
        <w:tc>
          <w:tcPr>
            <w:tcW w:w="3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Gross Margin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41.6 %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39.7 %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39.7 %</w:t>
            </w: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Adjusted Operating Margin</w:t>
            </w:r>
            <w:r>
              <w:rPr>
                <w:rFonts w:ascii="Arial" w:cs="Arial" w:eastAsia="Arial" w:hAnsi="Arial"/>
                <w:sz w:val="12"/>
                <w:szCs w:val="12"/>
                <w:color w:val="auto"/>
                <w:vertAlign w:val="superscript"/>
              </w:rPr>
              <w:t>(1)</w:t>
            </w: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16.8 %</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14.1 %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13.1 %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12.4 %</w:t>
            </w: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EPS - GAAP</w:t>
            </w: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60" w:type="dxa"/>
            <w:vAlign w:val="bottom"/>
            <w:shd w:val="clear" w:color="auto" w:fill="E5E5E5"/>
          </w:tcPr>
          <w:p>
            <w:pPr>
              <w:jc w:val="right"/>
              <w:ind w:right="88"/>
              <w:spacing w:after="0"/>
              <w:rPr>
                <w:sz w:val="20"/>
                <w:szCs w:val="20"/>
                <w:color w:val="auto"/>
              </w:rPr>
            </w:pPr>
            <w:r>
              <w:rPr>
                <w:rFonts w:ascii="Arial" w:cs="Arial" w:eastAsia="Arial" w:hAnsi="Arial"/>
                <w:sz w:val="10"/>
                <w:szCs w:val="10"/>
                <w:color w:val="auto"/>
              </w:rPr>
              <w:t>1.17</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w:t>
            </w:r>
          </w:p>
        </w:tc>
        <w:tc>
          <w:tcPr>
            <w:tcW w:w="9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0.25</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0.92</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8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2.78</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0.25</w:t>
            </w:r>
          </w:p>
        </w:tc>
        <w:tc>
          <w:tcPr>
            <w:tcW w:w="100" w:type="dxa"/>
            <w:vAlign w:val="bottom"/>
            <w:shd w:val="clear" w:color="auto" w:fill="E5E5E5"/>
          </w:tcPr>
          <w:p>
            <w:pPr>
              <w:spacing w:after="0"/>
              <w:rPr>
                <w:sz w:val="16"/>
                <w:szCs w:val="16"/>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40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194"/>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EPS - Adjusted</w:t>
            </w:r>
            <w:r>
              <w:rPr>
                <w:rFonts w:ascii="Arial" w:cs="Arial" w:eastAsia="Arial" w:hAnsi="Arial"/>
                <w:sz w:val="12"/>
                <w:szCs w:val="12"/>
                <w:color w:val="auto"/>
                <w:vertAlign w:val="superscript"/>
              </w:rPr>
              <w:t>(1)</w:t>
            </w: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8"/>
              <w:spacing w:after="0"/>
              <w:rPr>
                <w:sz w:val="20"/>
                <w:szCs w:val="20"/>
                <w:color w:val="auto"/>
              </w:rPr>
            </w:pPr>
            <w:r>
              <w:rPr>
                <w:rFonts w:ascii="Arial" w:cs="Arial" w:eastAsia="Arial" w:hAnsi="Arial"/>
                <w:sz w:val="10"/>
                <w:szCs w:val="10"/>
                <w:color w:val="auto"/>
              </w:rPr>
              <w:t>1.33</w:t>
            </w:r>
          </w:p>
        </w:tc>
        <w:tc>
          <w:tcPr>
            <w:tcW w:w="120" w:type="dxa"/>
            <w:vAlign w:val="bottom"/>
          </w:tcPr>
          <w:p>
            <w:pPr>
              <w:spacing w:after="0"/>
              <w:rPr>
                <w:sz w:val="16"/>
                <w:szCs w:val="16"/>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68"/>
              <w:spacing w:after="0"/>
              <w:rPr>
                <w:sz w:val="20"/>
                <w:szCs w:val="20"/>
                <w:color w:val="auto"/>
              </w:rPr>
            </w:pPr>
            <w:r>
              <w:rPr>
                <w:rFonts w:ascii="Arial" w:cs="Arial" w:eastAsia="Arial" w:hAnsi="Arial"/>
                <w:sz w:val="10"/>
                <w:szCs w:val="10"/>
                <w:color w:val="auto"/>
              </w:rPr>
              <w:t>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08"/>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08"/>
              <w:spacing w:after="0"/>
              <w:rPr>
                <w:sz w:val="20"/>
                <w:szCs w:val="20"/>
                <w:color w:val="auto"/>
              </w:rPr>
            </w:pPr>
            <w:r>
              <w:rPr>
                <w:rFonts w:ascii="Arial" w:cs="Arial" w:eastAsia="Arial" w:hAnsi="Arial"/>
                <w:sz w:val="10"/>
                <w:szCs w:val="10"/>
                <w:color w:val="auto"/>
              </w:rPr>
              <w:t>3.55</w:t>
            </w:r>
          </w:p>
        </w:tc>
        <w:tc>
          <w:tcPr>
            <w:tcW w:w="10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68"/>
              <w:spacing w:after="0"/>
              <w:rPr>
                <w:sz w:val="20"/>
                <w:szCs w:val="20"/>
                <w:color w:val="auto"/>
              </w:rPr>
            </w:pPr>
            <w:r>
              <w:rPr>
                <w:rFonts w:ascii="Arial" w:cs="Arial" w:eastAsia="Arial" w:hAnsi="Arial"/>
                <w:sz w:val="10"/>
                <w:szCs w:val="10"/>
                <w:color w:val="auto"/>
              </w:rPr>
              <w:t>0.25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400" w:type="dxa"/>
            <w:vAlign w:val="bottom"/>
          </w:tcPr>
          <w:p>
            <w:pPr>
              <w:jc w:val="right"/>
              <w:ind w:right="108"/>
              <w:spacing w:after="0"/>
              <w:rPr>
                <w:sz w:val="20"/>
                <w:szCs w:val="20"/>
                <w:color w:val="auto"/>
              </w:rPr>
            </w:pPr>
            <w:r>
              <w:rPr>
                <w:rFonts w:ascii="Arial" w:cs="Arial" w:eastAsia="Arial" w:hAnsi="Arial"/>
                <w:sz w:val="10"/>
                <w:szCs w:val="10"/>
                <w:color w:val="auto"/>
              </w:rPr>
              <w:t>3.30</w:t>
            </w:r>
          </w:p>
        </w:tc>
        <w:tc>
          <w:tcPr>
            <w:tcW w:w="0" w:type="dxa"/>
            <w:vAlign w:val="bottom"/>
          </w:tcPr>
          <w:p>
            <w:pPr>
              <w:spacing w:after="0"/>
              <w:rPr>
                <w:sz w:val="1"/>
                <w:szCs w:val="1"/>
                <w:color w:val="auto"/>
              </w:rPr>
            </w:pPr>
          </w:p>
        </w:tc>
      </w:tr>
      <w:tr>
        <w:trPr>
          <w:trHeight w:val="194"/>
        </w:trPr>
        <w:tc>
          <w:tcPr>
            <w:tcW w:w="32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Operating Cash Flow </w:t>
            </w:r>
            <w:r>
              <w:rPr>
                <w:rFonts w:ascii="Arial" w:cs="Arial" w:eastAsia="Arial" w:hAnsi="Arial"/>
                <w:sz w:val="12"/>
                <w:szCs w:val="12"/>
                <w:color w:val="auto"/>
                <w:vertAlign w:val="superscript"/>
              </w:rPr>
              <w:t>(2)</w:t>
            </w: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60" w:type="dxa"/>
            <w:vAlign w:val="bottom"/>
            <w:shd w:val="clear" w:color="auto" w:fill="E5E5E5"/>
          </w:tcPr>
          <w:p>
            <w:pPr>
              <w:jc w:val="right"/>
              <w:ind w:right="88"/>
              <w:spacing w:after="0"/>
              <w:rPr>
                <w:sz w:val="20"/>
                <w:szCs w:val="20"/>
                <w:color w:val="auto"/>
              </w:rPr>
            </w:pPr>
            <w:r>
              <w:rPr>
                <w:rFonts w:ascii="Arial" w:cs="Arial" w:eastAsia="Arial" w:hAnsi="Arial"/>
                <w:sz w:val="10"/>
                <w:szCs w:val="10"/>
                <w:color w:val="auto"/>
              </w:rPr>
              <w:t>398</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w:t>
            </w:r>
          </w:p>
        </w:tc>
        <w:tc>
          <w:tcPr>
            <w:tcW w:w="9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58</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340</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8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w:t>
            </w:r>
          </w:p>
        </w:tc>
        <w:tc>
          <w:tcPr>
            <w:tcW w:w="9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58</w:t>
            </w:r>
          </w:p>
        </w:tc>
        <w:tc>
          <w:tcPr>
            <w:tcW w:w="100" w:type="dxa"/>
            <w:vAlign w:val="bottom"/>
            <w:shd w:val="clear" w:color="auto" w:fill="E5E5E5"/>
          </w:tcPr>
          <w:p>
            <w:pPr>
              <w:spacing w:after="0"/>
              <w:rPr>
                <w:sz w:val="16"/>
                <w:szCs w:val="16"/>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40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1,186</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
        <w:spacing w:after="0"/>
        <w:rPr>
          <w:sz w:val="20"/>
          <w:szCs w:val="20"/>
          <w:color w:val="auto"/>
        </w:rPr>
      </w:pPr>
      <w:r>
        <w:rPr>
          <w:rFonts w:ascii="Arial" w:cs="Arial" w:eastAsia="Arial" w:hAnsi="Arial"/>
          <w:sz w:val="8"/>
          <w:szCs w:val="8"/>
          <w:color w:val="auto"/>
        </w:rPr>
        <w:t>______________________</w:t>
      </w:r>
    </w:p>
    <w:p>
      <w:pPr>
        <w:spacing w:after="0" w:line="30" w:lineRule="exact"/>
        <w:rPr>
          <w:sz w:val="20"/>
          <w:szCs w:val="20"/>
          <w:color w:val="auto"/>
        </w:rPr>
      </w:pPr>
    </w:p>
    <w:p>
      <w:pPr>
        <w:ind w:left="2"/>
        <w:spacing w:after="0"/>
        <w:rPr>
          <w:sz w:val="20"/>
          <w:szCs w:val="20"/>
          <w:color w:val="auto"/>
        </w:rPr>
      </w:pPr>
      <w:r>
        <w:rPr>
          <w:rFonts w:ascii="Arial" w:cs="Arial" w:eastAsia="Arial" w:hAnsi="Arial"/>
          <w:sz w:val="10"/>
          <w:szCs w:val="10"/>
          <w:i w:val="1"/>
          <w:iCs w:val="1"/>
          <w:color w:val="auto"/>
        </w:rPr>
        <w:t>CC - Constant Currency.</w:t>
      </w:r>
    </w:p>
    <w:p>
      <w:pPr>
        <w:spacing w:after="0" w:line="36" w:lineRule="exact"/>
        <w:rPr>
          <w:sz w:val="20"/>
          <w:szCs w:val="20"/>
          <w:color w:val="auto"/>
        </w:rPr>
      </w:pPr>
    </w:p>
    <w:p>
      <w:pPr>
        <w:ind w:left="102" w:hanging="102"/>
        <w:spacing w:after="0"/>
        <w:tabs>
          <w:tab w:leader="none" w:pos="102" w:val="left"/>
        </w:tabs>
        <w:numPr>
          <w:ilvl w:val="0"/>
          <w:numId w:val="9"/>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Adjusted measures and CC: see the “Non-GAAP Financial Measures” section for an explanation of the non-GAAP financial measures.</w:t>
      </w:r>
    </w:p>
    <w:p>
      <w:pPr>
        <w:spacing w:after="0" w:line="31" w:lineRule="exact"/>
        <w:rPr>
          <w:rFonts w:ascii="Arial" w:cs="Arial" w:eastAsia="Arial" w:hAnsi="Arial"/>
          <w:sz w:val="12"/>
          <w:szCs w:val="12"/>
          <w:i w:val="1"/>
          <w:iCs w:val="1"/>
          <w:color w:val="auto"/>
          <w:vertAlign w:val="superscript"/>
        </w:rPr>
      </w:pPr>
    </w:p>
    <w:p>
      <w:pPr>
        <w:ind w:left="102" w:hanging="102"/>
        <w:spacing w:after="0" w:line="215" w:lineRule="auto"/>
        <w:tabs>
          <w:tab w:leader="none" w:pos="102" w:val="left"/>
        </w:tabs>
        <w:numPr>
          <w:ilvl w:val="0"/>
          <w:numId w:val="9"/>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Free cash flow likewise impacted by $58 million from OEM license.</w:t>
      </w:r>
    </w:p>
    <w:p>
      <w:pPr>
        <w:spacing w:after="0" w:line="200" w:lineRule="exact"/>
        <w:rPr>
          <w:sz w:val="20"/>
          <w:szCs w:val="20"/>
          <w:color w:val="auto"/>
        </w:rPr>
      </w:pPr>
    </w:p>
    <w:p>
      <w:pPr>
        <w:spacing w:after="0" w:line="372" w:lineRule="exact"/>
        <w:rPr>
          <w:sz w:val="20"/>
          <w:szCs w:val="20"/>
          <w:color w:val="auto"/>
        </w:rPr>
      </w:pPr>
    </w:p>
    <w:p>
      <w:pPr>
        <w:jc w:val="center"/>
        <w:ind w:right="-121"/>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42"/>
          </w:cols>
          <w:pgMar w:left="218" w:top="439" w:right="339" w:bottom="1440" w:gutter="0" w:footer="0" w:header="0"/>
        </w:sectPr>
      </w:pPr>
    </w:p>
    <w:bookmarkStart w:id="15" w:name="page16"/>
    <w:bookmarkEnd w:id="15"/>
    <w:p>
      <w:pPr>
        <w:ind w:left="2"/>
        <w:spacing w:after="0"/>
        <w:rPr>
          <w:sz w:val="20"/>
          <w:szCs w:val="20"/>
          <w:color w:val="auto"/>
        </w:rPr>
      </w:pPr>
      <w:r>
        <w:rPr>
          <w:rFonts w:ascii="Arial" w:cs="Arial" w:eastAsia="Arial" w:hAnsi="Arial"/>
          <w:sz w:val="18"/>
          <w:szCs w:val="18"/>
          <w:b w:val="1"/>
          <w:bCs w:val="1"/>
          <w:color w:val="DA2031"/>
        </w:rPr>
        <w:t>Revenues</w:t>
      </w:r>
    </w:p>
    <w:p>
      <w:pPr>
        <w:spacing w:after="0" w:line="148"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jc w:val="right"/>
              <w:ind w:right="248"/>
              <w:spacing w:after="0"/>
              <w:rPr>
                <w:sz w:val="20"/>
                <w:szCs w:val="20"/>
                <w:color w:val="auto"/>
              </w:rPr>
            </w:pPr>
            <w:r>
              <w:rPr>
                <w:rFonts w:ascii="Arial" w:cs="Arial" w:eastAsia="Arial" w:hAnsi="Arial"/>
                <w:sz w:val="10"/>
                <w:szCs w:val="10"/>
                <w:color w:val="auto"/>
              </w:rPr>
              <w:t>Three Months Ended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4"/>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0"/>
                <w:szCs w:val="10"/>
                <w:color w:val="auto"/>
              </w:rPr>
              <w:t>December 31,</w:t>
            </w: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color w:val="auto"/>
              </w:rPr>
              <w:t>% of Total Revenue</w:t>
            </w:r>
          </w:p>
        </w:tc>
      </w:t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2"/>
          </w:tcPr>
          <w:p>
            <w:pPr>
              <w:jc w:val="center"/>
              <w:ind w:left="68"/>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Change</w:t>
            </w:r>
          </w:p>
        </w:tc>
        <w:tc>
          <w:tcPr>
            <w:tcW w:w="100" w:type="dxa"/>
            <w:vAlign w:val="bottom"/>
            <w:tcBorders>
              <w:bottom w:val="single" w:sz="8" w:color="E5E5E5"/>
            </w:tcBorders>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CC % Change</w:t>
            </w:r>
          </w:p>
        </w:tc>
        <w:tc>
          <w:tcPr>
            <w:tcW w:w="12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center"/>
              <w:ind w:left="348"/>
              <w:spacing w:after="0"/>
              <w:rPr>
                <w:sz w:val="20"/>
                <w:szCs w:val="20"/>
                <w:color w:val="auto"/>
              </w:rPr>
            </w:pPr>
            <w:r>
              <w:rPr>
                <w:rFonts w:ascii="Arial" w:cs="Arial" w:eastAsia="Arial" w:hAnsi="Arial"/>
                <w:sz w:val="10"/>
                <w:szCs w:val="10"/>
                <w:color w:val="auto"/>
              </w:rPr>
              <w:t>2019</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E5E5E5"/>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2018</w:t>
            </w:r>
          </w:p>
        </w:tc>
      </w:tr>
      <w:tr>
        <w:trPr>
          <w:trHeight w:val="179"/>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Equipment sales</w:t>
            </w: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616</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629</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(2.1)%</w:t>
            </w: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(1.5)%</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jc w:val="center"/>
              <w:ind w:left="348"/>
              <w:spacing w:after="0"/>
              <w:rPr>
                <w:sz w:val="20"/>
                <w:szCs w:val="20"/>
                <w:color w:val="auto"/>
              </w:rPr>
            </w:pPr>
            <w:r>
              <w:rPr>
                <w:rFonts w:ascii="Arial" w:cs="Arial" w:eastAsia="Arial" w:hAnsi="Arial"/>
                <w:sz w:val="10"/>
                <w:szCs w:val="10"/>
                <w:color w:val="auto"/>
                <w:w w:val="99"/>
              </w:rPr>
              <w:t>25%</w:t>
            </w:r>
          </w:p>
        </w:tc>
        <w:tc>
          <w:tcPr>
            <w:tcW w:w="1680" w:type="dxa"/>
            <w:vAlign w:val="bottom"/>
            <w:gridSpan w:val="3"/>
            <w:shd w:val="clear" w:color="auto" w:fill="E5E5E5"/>
          </w:tcPr>
          <w:p>
            <w:pPr>
              <w:jc w:val="center"/>
              <w:ind w:left="468"/>
              <w:spacing w:after="0"/>
              <w:rPr>
                <w:sz w:val="20"/>
                <w:szCs w:val="20"/>
                <w:color w:val="auto"/>
              </w:rPr>
            </w:pPr>
            <w:r>
              <w:rPr>
                <w:rFonts w:ascii="Arial" w:cs="Arial" w:eastAsia="Arial" w:hAnsi="Arial"/>
                <w:sz w:val="10"/>
                <w:szCs w:val="10"/>
                <w:color w:val="auto"/>
                <w:w w:val="99"/>
              </w:rPr>
              <w:t>25%</w:t>
            </w:r>
          </w:p>
        </w:tc>
      </w:tr>
      <w:tr>
        <w:trPr>
          <w:trHeight w:val="190"/>
        </w:trPr>
        <w:tc>
          <w:tcPr>
            <w:tcW w:w="40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Post sale revenue</w:t>
            </w: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1,828</w:t>
            </w:r>
          </w:p>
        </w:tc>
        <w:tc>
          <w:tcPr>
            <w:tcW w:w="12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1,869</w:t>
            </w:r>
          </w:p>
        </w:tc>
        <w:tc>
          <w:tcPr>
            <w:tcW w:w="1280" w:type="dxa"/>
            <w:vAlign w:val="bottom"/>
            <w:tcBorders>
              <w:bottom w:val="single" w:sz="8" w:color="E5E5E5"/>
            </w:tcBorders>
            <w:gridSpan w:val="2"/>
          </w:tcPr>
          <w:p>
            <w:pPr>
              <w:jc w:val="center"/>
              <w:ind w:left="68"/>
              <w:spacing w:after="0"/>
              <w:rPr>
                <w:sz w:val="20"/>
                <w:szCs w:val="20"/>
                <w:color w:val="auto"/>
              </w:rPr>
            </w:pPr>
            <w:r>
              <w:rPr>
                <w:rFonts w:ascii="Arial" w:cs="Arial" w:eastAsia="Arial" w:hAnsi="Arial"/>
                <w:sz w:val="10"/>
                <w:szCs w:val="10"/>
                <w:color w:val="auto"/>
              </w:rPr>
              <w:t>(2.2)%</w:t>
            </w:r>
          </w:p>
        </w:tc>
        <w:tc>
          <w:tcPr>
            <w:tcW w:w="10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center"/>
              <w:ind w:left="348"/>
              <w:spacing w:after="0"/>
              <w:rPr>
                <w:sz w:val="20"/>
                <w:szCs w:val="20"/>
                <w:color w:val="auto"/>
              </w:rPr>
            </w:pPr>
            <w:r>
              <w:rPr>
                <w:rFonts w:ascii="Arial" w:cs="Arial" w:eastAsia="Arial" w:hAnsi="Arial"/>
                <w:sz w:val="10"/>
                <w:szCs w:val="10"/>
                <w:color w:val="auto"/>
                <w:w w:val="99"/>
              </w:rPr>
              <w:t>75%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75%</w:t>
            </w:r>
          </w:p>
        </w:tc>
      </w:tr>
      <w:tr>
        <w:trPr>
          <w:trHeight w:val="178"/>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Revenue</w:t>
            </w: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2,444</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2,498</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(2.2)%</w:t>
            </w: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(1.6)%</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jc w:val="center"/>
              <w:ind w:left="368"/>
              <w:spacing w:after="0"/>
              <w:rPr>
                <w:sz w:val="20"/>
                <w:szCs w:val="20"/>
                <w:color w:val="auto"/>
              </w:rPr>
            </w:pPr>
            <w:r>
              <w:rPr>
                <w:rFonts w:ascii="Arial" w:cs="Arial" w:eastAsia="Arial" w:hAnsi="Arial"/>
                <w:sz w:val="10"/>
                <w:szCs w:val="10"/>
                <w:color w:val="auto"/>
              </w:rPr>
              <w:t>100%</w:t>
            </w:r>
          </w:p>
        </w:tc>
        <w:tc>
          <w:tcPr>
            <w:tcW w:w="1680" w:type="dxa"/>
            <w:vAlign w:val="bottom"/>
            <w:gridSpan w:val="3"/>
            <w:shd w:val="clear" w:color="auto" w:fill="E5E5E5"/>
          </w:tcPr>
          <w:p>
            <w:pPr>
              <w:jc w:val="center"/>
              <w:ind w:left="448"/>
              <w:spacing w:after="0"/>
              <w:rPr>
                <w:sz w:val="20"/>
                <w:szCs w:val="20"/>
                <w:color w:val="auto"/>
              </w:rPr>
            </w:pPr>
            <w:r>
              <w:rPr>
                <w:rFonts w:ascii="Arial" w:cs="Arial" w:eastAsia="Arial" w:hAnsi="Arial"/>
                <w:sz w:val="10"/>
                <w:szCs w:val="10"/>
                <w:color w:val="auto"/>
              </w:rPr>
              <w:t>100%</w:t>
            </w:r>
          </w:p>
        </w:tc>
      </w:tr>
      <w:tr>
        <w:trPr>
          <w:trHeight w:val="194"/>
        </w:trPr>
        <w:tc>
          <w:tcPr>
            <w:tcW w:w="3900" w:type="dxa"/>
            <w:vAlign w:val="bottom"/>
            <w:tcBorders>
              <w:top w:val="single" w:sz="8" w:color="E5E5E5"/>
            </w:tcBorders>
          </w:tcPr>
          <w:p>
            <w:pPr>
              <w:spacing w:after="0"/>
              <w:rPr>
                <w:sz w:val="16"/>
                <w:szCs w:val="16"/>
                <w:color w:val="auto"/>
              </w:rPr>
            </w:pPr>
          </w:p>
        </w:tc>
        <w:tc>
          <w:tcPr>
            <w:tcW w:w="120" w:type="dxa"/>
            <w:vAlign w:val="bottom"/>
            <w:tcBorders>
              <w:top w:val="single" w:sz="8" w:color="E5E5E5"/>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E5E5E5"/>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E5E5E5"/>
            </w:tcBorders>
          </w:tcPr>
          <w:p>
            <w:pPr>
              <w:spacing w:after="0"/>
              <w:rPr>
                <w:sz w:val="16"/>
                <w:szCs w:val="16"/>
                <w:color w:val="auto"/>
              </w:rPr>
            </w:pPr>
          </w:p>
        </w:tc>
        <w:tc>
          <w:tcPr>
            <w:tcW w:w="1160" w:type="dxa"/>
            <w:vAlign w:val="bottom"/>
            <w:tcBorders>
              <w:top w:val="single" w:sz="8" w:color="E5E5E5"/>
            </w:tcBorders>
          </w:tcPr>
          <w:p>
            <w:pPr>
              <w:spacing w:after="0"/>
              <w:rPr>
                <w:sz w:val="16"/>
                <w:szCs w:val="16"/>
                <w:color w:val="auto"/>
              </w:rPr>
            </w:pPr>
          </w:p>
        </w:tc>
        <w:tc>
          <w:tcPr>
            <w:tcW w:w="100" w:type="dxa"/>
            <w:vAlign w:val="bottom"/>
            <w:tcBorders>
              <w:top w:val="single" w:sz="8" w:color="E5E5E5"/>
            </w:tcBorders>
          </w:tcPr>
          <w:p>
            <w:pPr>
              <w:spacing w:after="0"/>
              <w:rPr>
                <w:sz w:val="16"/>
                <w:szCs w:val="16"/>
                <w:color w:val="auto"/>
              </w:rPr>
            </w:pPr>
          </w:p>
        </w:tc>
        <w:tc>
          <w:tcPr>
            <w:tcW w:w="1140" w:type="dxa"/>
            <w:vAlign w:val="bottom"/>
            <w:tcBorders>
              <w:top w:val="single" w:sz="8" w:color="E5E5E5"/>
            </w:tcBorders>
          </w:tcPr>
          <w:p>
            <w:pPr>
              <w:spacing w:after="0"/>
              <w:rPr>
                <w:sz w:val="16"/>
                <w:szCs w:val="16"/>
                <w:color w:val="auto"/>
              </w:rPr>
            </w:pPr>
          </w:p>
        </w:tc>
        <w:tc>
          <w:tcPr>
            <w:tcW w:w="120" w:type="dxa"/>
            <w:vAlign w:val="bottom"/>
            <w:tcBorders>
              <w:top w:val="single" w:sz="8" w:color="E5E5E5"/>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E5E5E5"/>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194"/>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Reconciliation to Condensed Consolidated Statements of Income:</w:t>
            </w:r>
          </w:p>
        </w:tc>
        <w:tc>
          <w:tcPr>
            <w:tcW w:w="7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r>
      <w:tr>
        <w:trPr>
          <w:trHeight w:val="194"/>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Sales</w:t>
            </w:r>
            <w:r>
              <w:rPr>
                <w:rFonts w:ascii="Arial" w:cs="Arial" w:eastAsia="Arial" w:hAnsi="Arial"/>
                <w:sz w:val="12"/>
                <w:szCs w:val="12"/>
                <w:color w:val="auto"/>
                <w:vertAlign w:val="superscript"/>
              </w:rPr>
              <w:t>(1)</w:t>
            </w:r>
          </w:p>
        </w:tc>
        <w:tc>
          <w:tcPr>
            <w:tcW w:w="700" w:type="dxa"/>
            <w:vAlign w:val="bottom"/>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919</w:t>
            </w:r>
          </w:p>
        </w:tc>
        <w:tc>
          <w:tcPr>
            <w:tcW w:w="120" w:type="dxa"/>
            <w:vAlign w:val="bottom"/>
          </w:tcPr>
          <w:p>
            <w:pPr>
              <w:spacing w:after="0"/>
              <w:rPr>
                <w:sz w:val="16"/>
                <w:szCs w:val="16"/>
                <w:color w:val="auto"/>
              </w:rPr>
            </w:pP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48"/>
              <w:spacing w:after="0"/>
              <w:rPr>
                <w:sz w:val="20"/>
                <w:szCs w:val="20"/>
                <w:color w:val="auto"/>
              </w:rPr>
            </w:pPr>
            <w:r>
              <w:rPr>
                <w:rFonts w:ascii="Arial" w:cs="Arial" w:eastAsia="Arial" w:hAnsi="Arial"/>
                <w:sz w:val="10"/>
                <w:szCs w:val="10"/>
                <w:color w:val="auto"/>
              </w:rPr>
              <w:t>958</w:t>
            </w:r>
          </w:p>
        </w:tc>
        <w:tc>
          <w:tcPr>
            <w:tcW w:w="1280" w:type="dxa"/>
            <w:vAlign w:val="bottom"/>
            <w:gridSpan w:val="2"/>
          </w:tcPr>
          <w:p>
            <w:pPr>
              <w:jc w:val="center"/>
              <w:ind w:left="68"/>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Less: Supplies, paper and other sales</w:t>
            </w:r>
            <w:r>
              <w:rPr>
                <w:rFonts w:ascii="Arial" w:cs="Arial" w:eastAsia="Arial" w:hAnsi="Arial"/>
                <w:sz w:val="12"/>
                <w:szCs w:val="12"/>
                <w:color w:val="auto"/>
                <w:vertAlign w:val="superscript"/>
              </w:rPr>
              <w:t>(1)</w:t>
            </w:r>
          </w:p>
        </w:tc>
        <w:tc>
          <w:tcPr>
            <w:tcW w:w="700" w:type="dxa"/>
            <w:vAlign w:val="bottom"/>
            <w:tcBorders>
              <w:bottom w:val="single" w:sz="8" w:color="auto"/>
            </w:tcBorders>
            <w:shd w:val="clear" w:color="auto" w:fill="E5E5E5"/>
          </w:tcPr>
          <w:p>
            <w:pPr>
              <w:spacing w:after="0"/>
              <w:rPr>
                <w:sz w:val="16"/>
                <w:szCs w:val="16"/>
                <w:color w:val="auto"/>
              </w:rPr>
            </w:pPr>
          </w:p>
        </w:tc>
        <w:tc>
          <w:tcPr>
            <w:tcW w:w="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(303)</w:t>
            </w:r>
          </w:p>
        </w:tc>
        <w:tc>
          <w:tcPr>
            <w:tcW w:w="12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(329)</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(7.9)%</w:t>
            </w: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(7.3)%</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r>
      <w:tr>
        <w:trPr>
          <w:trHeight w:val="174"/>
        </w:trPr>
        <w:tc>
          <w:tcPr>
            <w:tcW w:w="40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Equipment Sales</w:t>
            </w:r>
          </w:p>
        </w:tc>
        <w:tc>
          <w:tcPr>
            <w:tcW w:w="70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616</w:t>
            </w:r>
          </w:p>
        </w:tc>
        <w:tc>
          <w:tcPr>
            <w:tcW w:w="120" w:type="dxa"/>
            <w:vAlign w:val="bottom"/>
            <w:tcBorders>
              <w:bottom w:val="single" w:sz="8" w:color="E5E5E5"/>
            </w:tcBorders>
          </w:tcPr>
          <w:p>
            <w:pPr>
              <w:spacing w:after="0"/>
              <w:rPr>
                <w:sz w:val="15"/>
                <w:szCs w:val="15"/>
                <w:color w:val="auto"/>
              </w:rPr>
            </w:pPr>
          </w:p>
        </w:tc>
        <w:tc>
          <w:tcPr>
            <w:tcW w:w="72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629</w:t>
            </w:r>
          </w:p>
        </w:tc>
        <w:tc>
          <w:tcPr>
            <w:tcW w:w="1280" w:type="dxa"/>
            <w:vAlign w:val="bottom"/>
            <w:tcBorders>
              <w:bottom w:val="single" w:sz="8" w:color="E5E5E5"/>
            </w:tcBorders>
            <w:gridSpan w:val="2"/>
          </w:tcPr>
          <w:p>
            <w:pPr>
              <w:jc w:val="center"/>
              <w:ind w:left="68"/>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E5E5E5"/>
            </w:tcBorders>
          </w:tcPr>
          <w:p>
            <w:pPr>
              <w:spacing w:after="0"/>
              <w:rPr>
                <w:sz w:val="15"/>
                <w:szCs w:val="15"/>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rPr>
              <w:t>(1.5)%</w:t>
            </w:r>
          </w:p>
        </w:tc>
        <w:tc>
          <w:tcPr>
            <w:tcW w:w="120" w:type="dxa"/>
            <w:vAlign w:val="bottom"/>
            <w:tcBorders>
              <w:bottom w:val="single" w:sz="8" w:color="E5E5E5"/>
            </w:tcBorders>
          </w:tcPr>
          <w:p>
            <w:pPr>
              <w:spacing w:after="0"/>
              <w:rPr>
                <w:sz w:val="15"/>
                <w:szCs w:val="15"/>
                <w:color w:val="auto"/>
              </w:rPr>
            </w:pPr>
          </w:p>
        </w:tc>
        <w:tc>
          <w:tcPr>
            <w:tcW w:w="720" w:type="dxa"/>
            <w:vAlign w:val="bottom"/>
            <w:tcBorders>
              <w:bottom w:val="single" w:sz="8" w:color="E5E5E5"/>
            </w:tcBorders>
          </w:tcPr>
          <w:p>
            <w:pPr>
              <w:spacing w:after="0"/>
              <w:rPr>
                <w:sz w:val="15"/>
                <w:szCs w:val="15"/>
                <w:color w:val="auto"/>
              </w:rPr>
            </w:pPr>
          </w:p>
        </w:tc>
        <w:tc>
          <w:tcPr>
            <w:tcW w:w="420" w:type="dxa"/>
            <w:vAlign w:val="bottom"/>
            <w:tcBorders>
              <w:bottom w:val="single" w:sz="8" w:color="E5E5E5"/>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1160" w:type="dxa"/>
            <w:vAlign w:val="bottom"/>
            <w:tcBorders>
              <w:bottom w:val="single" w:sz="8" w:color="E5E5E5"/>
            </w:tcBorders>
          </w:tcPr>
          <w:p>
            <w:pPr>
              <w:spacing w:after="0"/>
              <w:rPr>
                <w:sz w:val="15"/>
                <w:szCs w:val="15"/>
                <w:color w:val="auto"/>
              </w:rPr>
            </w:pPr>
          </w:p>
        </w:tc>
      </w:tr>
      <w:tr>
        <w:trPr>
          <w:trHeight w:val="194"/>
        </w:trPr>
        <w:tc>
          <w:tcPr>
            <w:tcW w:w="39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r>
      <w:tr>
        <w:trPr>
          <w:trHeight w:val="194"/>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Services, maintenance and rentals</w:t>
            </w:r>
            <w:r>
              <w:rPr>
                <w:rFonts w:ascii="Arial" w:cs="Arial" w:eastAsia="Arial" w:hAnsi="Arial"/>
                <w:sz w:val="12"/>
                <w:szCs w:val="12"/>
                <w:color w:val="auto"/>
                <w:vertAlign w:val="superscript"/>
              </w:rPr>
              <w:t>(1)</w:t>
            </w:r>
          </w:p>
        </w:tc>
        <w:tc>
          <w:tcPr>
            <w:tcW w:w="700" w:type="dxa"/>
            <w:vAlign w:val="bottom"/>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1,465</w:t>
            </w:r>
          </w:p>
        </w:tc>
        <w:tc>
          <w:tcPr>
            <w:tcW w:w="120" w:type="dxa"/>
            <w:vAlign w:val="bottom"/>
          </w:tcPr>
          <w:p>
            <w:pPr>
              <w:spacing w:after="0"/>
              <w:rPr>
                <w:sz w:val="16"/>
                <w:szCs w:val="16"/>
                <w:color w:val="auto"/>
              </w:rPr>
            </w:pP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48"/>
              <w:spacing w:after="0"/>
              <w:rPr>
                <w:sz w:val="20"/>
                <w:szCs w:val="20"/>
                <w:color w:val="auto"/>
              </w:rPr>
            </w:pPr>
            <w:r>
              <w:rPr>
                <w:rFonts w:ascii="Arial" w:cs="Arial" w:eastAsia="Arial" w:hAnsi="Arial"/>
                <w:sz w:val="10"/>
                <w:szCs w:val="10"/>
                <w:color w:val="auto"/>
              </w:rPr>
              <w:t>1,476</w:t>
            </w:r>
          </w:p>
        </w:tc>
        <w:tc>
          <w:tcPr>
            <w:tcW w:w="1280" w:type="dxa"/>
            <w:vAlign w:val="bottom"/>
            <w:gridSpan w:val="2"/>
          </w:tcPr>
          <w:p>
            <w:pPr>
              <w:jc w:val="center"/>
              <w:ind w:left="68"/>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rPr>
              <w:t>(0.2)%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Add: Supplies, paper and other sales</w:t>
            </w:r>
            <w:r>
              <w:rPr>
                <w:rFonts w:ascii="Arial" w:cs="Arial" w:eastAsia="Arial" w:hAnsi="Arial"/>
                <w:sz w:val="12"/>
                <w:szCs w:val="12"/>
                <w:color w:val="auto"/>
                <w:vertAlign w:val="superscript"/>
              </w:rPr>
              <w:t>(1)</w:t>
            </w:r>
          </w:p>
        </w:tc>
        <w:tc>
          <w:tcPr>
            <w:tcW w:w="700" w:type="dxa"/>
            <w:vAlign w:val="bottom"/>
            <w:shd w:val="clear" w:color="auto" w:fill="E5E5E5"/>
          </w:tcPr>
          <w:p>
            <w:pPr>
              <w:spacing w:after="0"/>
              <w:rPr>
                <w:sz w:val="16"/>
                <w:szCs w:val="16"/>
                <w:color w:val="auto"/>
              </w:rPr>
            </w:pPr>
          </w:p>
        </w:tc>
        <w:tc>
          <w:tcPr>
            <w:tcW w:w="4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303</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329</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(7.9)%</w:t>
            </w: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(7.3)%</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r>
      <w:tr>
        <w:trPr>
          <w:trHeight w:val="190"/>
        </w:trPr>
        <w:tc>
          <w:tcPr>
            <w:tcW w:w="40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Add: Financing</w:t>
            </w: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60</w:t>
            </w:r>
          </w:p>
        </w:tc>
        <w:tc>
          <w:tcPr>
            <w:tcW w:w="12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64</w:t>
            </w:r>
          </w:p>
        </w:tc>
        <w:tc>
          <w:tcPr>
            <w:tcW w:w="1280" w:type="dxa"/>
            <w:vAlign w:val="bottom"/>
            <w:tcBorders>
              <w:bottom w:val="single" w:sz="8" w:color="E5E5E5"/>
            </w:tcBorders>
            <w:gridSpan w:val="2"/>
          </w:tcPr>
          <w:p>
            <w:pPr>
              <w:jc w:val="center"/>
              <w:ind w:left="68"/>
              <w:spacing w:after="0"/>
              <w:rPr>
                <w:sz w:val="20"/>
                <w:szCs w:val="20"/>
                <w:color w:val="auto"/>
              </w:rPr>
            </w:pPr>
            <w:r>
              <w:rPr>
                <w:rFonts w:ascii="Arial" w:cs="Arial" w:eastAsia="Arial" w:hAnsi="Arial"/>
                <w:sz w:val="10"/>
                <w:szCs w:val="10"/>
                <w:color w:val="auto"/>
              </w:rPr>
              <w:t>(6.3)%</w:t>
            </w:r>
          </w:p>
        </w:tc>
        <w:tc>
          <w:tcPr>
            <w:tcW w:w="10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rPr>
              <w:t>(5.9)%</w:t>
            </w:r>
          </w:p>
        </w:tc>
        <w:tc>
          <w:tcPr>
            <w:tcW w:w="120" w:type="dxa"/>
            <w:vAlign w:val="bottom"/>
            <w:tcBorders>
              <w:bottom w:val="single" w:sz="8" w:color="E5E5E5"/>
            </w:tcBorders>
          </w:tcPr>
          <w:p>
            <w:pPr>
              <w:spacing w:after="0"/>
              <w:rPr>
                <w:sz w:val="16"/>
                <w:szCs w:val="16"/>
                <w:color w:val="auto"/>
              </w:rPr>
            </w:pPr>
          </w:p>
        </w:tc>
        <w:tc>
          <w:tcPr>
            <w:tcW w:w="720" w:type="dxa"/>
            <w:vAlign w:val="bottom"/>
            <w:tcBorders>
              <w:bottom w:val="single" w:sz="8" w:color="E5E5E5"/>
            </w:tcBorders>
          </w:tcPr>
          <w:p>
            <w:pPr>
              <w:spacing w:after="0"/>
              <w:rPr>
                <w:sz w:val="16"/>
                <w:szCs w:val="16"/>
                <w:color w:val="auto"/>
              </w:rPr>
            </w:pPr>
          </w:p>
        </w:tc>
        <w:tc>
          <w:tcPr>
            <w:tcW w:w="4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160" w:type="dxa"/>
            <w:vAlign w:val="bottom"/>
            <w:tcBorders>
              <w:bottom w:val="single" w:sz="8" w:color="E5E5E5"/>
            </w:tcBorders>
          </w:tcPr>
          <w:p>
            <w:pPr>
              <w:spacing w:after="0"/>
              <w:rPr>
                <w:sz w:val="16"/>
                <w:szCs w:val="16"/>
                <w:color w:val="auto"/>
              </w:rPr>
            </w:pPr>
          </w:p>
        </w:tc>
      </w:tr>
      <w:tr>
        <w:trPr>
          <w:trHeight w:val="178"/>
        </w:trPr>
        <w:tc>
          <w:tcPr>
            <w:tcW w:w="4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Post Sale Revenue</w:t>
            </w:r>
          </w:p>
        </w:tc>
        <w:tc>
          <w:tcPr>
            <w:tcW w:w="700" w:type="dxa"/>
            <w:vAlign w:val="bottom"/>
            <w:tcBorders>
              <w:bottom w:val="single" w:sz="8" w:color="auto"/>
            </w:tcBorders>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1,828</w:t>
            </w:r>
          </w:p>
        </w:tc>
        <w:tc>
          <w:tcPr>
            <w:tcW w:w="120" w:type="dxa"/>
            <w:vAlign w:val="bottom"/>
            <w:tcBorders>
              <w:bottom w:val="single" w:sz="8" w:color="E5E5E5"/>
            </w:tcBorders>
            <w:shd w:val="clear" w:color="auto" w:fill="E5E5E5"/>
          </w:tcPr>
          <w:p>
            <w:pPr>
              <w:spacing w:after="0"/>
              <w:rPr>
                <w:sz w:val="15"/>
                <w:szCs w:val="15"/>
                <w:color w:val="auto"/>
              </w:rPr>
            </w:pPr>
          </w:p>
        </w:tc>
        <w:tc>
          <w:tcPr>
            <w:tcW w:w="720" w:type="dxa"/>
            <w:vAlign w:val="bottom"/>
            <w:tcBorders>
              <w:bottom w:val="single" w:sz="8" w:color="auto"/>
            </w:tcBorders>
            <w:shd w:val="clear" w:color="auto" w:fill="E5E5E5"/>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1,869</w:t>
            </w:r>
          </w:p>
        </w:tc>
        <w:tc>
          <w:tcPr>
            <w:tcW w:w="1280" w:type="dxa"/>
            <w:vAlign w:val="bottom"/>
            <w:tcBorders>
              <w:bottom w:val="single" w:sz="8" w:color="E5E5E5"/>
            </w:tcBorders>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(2.2)%</w:t>
            </w:r>
          </w:p>
        </w:tc>
        <w:tc>
          <w:tcPr>
            <w:tcW w:w="100" w:type="dxa"/>
            <w:vAlign w:val="bottom"/>
            <w:tcBorders>
              <w:bottom w:val="single" w:sz="8" w:color="E5E5E5"/>
            </w:tcBorders>
            <w:shd w:val="clear" w:color="auto" w:fill="E5E5E5"/>
          </w:tcPr>
          <w:p>
            <w:pPr>
              <w:spacing w:after="0"/>
              <w:rPr>
                <w:sz w:val="15"/>
                <w:szCs w:val="15"/>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E5E5E5"/>
            </w:tcBorders>
            <w:shd w:val="clear" w:color="auto" w:fill="E5E5E5"/>
          </w:tcPr>
          <w:p>
            <w:pPr>
              <w:spacing w:after="0"/>
              <w:rPr>
                <w:sz w:val="15"/>
                <w:szCs w:val="15"/>
                <w:color w:val="auto"/>
              </w:rPr>
            </w:pPr>
          </w:p>
        </w:tc>
        <w:tc>
          <w:tcPr>
            <w:tcW w:w="720" w:type="dxa"/>
            <w:vAlign w:val="bottom"/>
            <w:tcBorders>
              <w:bottom w:val="single" w:sz="8" w:color="E5E5E5"/>
            </w:tcBorders>
            <w:shd w:val="clear" w:color="auto" w:fill="E5E5E5"/>
          </w:tcPr>
          <w:p>
            <w:pPr>
              <w:spacing w:after="0"/>
              <w:rPr>
                <w:sz w:val="15"/>
                <w:szCs w:val="15"/>
                <w:color w:val="auto"/>
              </w:rPr>
            </w:pPr>
          </w:p>
        </w:tc>
        <w:tc>
          <w:tcPr>
            <w:tcW w:w="42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1160" w:type="dxa"/>
            <w:vAlign w:val="bottom"/>
            <w:tcBorders>
              <w:bottom w:val="single" w:sz="8" w:color="E5E5E5"/>
            </w:tcBorders>
            <w:shd w:val="clear" w:color="auto" w:fill="E5E5E5"/>
          </w:tcPr>
          <w:p>
            <w:pPr>
              <w:spacing w:after="0"/>
              <w:rPr>
                <w:sz w:val="15"/>
                <w:szCs w:val="15"/>
                <w:color w:val="auto"/>
              </w:rPr>
            </w:pPr>
          </w:p>
        </w:tc>
      </w:tr>
      <w:tr>
        <w:trPr>
          <w:trHeight w:val="165"/>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4"/>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Americas</w:t>
            </w: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1,562</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1,617</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(3.4)%</w:t>
            </w: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center"/>
              <w:ind w:left="348"/>
              <w:spacing w:after="0"/>
              <w:rPr>
                <w:sz w:val="20"/>
                <w:szCs w:val="20"/>
                <w:color w:val="auto"/>
              </w:rPr>
            </w:pPr>
            <w:r>
              <w:rPr>
                <w:rFonts w:ascii="Arial" w:cs="Arial" w:eastAsia="Arial" w:hAnsi="Arial"/>
                <w:sz w:val="10"/>
                <w:szCs w:val="10"/>
                <w:color w:val="auto"/>
                <w:w w:val="99"/>
              </w:rPr>
              <w:t>64%</w:t>
            </w:r>
          </w:p>
        </w:tc>
        <w:tc>
          <w:tcPr>
            <w:tcW w:w="1680" w:type="dxa"/>
            <w:vAlign w:val="bottom"/>
            <w:gridSpan w:val="3"/>
            <w:shd w:val="clear" w:color="auto" w:fill="E5E5E5"/>
          </w:tcPr>
          <w:p>
            <w:pPr>
              <w:jc w:val="center"/>
              <w:ind w:left="468"/>
              <w:spacing w:after="0"/>
              <w:rPr>
                <w:sz w:val="20"/>
                <w:szCs w:val="20"/>
                <w:color w:val="auto"/>
              </w:rPr>
            </w:pPr>
            <w:r>
              <w:rPr>
                <w:rFonts w:ascii="Arial" w:cs="Arial" w:eastAsia="Arial" w:hAnsi="Arial"/>
                <w:sz w:val="10"/>
                <w:szCs w:val="10"/>
                <w:color w:val="auto"/>
                <w:w w:val="99"/>
              </w:rPr>
              <w:t>65%</w:t>
            </w:r>
          </w:p>
        </w:tc>
      </w:tr>
      <w:tr>
        <w:trPr>
          <w:trHeight w:val="190"/>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EMEA</w:t>
            </w:r>
          </w:p>
        </w:tc>
        <w:tc>
          <w:tcPr>
            <w:tcW w:w="70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756</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0"/>
                <w:szCs w:val="10"/>
                <w:color w:val="auto"/>
              </w:rPr>
              <w:t>830</w:t>
            </w:r>
          </w:p>
        </w:tc>
        <w:tc>
          <w:tcPr>
            <w:tcW w:w="1280" w:type="dxa"/>
            <w:vAlign w:val="bottom"/>
            <w:gridSpan w:val="2"/>
          </w:tcPr>
          <w:p>
            <w:pPr>
              <w:jc w:val="center"/>
              <w:ind w:left="68"/>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rPr>
              <w:t>(7.4)%</w:t>
            </w:r>
          </w:p>
        </w:tc>
        <w:tc>
          <w:tcPr>
            <w:tcW w:w="120" w:type="dxa"/>
            <w:vAlign w:val="bottom"/>
          </w:tcPr>
          <w:p>
            <w:pPr>
              <w:spacing w:after="0"/>
              <w:rPr>
                <w:sz w:val="16"/>
                <w:szCs w:val="16"/>
                <w:color w:val="auto"/>
              </w:rPr>
            </w:pPr>
          </w:p>
        </w:tc>
        <w:tc>
          <w:tcPr>
            <w:tcW w:w="720" w:type="dxa"/>
            <w:vAlign w:val="bottom"/>
          </w:tcPr>
          <w:p>
            <w:pPr>
              <w:jc w:val="center"/>
              <w:ind w:left="348"/>
              <w:spacing w:after="0"/>
              <w:rPr>
                <w:sz w:val="20"/>
                <w:szCs w:val="20"/>
                <w:color w:val="auto"/>
              </w:rPr>
            </w:pPr>
            <w:r>
              <w:rPr>
                <w:rFonts w:ascii="Arial" w:cs="Arial" w:eastAsia="Arial" w:hAnsi="Arial"/>
                <w:sz w:val="10"/>
                <w:szCs w:val="10"/>
                <w:color w:val="auto"/>
                <w:w w:val="99"/>
              </w:rPr>
              <w:t>31%</w:t>
            </w:r>
          </w:p>
        </w:tc>
        <w:tc>
          <w:tcPr>
            <w:tcW w:w="1680" w:type="dxa"/>
            <w:vAlign w:val="bottom"/>
            <w:gridSpan w:val="3"/>
          </w:tcPr>
          <w:p>
            <w:pPr>
              <w:jc w:val="center"/>
              <w:ind w:left="468"/>
              <w:spacing w:after="0"/>
              <w:rPr>
                <w:sz w:val="20"/>
                <w:szCs w:val="20"/>
                <w:color w:val="auto"/>
              </w:rPr>
            </w:pPr>
            <w:r>
              <w:rPr>
                <w:rFonts w:ascii="Arial" w:cs="Arial" w:eastAsia="Arial" w:hAnsi="Arial"/>
                <w:sz w:val="10"/>
                <w:szCs w:val="10"/>
                <w:color w:val="auto"/>
                <w:w w:val="99"/>
              </w:rPr>
              <w:t>33%</w:t>
            </w:r>
          </w:p>
        </w:tc>
      </w:tr>
      <w:tr>
        <w:trPr>
          <w:trHeight w:val="199"/>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w:t>
            </w:r>
          </w:p>
        </w:tc>
        <w:tc>
          <w:tcPr>
            <w:tcW w:w="70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126</w:t>
            </w:r>
          </w:p>
        </w:tc>
        <w:tc>
          <w:tcPr>
            <w:tcW w:w="120" w:type="dxa"/>
            <w:vAlign w:val="bottom"/>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51</w:t>
            </w:r>
          </w:p>
        </w:tc>
        <w:tc>
          <w:tcPr>
            <w:tcW w:w="12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center"/>
              <w:ind w:right="120"/>
              <w:spacing w:after="0"/>
              <w:rPr>
                <w:sz w:val="20"/>
                <w:szCs w:val="20"/>
                <w:color w:val="auto"/>
              </w:rPr>
            </w:pPr>
            <w:r>
              <w:rPr>
                <w:rFonts w:ascii="Arial" w:cs="Arial" w:eastAsia="Arial" w:hAnsi="Arial"/>
                <w:sz w:val="10"/>
                <w:szCs w:val="10"/>
                <w:color w:val="auto"/>
              </w:rPr>
              <w:t>nm</w:t>
            </w:r>
          </w:p>
        </w:tc>
        <w:tc>
          <w:tcPr>
            <w:tcW w:w="1260" w:type="dxa"/>
            <w:vAlign w:val="bottom"/>
            <w:gridSpan w:val="2"/>
            <w:shd w:val="clear" w:color="auto" w:fill="E5E5E5"/>
          </w:tcPr>
          <w:p>
            <w:pPr>
              <w:jc w:val="center"/>
              <w:ind w:right="120"/>
              <w:spacing w:after="0"/>
              <w:rPr>
                <w:sz w:val="20"/>
                <w:szCs w:val="20"/>
                <w:color w:val="auto"/>
              </w:rPr>
            </w:pPr>
            <w:r>
              <w:rPr>
                <w:rFonts w:ascii="Arial" w:cs="Arial" w:eastAsia="Arial" w:hAnsi="Arial"/>
                <w:sz w:val="10"/>
                <w:szCs w:val="10"/>
                <w:color w:val="auto"/>
              </w:rPr>
              <w:t>nm</w:t>
            </w:r>
          </w:p>
        </w:tc>
        <w:tc>
          <w:tcPr>
            <w:tcW w:w="720" w:type="dxa"/>
            <w:vAlign w:val="bottom"/>
            <w:tcBorders>
              <w:bottom w:val="single" w:sz="8" w:color="auto"/>
            </w:tcBorders>
            <w:shd w:val="clear" w:color="auto" w:fill="E5E5E5"/>
          </w:tcPr>
          <w:p>
            <w:pPr>
              <w:jc w:val="center"/>
              <w:ind w:left="348"/>
              <w:spacing w:after="0"/>
              <w:rPr>
                <w:sz w:val="20"/>
                <w:szCs w:val="20"/>
                <w:color w:val="auto"/>
              </w:rPr>
            </w:pPr>
            <w:r>
              <w:rPr>
                <w:rFonts w:ascii="Arial" w:cs="Arial" w:eastAsia="Arial" w:hAnsi="Arial"/>
                <w:sz w:val="10"/>
                <w:szCs w:val="10"/>
                <w:color w:val="auto"/>
              </w:rPr>
              <w:t>5%</w:t>
            </w:r>
          </w:p>
        </w:tc>
        <w:tc>
          <w:tcPr>
            <w:tcW w:w="420" w:type="dxa"/>
            <w:vAlign w:val="bottom"/>
            <w:tcBorders>
              <w:bottom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rPr>
              <w:t>2%</w:t>
            </w:r>
          </w:p>
        </w:tc>
      </w:tr>
      <w:tr>
        <w:trPr>
          <w:trHeight w:val="174"/>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 Revenue</w:t>
            </w:r>
            <w:r>
              <w:rPr>
                <w:rFonts w:ascii="Arial" w:cs="Arial" w:eastAsia="Arial" w:hAnsi="Arial"/>
                <w:sz w:val="12"/>
                <w:szCs w:val="12"/>
                <w:b w:val="1"/>
                <w:bCs w:val="1"/>
                <w:color w:val="auto"/>
                <w:vertAlign w:val="superscript"/>
              </w:rPr>
              <w:t>(2)</w:t>
            </w:r>
          </w:p>
        </w:tc>
        <w:tc>
          <w:tcPr>
            <w:tcW w:w="700" w:type="dxa"/>
            <w:vAlign w:val="bottom"/>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2,444</w:t>
            </w:r>
          </w:p>
        </w:tc>
        <w:tc>
          <w:tcPr>
            <w:tcW w:w="120" w:type="dxa"/>
            <w:vAlign w:val="bottom"/>
          </w:tcPr>
          <w:p>
            <w:pPr>
              <w:spacing w:after="0"/>
              <w:rPr>
                <w:sz w:val="15"/>
                <w:szCs w:val="15"/>
                <w:color w:val="auto"/>
              </w:rPr>
            </w:pP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48"/>
              <w:spacing w:after="0"/>
              <w:rPr>
                <w:sz w:val="20"/>
                <w:szCs w:val="20"/>
                <w:color w:val="auto"/>
              </w:rPr>
            </w:pPr>
            <w:r>
              <w:rPr>
                <w:rFonts w:ascii="Arial" w:cs="Arial" w:eastAsia="Arial" w:hAnsi="Arial"/>
                <w:sz w:val="10"/>
                <w:szCs w:val="10"/>
                <w:color w:val="auto"/>
              </w:rPr>
              <w:t>2,498</w:t>
            </w:r>
          </w:p>
        </w:tc>
        <w:tc>
          <w:tcPr>
            <w:tcW w:w="1280" w:type="dxa"/>
            <w:vAlign w:val="bottom"/>
            <w:gridSpan w:val="2"/>
          </w:tcPr>
          <w:p>
            <w:pPr>
              <w:jc w:val="center"/>
              <w:ind w:left="68"/>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5"/>
                <w:szCs w:val="15"/>
                <w:color w:val="auto"/>
              </w:rPr>
            </w:pPr>
          </w:p>
        </w:tc>
        <w:tc>
          <w:tcPr>
            <w:tcW w:w="720" w:type="dxa"/>
            <w:vAlign w:val="bottom"/>
          </w:tcPr>
          <w:p>
            <w:pPr>
              <w:jc w:val="center"/>
              <w:ind w:left="368"/>
              <w:spacing w:after="0"/>
              <w:rPr>
                <w:sz w:val="20"/>
                <w:szCs w:val="20"/>
                <w:color w:val="auto"/>
              </w:rPr>
            </w:pPr>
            <w:r>
              <w:rPr>
                <w:rFonts w:ascii="Arial" w:cs="Arial" w:eastAsia="Arial" w:hAnsi="Arial"/>
                <w:sz w:val="10"/>
                <w:szCs w:val="10"/>
                <w:color w:val="auto"/>
              </w:rPr>
              <w:t>100%</w:t>
            </w:r>
          </w:p>
        </w:tc>
        <w:tc>
          <w:tcPr>
            <w:tcW w:w="1680" w:type="dxa"/>
            <w:vAlign w:val="bottom"/>
            <w:gridSpan w:val="3"/>
          </w:tcPr>
          <w:p>
            <w:pPr>
              <w:jc w:val="center"/>
              <w:ind w:left="448"/>
              <w:spacing w:after="0"/>
              <w:rPr>
                <w:sz w:val="20"/>
                <w:szCs w:val="20"/>
                <w:color w:val="auto"/>
              </w:rPr>
            </w:pPr>
            <w:r>
              <w:rPr>
                <w:rFonts w:ascii="Arial" w:cs="Arial" w:eastAsia="Arial" w:hAnsi="Arial"/>
                <w:sz w:val="10"/>
                <w:szCs w:val="10"/>
                <w:color w:val="auto"/>
              </w:rPr>
              <w:t>100%</w:t>
            </w:r>
          </w:p>
        </w:tc>
      </w:tr>
      <w:tr>
        <w:trPr>
          <w:trHeight w:val="165"/>
        </w:trPr>
        <w:tc>
          <w:tcPr>
            <w:tcW w:w="3900" w:type="dxa"/>
            <w:vAlign w:val="bottom"/>
            <w:tcBorders>
              <w:top w:val="single" w:sz="8" w:color="E5E5E5"/>
            </w:tcBorders>
            <w:shd w:val="clear" w:color="auto" w:fill="E5E5E5"/>
          </w:tcPr>
          <w:p>
            <w:pPr>
              <w:spacing w:after="0"/>
              <w:rPr>
                <w:sz w:val="14"/>
                <w:szCs w:val="14"/>
                <w:color w:val="auto"/>
              </w:rPr>
            </w:pPr>
          </w:p>
        </w:tc>
        <w:tc>
          <w:tcPr>
            <w:tcW w:w="120" w:type="dxa"/>
            <w:vAlign w:val="bottom"/>
            <w:tcBorders>
              <w:top w:val="single" w:sz="8" w:color="E5E5E5"/>
            </w:tcBorders>
            <w:shd w:val="clear" w:color="auto" w:fill="E5E5E5"/>
          </w:tcPr>
          <w:p>
            <w:pPr>
              <w:spacing w:after="0"/>
              <w:rPr>
                <w:sz w:val="14"/>
                <w:szCs w:val="14"/>
                <w:color w:val="auto"/>
              </w:rPr>
            </w:pPr>
          </w:p>
        </w:tc>
        <w:tc>
          <w:tcPr>
            <w:tcW w:w="700" w:type="dxa"/>
            <w:vAlign w:val="bottom"/>
            <w:tcBorders>
              <w:top w:val="single" w:sz="8" w:color="auto"/>
            </w:tcBorders>
            <w:shd w:val="clear" w:color="auto" w:fill="E5E5E5"/>
          </w:tcPr>
          <w:p>
            <w:pPr>
              <w:spacing w:after="0"/>
              <w:rPr>
                <w:sz w:val="14"/>
                <w:szCs w:val="14"/>
                <w:color w:val="auto"/>
              </w:rPr>
            </w:pPr>
          </w:p>
        </w:tc>
        <w:tc>
          <w:tcPr>
            <w:tcW w:w="460" w:type="dxa"/>
            <w:vAlign w:val="bottom"/>
            <w:tcBorders>
              <w:top w:val="single" w:sz="8" w:color="auto"/>
            </w:tcBorders>
            <w:shd w:val="clear" w:color="auto" w:fill="E5E5E5"/>
          </w:tcPr>
          <w:p>
            <w:pPr>
              <w:spacing w:after="0"/>
              <w:rPr>
                <w:sz w:val="14"/>
                <w:szCs w:val="14"/>
                <w:color w:val="auto"/>
              </w:rPr>
            </w:pPr>
          </w:p>
        </w:tc>
        <w:tc>
          <w:tcPr>
            <w:tcW w:w="120" w:type="dxa"/>
            <w:vAlign w:val="bottom"/>
            <w:tcBorders>
              <w:top w:val="single" w:sz="8" w:color="E5E5E5"/>
            </w:tcBorders>
            <w:shd w:val="clear" w:color="auto" w:fill="E5E5E5"/>
          </w:tcPr>
          <w:p>
            <w:pPr>
              <w:spacing w:after="0"/>
              <w:rPr>
                <w:sz w:val="14"/>
                <w:szCs w:val="14"/>
                <w:color w:val="auto"/>
              </w:rPr>
            </w:pPr>
          </w:p>
        </w:tc>
        <w:tc>
          <w:tcPr>
            <w:tcW w:w="720" w:type="dxa"/>
            <w:vAlign w:val="bottom"/>
            <w:tcBorders>
              <w:top w:val="single" w:sz="8" w:color="auto"/>
            </w:tcBorders>
            <w:shd w:val="clear" w:color="auto" w:fill="E5E5E5"/>
          </w:tcPr>
          <w:p>
            <w:pPr>
              <w:spacing w:after="0"/>
              <w:rPr>
                <w:sz w:val="14"/>
                <w:szCs w:val="14"/>
                <w:color w:val="auto"/>
              </w:rPr>
            </w:pPr>
          </w:p>
        </w:tc>
        <w:tc>
          <w:tcPr>
            <w:tcW w:w="420" w:type="dxa"/>
            <w:vAlign w:val="bottom"/>
            <w:tcBorders>
              <w:top w:val="single" w:sz="8" w:color="auto"/>
            </w:tcBorders>
            <w:shd w:val="clear" w:color="auto" w:fill="E5E5E5"/>
          </w:tcPr>
          <w:p>
            <w:pPr>
              <w:spacing w:after="0"/>
              <w:rPr>
                <w:sz w:val="14"/>
                <w:szCs w:val="14"/>
                <w:color w:val="auto"/>
              </w:rPr>
            </w:pPr>
          </w:p>
        </w:tc>
        <w:tc>
          <w:tcPr>
            <w:tcW w:w="120" w:type="dxa"/>
            <w:vAlign w:val="bottom"/>
            <w:tcBorders>
              <w:top w:val="single" w:sz="8" w:color="E5E5E5"/>
            </w:tcBorders>
            <w:shd w:val="clear" w:color="auto" w:fill="E5E5E5"/>
          </w:tcPr>
          <w:p>
            <w:pPr>
              <w:spacing w:after="0"/>
              <w:rPr>
                <w:sz w:val="14"/>
                <w:szCs w:val="14"/>
                <w:color w:val="auto"/>
              </w:rPr>
            </w:pPr>
          </w:p>
        </w:tc>
        <w:tc>
          <w:tcPr>
            <w:tcW w:w="1160" w:type="dxa"/>
            <w:vAlign w:val="bottom"/>
            <w:tcBorders>
              <w:top w:val="single" w:sz="8" w:color="E5E5E5"/>
            </w:tcBorders>
            <w:shd w:val="clear" w:color="auto" w:fill="E5E5E5"/>
          </w:tcPr>
          <w:p>
            <w:pPr>
              <w:spacing w:after="0"/>
              <w:rPr>
                <w:sz w:val="14"/>
                <w:szCs w:val="14"/>
                <w:color w:val="auto"/>
              </w:rPr>
            </w:pPr>
          </w:p>
        </w:tc>
        <w:tc>
          <w:tcPr>
            <w:tcW w:w="100" w:type="dxa"/>
            <w:vAlign w:val="bottom"/>
            <w:tcBorders>
              <w:top w:val="single" w:sz="8" w:color="E5E5E5"/>
            </w:tcBorders>
            <w:shd w:val="clear" w:color="auto" w:fill="E5E5E5"/>
          </w:tcPr>
          <w:p>
            <w:pPr>
              <w:spacing w:after="0"/>
              <w:rPr>
                <w:sz w:val="14"/>
                <w:szCs w:val="14"/>
                <w:color w:val="auto"/>
              </w:rPr>
            </w:pPr>
          </w:p>
        </w:tc>
        <w:tc>
          <w:tcPr>
            <w:tcW w:w="1140" w:type="dxa"/>
            <w:vAlign w:val="bottom"/>
            <w:tcBorders>
              <w:top w:val="single" w:sz="8" w:color="E5E5E5"/>
            </w:tcBorders>
            <w:shd w:val="clear" w:color="auto" w:fill="E5E5E5"/>
          </w:tcPr>
          <w:p>
            <w:pPr>
              <w:spacing w:after="0"/>
              <w:rPr>
                <w:sz w:val="14"/>
                <w:szCs w:val="14"/>
                <w:color w:val="auto"/>
              </w:rPr>
            </w:pPr>
          </w:p>
        </w:tc>
        <w:tc>
          <w:tcPr>
            <w:tcW w:w="120" w:type="dxa"/>
            <w:vAlign w:val="bottom"/>
            <w:tcBorders>
              <w:top w:val="single" w:sz="8" w:color="E5E5E5"/>
            </w:tcBorders>
            <w:shd w:val="clear" w:color="auto" w:fill="E5E5E5"/>
          </w:tcPr>
          <w:p>
            <w:pPr>
              <w:spacing w:after="0"/>
              <w:rPr>
                <w:sz w:val="14"/>
                <w:szCs w:val="14"/>
                <w:color w:val="auto"/>
              </w:rPr>
            </w:pPr>
          </w:p>
        </w:tc>
        <w:tc>
          <w:tcPr>
            <w:tcW w:w="720" w:type="dxa"/>
            <w:vAlign w:val="bottom"/>
            <w:tcBorders>
              <w:top w:val="single" w:sz="8" w:color="auto"/>
            </w:tcBorders>
            <w:shd w:val="clear" w:color="auto" w:fill="E5E5E5"/>
          </w:tcPr>
          <w:p>
            <w:pPr>
              <w:spacing w:after="0"/>
              <w:rPr>
                <w:sz w:val="14"/>
                <w:szCs w:val="14"/>
                <w:color w:val="auto"/>
              </w:rPr>
            </w:pPr>
          </w:p>
        </w:tc>
        <w:tc>
          <w:tcPr>
            <w:tcW w:w="420" w:type="dxa"/>
            <w:vAlign w:val="bottom"/>
            <w:tcBorders>
              <w:top w:val="single" w:sz="8" w:color="auto"/>
            </w:tcBorders>
            <w:shd w:val="clear" w:color="auto" w:fill="E5E5E5"/>
          </w:tcPr>
          <w:p>
            <w:pPr>
              <w:spacing w:after="0"/>
              <w:rPr>
                <w:sz w:val="14"/>
                <w:szCs w:val="14"/>
                <w:color w:val="auto"/>
              </w:rPr>
            </w:pPr>
          </w:p>
        </w:tc>
        <w:tc>
          <w:tcPr>
            <w:tcW w:w="100" w:type="dxa"/>
            <w:vAlign w:val="bottom"/>
            <w:tcBorders>
              <w:top w:val="single" w:sz="8" w:color="E5E5E5"/>
            </w:tcBorders>
            <w:shd w:val="clear" w:color="auto" w:fill="E5E5E5"/>
          </w:tcPr>
          <w:p>
            <w:pPr>
              <w:spacing w:after="0"/>
              <w:rPr>
                <w:sz w:val="14"/>
                <w:szCs w:val="14"/>
                <w:color w:val="auto"/>
              </w:rPr>
            </w:pPr>
          </w:p>
        </w:tc>
        <w:tc>
          <w:tcPr>
            <w:tcW w:w="1160" w:type="dxa"/>
            <w:vAlign w:val="bottom"/>
            <w:tcBorders>
              <w:top w:val="single" w:sz="8" w:color="auto"/>
            </w:tcBorders>
            <w:shd w:val="clear" w:color="auto" w:fill="E5E5E5"/>
          </w:tcPr>
          <w:p>
            <w:pPr>
              <w:spacing w:after="0"/>
              <w:rPr>
                <w:sz w:val="14"/>
                <w:szCs w:val="14"/>
                <w:color w:val="auto"/>
              </w:rPr>
            </w:pPr>
          </w:p>
        </w:tc>
      </w:tr>
      <w:tr>
        <w:trPr>
          <w:trHeight w:val="190"/>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Memo:</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9"/>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Xerox Services</w:t>
            </w:r>
            <w:r>
              <w:rPr>
                <w:rFonts w:ascii="Arial" w:cs="Arial" w:eastAsia="Arial" w:hAnsi="Arial"/>
                <w:sz w:val="12"/>
                <w:szCs w:val="12"/>
                <w:color w:val="auto"/>
                <w:vertAlign w:val="superscript"/>
              </w:rPr>
              <w:t>(3)</w:t>
            </w: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4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870</w:t>
            </w: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917</w:t>
            </w:r>
          </w:p>
        </w:tc>
        <w:tc>
          <w:tcPr>
            <w:tcW w:w="128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(5.1)%</w:t>
            </w: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(4.5)%</w:t>
            </w: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jc w:val="center"/>
              <w:ind w:left="348"/>
              <w:spacing w:after="0"/>
              <w:rPr>
                <w:sz w:val="20"/>
                <w:szCs w:val="20"/>
                <w:color w:val="auto"/>
              </w:rPr>
            </w:pPr>
            <w:r>
              <w:rPr>
                <w:rFonts w:ascii="Arial" w:cs="Arial" w:eastAsia="Arial" w:hAnsi="Arial"/>
                <w:sz w:val="10"/>
                <w:szCs w:val="10"/>
                <w:color w:val="auto"/>
                <w:w w:val="99"/>
              </w:rPr>
              <w:t>36%</w:t>
            </w:r>
          </w:p>
        </w:tc>
        <w:tc>
          <w:tcPr>
            <w:tcW w:w="1680" w:type="dxa"/>
            <w:vAlign w:val="bottom"/>
            <w:gridSpan w:val="3"/>
            <w:shd w:val="clear" w:color="auto" w:fill="E5E5E5"/>
          </w:tcPr>
          <w:p>
            <w:pPr>
              <w:jc w:val="center"/>
              <w:ind w:left="468"/>
              <w:spacing w:after="0"/>
              <w:rPr>
                <w:sz w:val="20"/>
                <w:szCs w:val="20"/>
                <w:color w:val="auto"/>
              </w:rPr>
            </w:pPr>
            <w:r>
              <w:rPr>
                <w:rFonts w:ascii="Arial" w:cs="Arial" w:eastAsia="Arial" w:hAnsi="Arial"/>
                <w:sz w:val="10"/>
                <w:szCs w:val="10"/>
                <w:color w:val="auto"/>
                <w:w w:val="99"/>
              </w:rPr>
              <w:t>37%</w:t>
            </w:r>
          </w:p>
        </w:tc>
      </w:tr>
      <w:tr>
        <w:trPr>
          <w:trHeight w:val="92"/>
        </w:trPr>
        <w:tc>
          <w:tcPr>
            <w:tcW w:w="3900" w:type="dxa"/>
            <w:vAlign w:val="bottom"/>
          </w:tcPr>
          <w:p>
            <w:pPr>
              <w:spacing w:after="0"/>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27" w:lineRule="exact"/>
        <w:rPr>
          <w:sz w:val="20"/>
          <w:szCs w:val="20"/>
          <w:color w:val="auto"/>
        </w:rPr>
      </w:pPr>
    </w:p>
    <w:p>
      <w:pPr>
        <w:ind w:left="2"/>
        <w:spacing w:after="0"/>
        <w:rPr>
          <w:sz w:val="20"/>
          <w:szCs w:val="20"/>
          <w:color w:val="auto"/>
        </w:rPr>
      </w:pPr>
      <w:r>
        <w:rPr>
          <w:rFonts w:ascii="Arial" w:cs="Arial" w:eastAsia="Arial" w:hAnsi="Arial"/>
          <w:sz w:val="10"/>
          <w:szCs w:val="10"/>
          <w:i w:val="1"/>
          <w:iCs w:val="1"/>
          <w:color w:val="auto"/>
        </w:rPr>
        <w:t>CC - Constant Currency (see "Non-GAAP Financial Measures" section).</w:t>
      </w:r>
    </w:p>
    <w:p>
      <w:pPr>
        <w:ind w:left="242" w:hanging="242"/>
        <w:spacing w:after="0" w:line="205" w:lineRule="auto"/>
        <w:tabs>
          <w:tab w:leader="none" w:pos="242" w:val="left"/>
        </w:tabs>
        <w:numPr>
          <w:ilvl w:val="0"/>
          <w:numId w:val="1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Certain prior year amounts have been conformed to the current year presentation. See Appendix III for this change in presentation.</w:t>
      </w:r>
    </w:p>
    <w:p>
      <w:pPr>
        <w:ind w:left="242" w:hanging="242"/>
        <w:spacing w:after="0" w:line="187" w:lineRule="auto"/>
        <w:tabs>
          <w:tab w:leader="none" w:pos="242" w:val="left"/>
        </w:tabs>
        <w:numPr>
          <w:ilvl w:val="0"/>
          <w:numId w:val="1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Refer to Appendix II for our Geographic Sales Channels and Products and Offerings Definitions.</w:t>
      </w:r>
    </w:p>
    <w:p>
      <w:pPr>
        <w:ind w:left="242" w:hanging="242"/>
        <w:spacing w:after="0" w:line="198" w:lineRule="auto"/>
        <w:tabs>
          <w:tab w:leader="none" w:pos="242" w:val="left"/>
        </w:tabs>
        <w:numPr>
          <w:ilvl w:val="0"/>
          <w:numId w:val="1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Excluding equipment revenue, Xerox Services was $751 million and $786 million in the fourth quarter 2019 and 2018, respectively, representing a decrease of 4.5% including a 0.7-percentage point unfavorable impact from currency.</w:t>
      </w:r>
    </w:p>
    <w:p>
      <w:pPr>
        <w:spacing w:after="0" w:line="106" w:lineRule="exact"/>
        <w:rPr>
          <w:sz w:val="20"/>
          <w:szCs w:val="20"/>
          <w:color w:val="auto"/>
        </w:rPr>
      </w:pPr>
    </w:p>
    <w:p>
      <w:pPr>
        <w:ind w:left="2" w:right="60"/>
        <w:spacing w:after="0" w:line="254" w:lineRule="auto"/>
        <w:rPr>
          <w:sz w:val="20"/>
          <w:szCs w:val="20"/>
          <w:color w:val="auto"/>
        </w:rPr>
      </w:pPr>
      <w:r>
        <w:rPr>
          <w:rFonts w:ascii="Arial" w:cs="Arial" w:eastAsia="Arial" w:hAnsi="Arial"/>
          <w:sz w:val="13"/>
          <w:szCs w:val="13"/>
          <w:color w:val="auto"/>
        </w:rPr>
        <w:t>Fourth quarter 2019 total revenue decreased 2.2% as compared to fourth quarter 2018, including a 0.6-percentage point unfavorable impact from currency, and an approximate 3.1-percentage point favorable impact from a fee of $77 million received in exchange for an OEM license of certain intellectual property to Fuji Xerox. See the “Sales of Ownership Interests in Fuji Xerox Co., Ltd. and Xerox International Partners” section for further details. Fourth quarter 2019 total revenue reflected the following:</w:t>
      </w:r>
    </w:p>
    <w:p>
      <w:pPr>
        <w:spacing w:after="0" w:line="92" w:lineRule="exact"/>
        <w:rPr>
          <w:sz w:val="20"/>
          <w:szCs w:val="20"/>
          <w:color w:val="auto"/>
        </w:rPr>
      </w:pPr>
    </w:p>
    <w:p>
      <w:pPr>
        <w:ind w:left="242" w:right="80" w:hanging="242"/>
        <w:spacing w:after="0" w:line="255" w:lineRule="auto"/>
        <w:tabs>
          <w:tab w:leader="none" w:pos="242"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Post sale revenue </w:t>
      </w:r>
      <w:r>
        <w:rPr>
          <w:rFonts w:ascii="Arial" w:cs="Arial" w:eastAsia="Arial" w:hAnsi="Arial"/>
          <w:sz w:val="13"/>
          <w:szCs w:val="13"/>
          <w:color w:val="auto"/>
        </w:rPr>
        <w:t>primarily reflects contracted services, equipment maintenance, supplies and financing. These revenues are associated not only with the population of devices in the field, which</w:t>
      </w:r>
      <w:r>
        <w:rPr>
          <w:rFonts w:ascii="Arial" w:cs="Arial" w:eastAsia="Arial" w:hAnsi="Arial"/>
          <w:sz w:val="13"/>
          <w:szCs w:val="13"/>
          <w:b w:val="1"/>
          <w:bCs w:val="1"/>
          <w:color w:val="auto"/>
        </w:rPr>
        <w:t xml:space="preserve"> </w:t>
      </w:r>
      <w:r>
        <w:rPr>
          <w:rFonts w:ascii="Arial" w:cs="Arial" w:eastAsia="Arial" w:hAnsi="Arial"/>
          <w:sz w:val="13"/>
          <w:szCs w:val="13"/>
          <w:color w:val="auto"/>
        </w:rPr>
        <w:t>is affected by installs and removals, but also by the page volumes generated from the usage of such devices, and the revenue per printed page. Post sale revenue also includes transactional IT hardware sales and implementation services from our XBS organization. Post sale revenue decreased 2.2% as compared to fourth quarter 2018, including a 0.5-percentage point unfavorable impact from currency, and an approximate 4.1-percentage point favorable impact from the OEM license fee described above. The decline in post sale revenue reflected the following:</w:t>
      </w:r>
    </w:p>
    <w:p>
      <w:pPr>
        <w:spacing w:after="0" w:line="2" w:lineRule="exact"/>
        <w:rPr>
          <w:rFonts w:ascii="Arial" w:cs="Arial" w:eastAsia="Arial" w:hAnsi="Arial"/>
          <w:sz w:val="13"/>
          <w:szCs w:val="13"/>
          <w:color w:val="auto"/>
        </w:rPr>
      </w:pPr>
    </w:p>
    <w:p>
      <w:pPr>
        <w:ind w:left="702" w:right="40" w:hanging="236"/>
        <w:spacing w:after="0" w:line="242" w:lineRule="auto"/>
        <w:tabs>
          <w:tab w:leader="none" w:pos="702" w:val="left"/>
        </w:tabs>
        <w:numPr>
          <w:ilvl w:val="1"/>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Services, maintenance and rentals revenue </w:t>
      </w:r>
      <w:r>
        <w:rPr>
          <w:rFonts w:ascii="Arial" w:cs="Arial" w:eastAsia="Arial" w:hAnsi="Arial"/>
          <w:sz w:val="13"/>
          <w:szCs w:val="13"/>
          <w:color w:val="auto"/>
        </w:rPr>
        <w:t>includes rental and maintenance revenue (including bundled supplies) as well as the post sale component of the document services revenue</w:t>
      </w:r>
      <w:r>
        <w:rPr>
          <w:rFonts w:ascii="Arial" w:cs="Arial" w:eastAsia="Arial" w:hAnsi="Arial"/>
          <w:sz w:val="13"/>
          <w:szCs w:val="13"/>
          <w:b w:val="1"/>
          <w:bCs w:val="1"/>
          <w:color w:val="auto"/>
        </w:rPr>
        <w:t xml:space="preserve"> </w:t>
      </w:r>
      <w:r>
        <w:rPr>
          <w:rFonts w:ascii="Arial" w:cs="Arial" w:eastAsia="Arial" w:hAnsi="Arial"/>
          <w:sz w:val="13"/>
          <w:szCs w:val="13"/>
          <w:color w:val="auto"/>
        </w:rPr>
        <w:t>from our Xerox Services offerings. These revenues decreased 0.7% as compared to fourth quarter 2018, including a 0.5-percentage point unfavorable impact from currency and an approximate 5.2-percentage point favorable impact from the OEM license fee described above. The decline at constant currency</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reflected the continuing trends of lower page volumes (including a higher mix of lower average-page-volume products), an ongoing competitive price environment, and a lower population of devices, which are partially associated with continued lower Enterprise signings and lower installs in prior and current periods.</w:t>
      </w:r>
    </w:p>
    <w:p>
      <w:pPr>
        <w:ind w:left="702" w:right="300" w:hanging="236"/>
        <w:spacing w:after="0" w:line="259" w:lineRule="auto"/>
        <w:tabs>
          <w:tab w:leader="none" w:pos="702" w:val="left"/>
        </w:tabs>
        <w:numPr>
          <w:ilvl w:val="1"/>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Supplies, paper and other sales </w:t>
      </w:r>
      <w:r>
        <w:rPr>
          <w:rFonts w:ascii="Arial" w:cs="Arial" w:eastAsia="Arial" w:hAnsi="Arial"/>
          <w:sz w:val="13"/>
          <w:szCs w:val="13"/>
          <w:color w:val="auto"/>
        </w:rPr>
        <w:t>includes unbundled supplies and other sales. These revenues decreased 7.9% as compared to fourth quarter 2018, including a 0.6-percentage point</w:t>
      </w:r>
      <w:r>
        <w:rPr>
          <w:rFonts w:ascii="Arial" w:cs="Arial" w:eastAsia="Arial" w:hAnsi="Arial"/>
          <w:sz w:val="13"/>
          <w:szCs w:val="13"/>
          <w:b w:val="1"/>
          <w:bCs w:val="1"/>
          <w:color w:val="auto"/>
        </w:rPr>
        <w:t xml:space="preserve"> </w:t>
      </w:r>
      <w:r>
        <w:rPr>
          <w:rFonts w:ascii="Arial" w:cs="Arial" w:eastAsia="Arial" w:hAnsi="Arial"/>
          <w:sz w:val="13"/>
          <w:szCs w:val="13"/>
          <w:color w:val="auto"/>
        </w:rPr>
        <w:t>unfavorable</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82"/>
          </w:cols>
          <w:pgMar w:left="218" w:top="439" w:right="199" w:bottom="1440" w:gutter="0" w:footer="0" w:header="0"/>
        </w:sectPr>
      </w:pPr>
    </w:p>
    <w:bookmarkStart w:id="16" w:name="page17"/>
    <w:bookmarkEnd w:id="16"/>
    <w:p>
      <w:pPr>
        <w:ind w:left="702" w:right="40"/>
        <w:spacing w:after="0" w:line="249" w:lineRule="auto"/>
        <w:rPr>
          <w:sz w:val="20"/>
          <w:szCs w:val="20"/>
          <w:color w:val="auto"/>
        </w:rPr>
      </w:pPr>
      <w:r>
        <w:rPr>
          <w:rFonts w:ascii="Arial" w:cs="Arial" w:eastAsia="Arial" w:hAnsi="Arial"/>
          <w:sz w:val="13"/>
          <w:szCs w:val="13"/>
          <w:color w:val="auto"/>
        </w:rPr>
        <w:t>impact from currency and reflected the timing impact of prior year transactional IT sales from our XBS organization along with lower paper sales from developing markets (primarily from the Latin America region), as well as the impact of lower supplies revenues primarily associated with lower page volume trends.</w:t>
      </w:r>
    </w:p>
    <w:p>
      <w:pPr>
        <w:ind w:left="702" w:right="220" w:hanging="236"/>
        <w:spacing w:after="0" w:line="259" w:lineRule="auto"/>
        <w:tabs>
          <w:tab w:leader="none" w:pos="702"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Financing revenue </w:t>
      </w:r>
      <w:r>
        <w:rPr>
          <w:rFonts w:ascii="Arial" w:cs="Arial" w:eastAsia="Arial" w:hAnsi="Arial"/>
          <w:sz w:val="13"/>
          <w:szCs w:val="13"/>
          <w:color w:val="auto"/>
        </w:rPr>
        <w:t>is generated from financed equipment sale transactions. The 6.3% decline in these revenues reflected a continued decline in the finance receivables balance due to</w:t>
      </w:r>
      <w:r>
        <w:rPr>
          <w:rFonts w:ascii="Arial" w:cs="Arial" w:eastAsia="Arial" w:hAnsi="Arial"/>
          <w:sz w:val="13"/>
          <w:szCs w:val="13"/>
          <w:b w:val="1"/>
          <w:bCs w:val="1"/>
          <w:color w:val="auto"/>
        </w:rPr>
        <w:t xml:space="preserve"> </w:t>
      </w:r>
      <w:r>
        <w:rPr>
          <w:rFonts w:ascii="Arial" w:cs="Arial" w:eastAsia="Arial" w:hAnsi="Arial"/>
          <w:sz w:val="13"/>
          <w:szCs w:val="13"/>
          <w:color w:val="auto"/>
        </w:rPr>
        <w:t>lower equipment sales in prior periods and included a 0.4-percentage point unfavorable impact from currency.</w:t>
      </w:r>
    </w:p>
    <w:p>
      <w:pPr>
        <w:spacing w:after="0" w:line="200" w:lineRule="exact"/>
        <w:rPr>
          <w:sz w:val="20"/>
          <w:szCs w:val="20"/>
          <w:color w:val="auto"/>
        </w:rPr>
      </w:pP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4"/>
          </w:tcPr>
          <w:p>
            <w:pPr>
              <w:jc w:val="right"/>
              <w:ind w:right="228"/>
              <w:spacing w:after="0"/>
              <w:rPr>
                <w:sz w:val="20"/>
                <w:szCs w:val="20"/>
                <w:color w:val="auto"/>
              </w:rPr>
            </w:pPr>
            <w:r>
              <w:rPr>
                <w:rFonts w:ascii="Arial" w:cs="Arial" w:eastAsia="Arial" w:hAnsi="Arial"/>
                <w:sz w:val="10"/>
                <w:szCs w:val="10"/>
                <w:color w:val="auto"/>
              </w:rPr>
              <w:t>Three Months Ended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24"/>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0"/>
                <w:szCs w:val="10"/>
                <w:color w:val="auto"/>
              </w:rPr>
              <w:t>December 31,</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Borders>
              <w:bottom w:val="single" w:sz="8" w:color="auto"/>
            </w:tcBorders>
            <w:gridSpan w:val="3"/>
          </w:tcPr>
          <w:p>
            <w:pPr>
              <w:ind w:left="580"/>
              <w:spacing w:after="0"/>
              <w:rPr>
                <w:sz w:val="20"/>
                <w:szCs w:val="20"/>
                <w:color w:val="auto"/>
              </w:rPr>
            </w:pPr>
            <w:r>
              <w:rPr>
                <w:rFonts w:ascii="Arial" w:cs="Arial" w:eastAsia="Arial" w:hAnsi="Arial"/>
                <w:sz w:val="10"/>
                <w:szCs w:val="10"/>
                <w:color w:val="auto"/>
              </w:rPr>
              <w:t>% of Equipment Sales</w:t>
            </w:r>
          </w:p>
        </w:tc>
      </w:tr>
      <w:tr>
        <w:trPr>
          <w:trHeight w:val="128"/>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center"/>
              <w:ind w:left="68"/>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8"/>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00" w:type="dxa"/>
            <w:vAlign w:val="bottom"/>
            <w:tcBorders>
              <w:bottom w:val="single" w:sz="8" w:color="E5E5E5"/>
            </w:tcBorders>
          </w:tcPr>
          <w:p>
            <w:pPr>
              <w:spacing w:after="0"/>
              <w:rPr>
                <w:sz w:val="11"/>
                <w:szCs w:val="1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2019</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2018</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Change</w:t>
            </w:r>
          </w:p>
        </w:tc>
        <w:tc>
          <w:tcPr>
            <w:tcW w:w="100" w:type="dxa"/>
            <w:vAlign w:val="bottom"/>
            <w:tcBorders>
              <w:bottom w:val="single" w:sz="8" w:color="E5E5E5"/>
            </w:tcBorders>
          </w:tcPr>
          <w:p>
            <w:pPr>
              <w:spacing w:after="0"/>
              <w:rPr>
                <w:sz w:val="11"/>
                <w:szCs w:val="1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CC % Change</w:t>
            </w:r>
          </w:p>
        </w:tc>
        <w:tc>
          <w:tcPr>
            <w:tcW w:w="100" w:type="dxa"/>
            <w:vAlign w:val="bottom"/>
            <w:tcBorders>
              <w:bottom w:val="single" w:sz="8" w:color="E5E5E5"/>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2018</w:t>
            </w:r>
          </w:p>
        </w:tc>
      </w:tr>
      <w:tr>
        <w:trPr>
          <w:trHeight w:val="179"/>
        </w:trPr>
        <w:tc>
          <w:tcPr>
            <w:tcW w:w="47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Entry</w:t>
            </w: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34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63</w:t>
            </w:r>
          </w:p>
        </w:tc>
        <w:tc>
          <w:tcPr>
            <w:tcW w:w="120" w:type="dxa"/>
            <w:vAlign w:val="bottom"/>
            <w:shd w:val="clear" w:color="auto" w:fill="E5E5E5"/>
          </w:tcPr>
          <w:p>
            <w:pPr>
              <w:spacing w:after="0"/>
              <w:rPr>
                <w:sz w:val="15"/>
                <w:szCs w:val="15"/>
                <w:color w:val="auto"/>
              </w:rPr>
            </w:pPr>
          </w:p>
        </w:tc>
        <w:tc>
          <w:tcPr>
            <w:tcW w:w="700" w:type="dxa"/>
            <w:vAlign w:val="bottom"/>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3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66</w:t>
            </w:r>
          </w:p>
        </w:tc>
        <w:tc>
          <w:tcPr>
            <w:tcW w:w="116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(4.5)%</w:t>
            </w:r>
          </w:p>
        </w:tc>
        <w:tc>
          <w:tcPr>
            <w:tcW w:w="100" w:type="dxa"/>
            <w:vAlign w:val="bottom"/>
            <w:shd w:val="clear" w:color="auto" w:fill="E5E5E5"/>
          </w:tcPr>
          <w:p>
            <w:pPr>
              <w:spacing w:after="0"/>
              <w:rPr>
                <w:sz w:val="15"/>
                <w:szCs w:val="15"/>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(4.2)%</w:t>
            </w:r>
          </w:p>
        </w:tc>
        <w:tc>
          <w:tcPr>
            <w:tcW w:w="100" w:type="dxa"/>
            <w:vAlign w:val="bottom"/>
            <w:shd w:val="clear" w:color="auto" w:fill="E5E5E5"/>
          </w:tcPr>
          <w:p>
            <w:pPr>
              <w:spacing w:after="0"/>
              <w:rPr>
                <w:sz w:val="15"/>
                <w:szCs w:val="15"/>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10%</w:t>
            </w:r>
          </w:p>
        </w:tc>
        <w:tc>
          <w:tcPr>
            <w:tcW w:w="100" w:type="dxa"/>
            <w:vAlign w:val="bottom"/>
            <w:shd w:val="clear" w:color="auto" w:fill="E5E5E5"/>
          </w:tcPr>
          <w:p>
            <w:pPr>
              <w:spacing w:after="0"/>
              <w:rPr>
                <w:sz w:val="15"/>
                <w:szCs w:val="15"/>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11%</w:t>
            </w:r>
          </w:p>
        </w:tc>
      </w:tr>
      <w:tr>
        <w:trPr>
          <w:trHeight w:val="190"/>
        </w:trPr>
        <w:tc>
          <w:tcPr>
            <w:tcW w:w="4700" w:type="dxa"/>
            <w:vAlign w:val="bottom"/>
            <w:gridSpan w:val="2"/>
          </w:tcPr>
          <w:p>
            <w:pPr>
              <w:ind w:left="20"/>
              <w:spacing w:after="0"/>
              <w:rPr>
                <w:sz w:val="20"/>
                <w:szCs w:val="20"/>
                <w:color w:val="auto"/>
              </w:rPr>
            </w:pPr>
            <w:r>
              <w:rPr>
                <w:rFonts w:ascii="Arial" w:cs="Arial" w:eastAsia="Arial" w:hAnsi="Arial"/>
                <w:sz w:val="10"/>
                <w:szCs w:val="10"/>
                <w:color w:val="auto"/>
              </w:rPr>
              <w:t>Mid-range</w:t>
            </w:r>
          </w:p>
        </w:tc>
        <w:tc>
          <w:tcPr>
            <w:tcW w:w="7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0"/>
                <w:szCs w:val="10"/>
                <w:color w:val="auto"/>
              </w:rPr>
              <w:t>408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418</w:t>
            </w:r>
          </w:p>
        </w:tc>
        <w:tc>
          <w:tcPr>
            <w:tcW w:w="1160" w:type="dxa"/>
            <w:vAlign w:val="bottom"/>
            <w:gridSpan w:val="2"/>
          </w:tcPr>
          <w:p>
            <w:pPr>
              <w:jc w:val="center"/>
              <w:ind w:left="68"/>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66%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66%</w:t>
            </w:r>
          </w:p>
        </w:tc>
      </w:tr>
      <w:tr>
        <w:trPr>
          <w:trHeight w:val="199"/>
        </w:trPr>
        <w:tc>
          <w:tcPr>
            <w:tcW w:w="47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High-end</w:t>
            </w: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139</w:t>
            </w:r>
          </w:p>
        </w:tc>
        <w:tc>
          <w:tcPr>
            <w:tcW w:w="1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137</w:t>
            </w:r>
          </w:p>
        </w:tc>
        <w:tc>
          <w:tcPr>
            <w:tcW w:w="1160" w:type="dxa"/>
            <w:vAlign w:val="bottom"/>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1.5%</w:t>
            </w: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1.9%</w:t>
            </w: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23%</w:t>
            </w: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22%</w:t>
            </w:r>
          </w:p>
        </w:tc>
      </w:tr>
      <w:tr>
        <w:trPr>
          <w:trHeight w:val="190"/>
        </w:trPr>
        <w:tc>
          <w:tcPr>
            <w:tcW w:w="470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w:t>
            </w: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6</w:t>
            </w:r>
          </w:p>
        </w:tc>
        <w:tc>
          <w:tcPr>
            <w:tcW w:w="12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w:t>
            </w:r>
          </w:p>
        </w:tc>
        <w:tc>
          <w:tcPr>
            <w:tcW w:w="1160" w:type="dxa"/>
            <w:vAlign w:val="bottom"/>
            <w:tcBorders>
              <w:bottom w:val="single" w:sz="8" w:color="E5E5E5"/>
            </w:tcBorders>
            <w:gridSpan w:val="2"/>
          </w:tcPr>
          <w:p>
            <w:pPr>
              <w:jc w:val="center"/>
              <w:ind w:left="68"/>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E5E5E5"/>
            </w:tcBorders>
          </w:tcPr>
          <w:p>
            <w:pPr>
              <w:spacing w:after="0"/>
              <w:rPr>
                <w:sz w:val="16"/>
                <w:szCs w:val="16"/>
                <w:color w:val="auto"/>
              </w:rPr>
            </w:pPr>
          </w:p>
        </w:tc>
        <w:tc>
          <w:tcPr>
            <w:tcW w:w="10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E5E5E5"/>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E5E5E5"/>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1%</w:t>
            </w:r>
          </w:p>
        </w:tc>
      </w:tr>
      <w:tr>
        <w:trPr>
          <w:trHeight w:val="189"/>
        </w:trPr>
        <w:tc>
          <w:tcPr>
            <w:tcW w:w="47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Equipment Sales</w:t>
            </w:r>
          </w:p>
        </w:tc>
        <w:tc>
          <w:tcPr>
            <w:tcW w:w="700" w:type="dxa"/>
            <w:vAlign w:val="bottom"/>
            <w:tcBorders>
              <w:bottom w:val="single" w:sz="8" w:color="auto"/>
            </w:tcBorders>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616</w:t>
            </w:r>
          </w:p>
        </w:tc>
        <w:tc>
          <w:tcPr>
            <w:tcW w:w="120" w:type="dxa"/>
            <w:vAlign w:val="bottom"/>
            <w:tcBorders>
              <w:bottom w:val="single" w:sz="8" w:color="E5E5E5"/>
            </w:tcBorders>
            <w:shd w:val="clear" w:color="auto" w:fill="E5E5E5"/>
          </w:tcPr>
          <w:p>
            <w:pPr>
              <w:spacing w:after="0"/>
              <w:rPr>
                <w:sz w:val="16"/>
                <w:szCs w:val="16"/>
                <w:color w:val="auto"/>
              </w:rPr>
            </w:pPr>
          </w:p>
        </w:tc>
        <w:tc>
          <w:tcPr>
            <w:tcW w:w="700" w:type="dxa"/>
            <w:vAlign w:val="bottom"/>
            <w:tcBorders>
              <w:bottom w:val="single" w:sz="8" w:color="auto"/>
            </w:tcBorders>
            <w:shd w:val="clear" w:color="auto" w:fill="E5E5E5"/>
          </w:tcPr>
          <w:p>
            <w:pPr>
              <w:jc w:val="right"/>
              <w:ind w:right="5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629</w:t>
            </w:r>
          </w:p>
        </w:tc>
        <w:tc>
          <w:tcPr>
            <w:tcW w:w="1160" w:type="dxa"/>
            <w:vAlign w:val="bottom"/>
            <w:tcBorders>
              <w:bottom w:val="single" w:sz="8" w:color="E5E5E5"/>
            </w:tcBorders>
            <w:gridSpan w:val="2"/>
            <w:shd w:val="clear" w:color="auto" w:fill="E5E5E5"/>
          </w:tcPr>
          <w:p>
            <w:pPr>
              <w:jc w:val="center"/>
              <w:ind w:left="68"/>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E5E5E5"/>
            </w:tcBorders>
            <w:shd w:val="clear" w:color="auto" w:fill="E5E5E5"/>
          </w:tcPr>
          <w:p>
            <w:pPr>
              <w:spacing w:after="0"/>
              <w:rPr>
                <w:sz w:val="16"/>
                <w:szCs w:val="16"/>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E5E5E5"/>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E5E5E5"/>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rPr>
              <w:t>100%</w:t>
            </w:r>
          </w:p>
        </w:tc>
      </w:tr>
      <w:tr>
        <w:trPr>
          <w:trHeight w:val="79"/>
        </w:trPr>
        <w:tc>
          <w:tcPr>
            <w:tcW w:w="4600" w:type="dxa"/>
            <w:vAlign w:val="bottom"/>
          </w:tcPr>
          <w:p>
            <w:pPr>
              <w:spacing w:after="0" w:line="79" w:lineRule="exact"/>
              <w:rPr>
                <w:sz w:val="20"/>
                <w:szCs w:val="20"/>
                <w:color w:val="auto"/>
              </w:rPr>
            </w:pPr>
            <w:r>
              <w:rPr>
                <w:rFonts w:ascii="Arial" w:cs="Arial" w:eastAsia="Arial" w:hAnsi="Arial"/>
                <w:sz w:val="8"/>
                <w:szCs w:val="8"/>
                <w:color w:val="auto"/>
              </w:rPr>
              <w:t>____________________________</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30" w:lineRule="exact"/>
        <w:rPr>
          <w:sz w:val="20"/>
          <w:szCs w:val="20"/>
          <w:color w:val="auto"/>
        </w:rPr>
      </w:pPr>
    </w:p>
    <w:p>
      <w:pPr>
        <w:ind w:left="2"/>
        <w:spacing w:after="0"/>
        <w:rPr>
          <w:sz w:val="20"/>
          <w:szCs w:val="20"/>
          <w:color w:val="auto"/>
        </w:rPr>
      </w:pPr>
      <w:r>
        <w:rPr>
          <w:rFonts w:ascii="Arial" w:cs="Arial" w:eastAsia="Arial" w:hAnsi="Arial"/>
          <w:sz w:val="10"/>
          <w:szCs w:val="10"/>
          <w:i w:val="1"/>
          <w:iCs w:val="1"/>
          <w:color w:val="auto"/>
        </w:rPr>
        <w:t>CC - Constant Currency (see "Non-GAAP Financial Measures" section).</w:t>
      </w:r>
    </w:p>
    <w:p>
      <w:pPr>
        <w:spacing w:after="0" w:line="147" w:lineRule="exact"/>
        <w:rPr>
          <w:sz w:val="20"/>
          <w:szCs w:val="20"/>
          <w:color w:val="auto"/>
        </w:rPr>
      </w:pPr>
    </w:p>
    <w:p>
      <w:pPr>
        <w:ind w:left="242" w:right="420" w:hanging="242"/>
        <w:spacing w:after="0" w:line="234" w:lineRule="auto"/>
        <w:tabs>
          <w:tab w:leader="none" w:pos="242"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Equipment sales revenue </w:t>
      </w:r>
      <w:r>
        <w:rPr>
          <w:rFonts w:ascii="Arial" w:cs="Arial" w:eastAsia="Arial" w:hAnsi="Arial"/>
          <w:sz w:val="13"/>
          <w:szCs w:val="13"/>
          <w:color w:val="auto"/>
        </w:rPr>
        <w:t>decreased 2.1% as compared to fourth quarter 2018, including a 0.6-percentage point unfavorable impact from currency as well as the impact of price declines of</w:t>
      </w:r>
      <w:r>
        <w:rPr>
          <w:rFonts w:ascii="Arial" w:cs="Arial" w:eastAsia="Arial" w:hAnsi="Arial"/>
          <w:sz w:val="13"/>
          <w:szCs w:val="13"/>
          <w:b w:val="1"/>
          <w:bCs w:val="1"/>
          <w:color w:val="auto"/>
        </w:rPr>
        <w:t xml:space="preserve"> </w:t>
      </w:r>
      <w:r>
        <w:rPr>
          <w:rFonts w:ascii="Arial" w:cs="Arial" w:eastAsia="Arial" w:hAnsi="Arial"/>
          <w:sz w:val="13"/>
          <w:szCs w:val="13"/>
          <w:color w:val="auto"/>
        </w:rPr>
        <w:t>approximately 5%. The decline at constant currency</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was primarily driven by lower sales of our office-centric devices (entry and mid-range products) partially offset by higher sales of our production-centric systems (high-end) as well as the benefit of targeted price actions. The decline at constant currency</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reflected the following:</w:t>
      </w:r>
    </w:p>
    <w:p>
      <w:pPr>
        <w:ind w:left="702" w:right="260" w:hanging="236"/>
        <w:spacing w:after="0" w:line="249" w:lineRule="auto"/>
        <w:tabs>
          <w:tab w:leader="none" w:pos="702" w:val="left"/>
        </w:tabs>
        <w:numPr>
          <w:ilvl w:val="1"/>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Entry - </w:t>
      </w:r>
      <w:r>
        <w:rPr>
          <w:rFonts w:ascii="Arial" w:cs="Arial" w:eastAsia="Arial" w:hAnsi="Arial"/>
          <w:sz w:val="13"/>
          <w:szCs w:val="13"/>
          <w:color w:val="auto"/>
        </w:rPr>
        <w:t>The decrease was primarily due to lower sales of devices from developing market regions in the Americas, as well as lower sales through our indirect channels in EMEA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U.S.</w:t>
      </w:r>
    </w:p>
    <w:p>
      <w:pPr>
        <w:ind w:left="702" w:right="120" w:hanging="236"/>
        <w:spacing w:after="0" w:line="249" w:lineRule="auto"/>
        <w:tabs>
          <w:tab w:leader="none" w:pos="702" w:val="left"/>
        </w:tabs>
        <w:numPr>
          <w:ilvl w:val="1"/>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Mid-range - </w:t>
      </w:r>
      <w:r>
        <w:rPr>
          <w:rFonts w:ascii="Arial" w:cs="Arial" w:eastAsia="Arial" w:hAnsi="Arial"/>
          <w:sz w:val="13"/>
          <w:szCs w:val="13"/>
          <w:color w:val="auto"/>
        </w:rPr>
        <w:t>The decrease was driven by lower sales from EMEA, reflecting in part continued weakness and delayed decisions associated with uncertainty in the economic environment,</w:t>
      </w:r>
      <w:r>
        <w:rPr>
          <w:rFonts w:ascii="Arial" w:cs="Arial" w:eastAsia="Arial" w:hAnsi="Arial"/>
          <w:sz w:val="13"/>
          <w:szCs w:val="13"/>
          <w:b w:val="1"/>
          <w:bCs w:val="1"/>
          <w:color w:val="auto"/>
        </w:rPr>
        <w:t xml:space="preserve"> </w:t>
      </w:r>
      <w:r>
        <w:rPr>
          <w:rFonts w:ascii="Arial" w:cs="Arial" w:eastAsia="Arial" w:hAnsi="Arial"/>
          <w:sz w:val="13"/>
          <w:szCs w:val="13"/>
          <w:color w:val="auto"/>
        </w:rPr>
        <w:t>partially offset by higher sales from our Americas region, primarily related to our U.S. Enterprise organization which had higher activity from light-production devices associated with the recent launch of PrimeLink (an entry-level production printer) and the benefit of a large account refresh cycle. The decrease was also impacted by lower sales from our U.S. indirect channels and from our XBS sales organization, which continued to recover from the impact of organizational changes earlier in the year that were part of our Project Own It transformation actions (including the transitioning of accounts to implement coverage changes, consolidation of real estate locations and the reduction of management layers).</w:t>
      </w:r>
    </w:p>
    <w:p>
      <w:pPr>
        <w:spacing w:after="0" w:line="1" w:lineRule="exact"/>
        <w:rPr>
          <w:rFonts w:ascii="Arial" w:cs="Arial" w:eastAsia="Arial" w:hAnsi="Arial"/>
          <w:sz w:val="13"/>
          <w:szCs w:val="13"/>
          <w:color w:val="auto"/>
        </w:rPr>
      </w:pPr>
    </w:p>
    <w:p>
      <w:pPr>
        <w:ind w:left="702" w:right="60" w:hanging="236"/>
        <w:spacing w:after="0" w:line="254" w:lineRule="auto"/>
        <w:tabs>
          <w:tab w:leader="none" w:pos="702" w:val="left"/>
        </w:tabs>
        <w:numPr>
          <w:ilvl w:val="1"/>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High-end - </w:t>
      </w:r>
      <w:r>
        <w:rPr>
          <w:rFonts w:ascii="Arial" w:cs="Arial" w:eastAsia="Arial" w:hAnsi="Arial"/>
          <w:sz w:val="13"/>
          <w:szCs w:val="13"/>
          <w:color w:val="auto"/>
        </w:rPr>
        <w:t>The increase reflected primarily global demand for our newly-launched Baltoro inkjet press, and higher sales from new business and trade-ins of our Iridesse and iGen laser</w:t>
      </w:r>
      <w:r>
        <w:rPr>
          <w:rFonts w:ascii="Arial" w:cs="Arial" w:eastAsia="Arial" w:hAnsi="Arial"/>
          <w:sz w:val="13"/>
          <w:szCs w:val="13"/>
          <w:b w:val="1"/>
          <w:bCs w:val="1"/>
          <w:color w:val="auto"/>
        </w:rPr>
        <w:t xml:space="preserve"> </w:t>
      </w:r>
      <w:r>
        <w:rPr>
          <w:rFonts w:ascii="Arial" w:cs="Arial" w:eastAsia="Arial" w:hAnsi="Arial"/>
          <w:sz w:val="13"/>
          <w:szCs w:val="13"/>
          <w:color w:val="auto"/>
        </w:rPr>
        <w:t>color systems in the U.S., partially offset by lower sales of Versant, our lower-end production systems. The increase also benefited from higher sales of black-and-white systems in the U.S. as a result of the timing of our customers' renewal cycles.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Total Installs</w:t>
      </w:r>
    </w:p>
    <w:p>
      <w:pPr>
        <w:spacing w:after="0" w:line="20" w:lineRule="exact"/>
        <w:rPr>
          <w:sz w:val="20"/>
          <w:szCs w:val="20"/>
          <w:color w:val="auto"/>
        </w:rPr>
      </w:pPr>
    </w:p>
    <w:p>
      <w:pPr>
        <w:ind w:left="2" w:right="80"/>
        <w:spacing w:after="0" w:line="252" w:lineRule="auto"/>
        <w:rPr>
          <w:sz w:val="20"/>
          <w:szCs w:val="20"/>
          <w:color w:val="auto"/>
        </w:rPr>
      </w:pPr>
      <w:r>
        <w:rPr>
          <w:rFonts w:ascii="Arial" w:cs="Arial" w:eastAsia="Arial" w:hAnsi="Arial"/>
          <w:sz w:val="13"/>
          <w:szCs w:val="13"/>
          <w:color w:val="auto"/>
        </w:rPr>
        <w:t>Installs reflect new placement of devices only (i.e., measure does not take into account removal of devices which may occur as a result of contract renewals or cancellations).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Entry</w:t>
      </w:r>
    </w:p>
    <w:p>
      <w:pPr>
        <w:spacing w:after="0" w:line="20" w:lineRule="exact"/>
        <w:rPr>
          <w:sz w:val="20"/>
          <w:szCs w:val="20"/>
          <w:color w:val="auto"/>
        </w:rPr>
      </w:pPr>
    </w:p>
    <w:p>
      <w:pPr>
        <w:ind w:left="242" w:hanging="242"/>
        <w:spacing w:after="0"/>
        <w:tabs>
          <w:tab w:leader="none" w:pos="242" w:val="left"/>
        </w:tabs>
        <w:numPr>
          <w:ilvl w:val="0"/>
          <w:numId w:val="14"/>
        </w:numPr>
        <w:rPr>
          <w:rFonts w:ascii="Arial" w:cs="Arial" w:eastAsia="Arial" w:hAnsi="Arial"/>
          <w:sz w:val="13"/>
          <w:szCs w:val="13"/>
          <w:color w:val="auto"/>
        </w:rPr>
      </w:pPr>
      <w:r>
        <w:rPr>
          <w:rFonts w:ascii="Arial" w:cs="Arial" w:eastAsia="Arial" w:hAnsi="Arial"/>
          <w:sz w:val="13"/>
          <w:szCs w:val="13"/>
          <w:color w:val="auto"/>
        </w:rPr>
        <w:t>2% decrease in color multifunction devices reflecting lower installs of ConnectKey devices primarily from EMEA, partially offset by higher installs from our indirect channels in the U.S.</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14"/>
        </w:numPr>
        <w:rPr>
          <w:rFonts w:ascii="Arial" w:cs="Arial" w:eastAsia="Arial" w:hAnsi="Arial"/>
          <w:sz w:val="13"/>
          <w:szCs w:val="13"/>
          <w:color w:val="auto"/>
        </w:rPr>
      </w:pPr>
      <w:r>
        <w:rPr>
          <w:rFonts w:ascii="Arial" w:cs="Arial" w:eastAsia="Arial" w:hAnsi="Arial"/>
          <w:sz w:val="13"/>
          <w:szCs w:val="13"/>
          <w:color w:val="auto"/>
        </w:rPr>
        <w:t>9% decrease in black-and-white multifunction devices reflecting lower activity primarily from our indirect channels in the U.S. and from developing regions in the Americas.</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82"/>
          </w:cols>
          <w:pgMar w:left="218" w:top="459" w:right="199" w:bottom="1440" w:gutter="0" w:footer="0" w:header="0"/>
        </w:sectPr>
      </w:pPr>
    </w:p>
    <w:bookmarkStart w:id="17" w:name="page18"/>
    <w:bookmarkEnd w:id="17"/>
    <w:p>
      <w:pPr>
        <w:ind w:left="2"/>
        <w:spacing w:after="0"/>
        <w:rPr>
          <w:sz w:val="20"/>
          <w:szCs w:val="20"/>
          <w:color w:val="auto"/>
        </w:rPr>
      </w:pPr>
      <w:r>
        <w:rPr>
          <w:rFonts w:ascii="Arial" w:cs="Arial" w:eastAsia="Arial" w:hAnsi="Arial"/>
          <w:sz w:val="13"/>
          <w:szCs w:val="13"/>
          <w:i w:val="1"/>
          <w:iCs w:val="1"/>
          <w:u w:val="single" w:color="auto"/>
          <w:color w:val="auto"/>
        </w:rPr>
        <w:t>Mid-Range</w:t>
      </w:r>
      <w:r>
        <w:rPr>
          <w:rFonts w:ascii="Arial" w:cs="Arial" w:eastAsia="Arial" w:hAnsi="Arial"/>
          <w:sz w:val="15"/>
          <w:szCs w:val="15"/>
          <w:i w:val="1"/>
          <w:iCs w:val="1"/>
          <w:color w:val="auto"/>
          <w:vertAlign w:val="superscript"/>
        </w:rPr>
        <w:t>2</w:t>
      </w:r>
    </w:p>
    <w:p>
      <w:pPr>
        <w:ind w:left="242" w:hanging="242"/>
        <w:spacing w:after="0" w:line="249" w:lineRule="auto"/>
        <w:tabs>
          <w:tab w:leader="none" w:pos="242" w:val="left"/>
        </w:tabs>
        <w:numPr>
          <w:ilvl w:val="0"/>
          <w:numId w:val="15"/>
        </w:numPr>
        <w:rPr>
          <w:rFonts w:ascii="Arial" w:cs="Arial" w:eastAsia="Arial" w:hAnsi="Arial"/>
          <w:sz w:val="13"/>
          <w:szCs w:val="13"/>
          <w:color w:val="auto"/>
        </w:rPr>
      </w:pPr>
      <w:r>
        <w:rPr>
          <w:rFonts w:ascii="Arial" w:cs="Arial" w:eastAsia="Arial" w:hAnsi="Arial"/>
          <w:sz w:val="13"/>
          <w:szCs w:val="13"/>
          <w:color w:val="auto"/>
        </w:rPr>
        <w:t>8% decrease in mid-range color installs primarily reflecting lower installs of multifunction color devices partially offset by higher installs of light-production devices that sit at the higher end of the portfolio range.</w:t>
      </w:r>
    </w:p>
    <w:p>
      <w:pPr>
        <w:ind w:left="242" w:hanging="242"/>
        <w:spacing w:after="0"/>
        <w:tabs>
          <w:tab w:leader="none" w:pos="242" w:val="left"/>
        </w:tabs>
        <w:numPr>
          <w:ilvl w:val="0"/>
          <w:numId w:val="15"/>
        </w:numPr>
        <w:rPr>
          <w:rFonts w:ascii="Arial" w:cs="Arial" w:eastAsia="Arial" w:hAnsi="Arial"/>
          <w:sz w:val="13"/>
          <w:szCs w:val="13"/>
          <w:color w:val="auto"/>
        </w:rPr>
      </w:pPr>
      <w:r>
        <w:rPr>
          <w:rFonts w:ascii="Arial" w:cs="Arial" w:eastAsia="Arial" w:hAnsi="Arial"/>
          <w:sz w:val="13"/>
          <w:szCs w:val="13"/>
          <w:color w:val="auto"/>
        </w:rPr>
        <w:t>19% decrease in mid-range black-and-white reflecting in part global market trends.</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High-End</w:t>
      </w:r>
      <w:r>
        <w:rPr>
          <w:rFonts w:ascii="Arial" w:cs="Arial" w:eastAsia="Arial" w:hAnsi="Arial"/>
          <w:sz w:val="15"/>
          <w:szCs w:val="15"/>
          <w:i w:val="1"/>
          <w:iCs w:val="1"/>
          <w:color w:val="auto"/>
          <w:vertAlign w:val="superscript"/>
        </w:rPr>
        <w:t>2</w:t>
      </w:r>
    </w:p>
    <w:p>
      <w:pPr>
        <w:ind w:left="242" w:right="100" w:hanging="242"/>
        <w:spacing w:after="0" w:line="249" w:lineRule="auto"/>
        <w:tabs>
          <w:tab w:leader="none" w:pos="2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12% decrease in high-end color installs reflecting lower installs of our lower-end Versant production systems, partially offset by global demand for our newly-launched Baltoro inkjet press, and higher installs of our Iridesse color systems in the U.S.</w:t>
      </w:r>
    </w:p>
    <w:p>
      <w:pPr>
        <w:ind w:left="242" w:hanging="242"/>
        <w:spacing w:after="0"/>
        <w:tabs>
          <w:tab w:leader="none" w:pos="2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8% increase in high-end black-and-white systems as a result of higher sales in the U.S. associated with the timing of our customers' renewal cycles which offset declining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
        <w:spacing w:after="0"/>
        <w:rPr>
          <w:sz w:val="20"/>
          <w:szCs w:val="20"/>
          <w:color w:val="auto"/>
        </w:rPr>
      </w:pPr>
      <w:r>
        <w:rPr>
          <w:rFonts w:ascii="Arial" w:cs="Arial" w:eastAsia="Arial" w:hAnsi="Arial"/>
          <w:sz w:val="8"/>
          <w:szCs w:val="8"/>
          <w:color w:val="auto"/>
        </w:rPr>
        <w:t>___________________________</w:t>
      </w:r>
    </w:p>
    <w:p>
      <w:pPr>
        <w:spacing w:after="0" w:line="7" w:lineRule="exact"/>
        <w:rPr>
          <w:sz w:val="20"/>
          <w:szCs w:val="20"/>
          <w:color w:val="auto"/>
        </w:rPr>
      </w:pPr>
    </w:p>
    <w:p>
      <w:pPr>
        <w:ind w:left="242" w:hanging="242"/>
        <w:spacing w:after="0"/>
        <w:tabs>
          <w:tab w:leader="none" w:pos="242" w:val="left"/>
        </w:tabs>
        <w:numPr>
          <w:ilvl w:val="0"/>
          <w:numId w:val="1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See the “Non-GAAP Financial Measures” section for an explanation of the non-GAAP financial measure.</w:t>
      </w:r>
    </w:p>
    <w:p>
      <w:pPr>
        <w:ind w:left="242" w:hanging="242"/>
        <w:spacing w:after="0" w:line="198" w:lineRule="auto"/>
        <w:tabs>
          <w:tab w:leader="none" w:pos="242" w:val="left"/>
        </w:tabs>
        <w:numPr>
          <w:ilvl w:val="0"/>
          <w:numId w:val="1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Mid-range and High-end color installations exclude Fuji Xerox digital front-end sales; including Fuji Xerox digital front-end sales, Mid-range color devices decreased 9%, and High-end color systems decreased 11%.</w:t>
      </w:r>
    </w:p>
    <w:p>
      <w:pPr>
        <w:spacing w:after="0" w:line="145" w:lineRule="exact"/>
        <w:rPr>
          <w:sz w:val="20"/>
          <w:szCs w:val="20"/>
          <w:color w:val="auto"/>
        </w:rPr>
      </w:pPr>
    </w:p>
    <w:p>
      <w:pPr>
        <w:jc w:val="center"/>
        <w:ind w:right="-261"/>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2"/>
          </w:cols>
          <w:pgMar w:left="218" w:top="559" w:right="459" w:bottom="1440" w:gutter="0" w:footer="0" w:header="0"/>
        </w:sectPr>
      </w:pPr>
    </w:p>
    <w:bookmarkStart w:id="18" w:name="page19"/>
    <w:bookmarkEnd w:id="18"/>
    <w:p>
      <w:pPr>
        <w:ind w:left="2"/>
        <w:spacing w:after="0"/>
        <w:rPr>
          <w:sz w:val="20"/>
          <w:szCs w:val="20"/>
          <w:color w:val="auto"/>
        </w:rPr>
      </w:pPr>
      <w:r>
        <w:rPr>
          <w:rFonts w:ascii="Arial" w:cs="Arial" w:eastAsia="Arial" w:hAnsi="Arial"/>
          <w:sz w:val="18"/>
          <w:szCs w:val="18"/>
          <w:b w:val="1"/>
          <w:bCs w:val="1"/>
          <w:color w:val="DA2031"/>
        </w:rPr>
        <w:t>Costs, Expenses and Other Income</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DA2031"/>
        </w:rPr>
        <w:t>Summary of Key Financial Ratios</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is a summary of key financial ratios used to assess our performance:</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6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left="48"/>
              <w:spacing w:after="0"/>
              <w:rPr>
                <w:sz w:val="20"/>
                <w:szCs w:val="20"/>
                <w:color w:val="auto"/>
              </w:rPr>
            </w:pPr>
            <w:r>
              <w:rPr>
                <w:rFonts w:ascii="Arial" w:cs="Arial" w:eastAsia="Arial" w:hAnsi="Arial"/>
                <w:sz w:val="10"/>
                <w:szCs w:val="10"/>
                <w:color w:val="auto"/>
              </w:rPr>
              <w:t>Three Months Ended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8"/>
        </w:trPr>
        <w:tc>
          <w:tcPr>
            <w:tcW w:w="6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0"/>
                <w:szCs w:val="10"/>
                <w:color w:val="auto"/>
              </w:rPr>
              <w:t>December 31,</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84"/>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rPr>
              <w:t>2018</w:t>
            </w: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rPr>
              <w:t>B/(W)</w:t>
            </w:r>
          </w:p>
        </w:tc>
        <w:tc>
          <w:tcPr>
            <w:tcW w:w="340" w:type="dxa"/>
            <w:vAlign w:val="bottom"/>
            <w:tcBorders>
              <w:bottom w:val="single" w:sz="8" w:color="auto"/>
            </w:tcBorders>
          </w:tcPr>
          <w:p>
            <w:pPr>
              <w:spacing w:after="0"/>
              <w:rPr>
                <w:sz w:val="16"/>
                <w:szCs w:val="16"/>
                <w:color w:val="auto"/>
              </w:rPr>
            </w:pPr>
          </w:p>
        </w:tc>
      </w:tr>
      <w:tr>
        <w:trPr>
          <w:trHeight w:val="188"/>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Gross Profit</w:t>
            </w:r>
          </w:p>
        </w:tc>
        <w:tc>
          <w:tcPr>
            <w:tcW w:w="28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1,016</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998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88"/>
              <w:spacing w:after="0"/>
              <w:rPr>
                <w:sz w:val="20"/>
                <w:szCs w:val="20"/>
                <w:color w:val="auto"/>
              </w:rPr>
            </w:pPr>
            <w:r>
              <w:rPr>
                <w:rFonts w:ascii="Arial" w:cs="Arial" w:eastAsia="Arial" w:hAnsi="Arial"/>
                <w:sz w:val="10"/>
                <w:szCs w:val="10"/>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18</w:t>
            </w:r>
          </w:p>
        </w:tc>
        <w:tc>
          <w:tcPr>
            <w:tcW w:w="340" w:type="dxa"/>
            <w:vAlign w:val="bottom"/>
            <w:shd w:val="clear" w:color="auto" w:fill="E5E5E5"/>
          </w:tcPr>
          <w:p>
            <w:pPr>
              <w:spacing w:after="0"/>
              <w:rPr>
                <w:sz w:val="16"/>
                <w:szCs w:val="16"/>
                <w:color w:val="auto"/>
              </w:rPr>
            </w:pP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0"/>
                <w:szCs w:val="10"/>
                <w:color w:val="auto"/>
              </w:rPr>
              <w:t>RD&amp;E</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0"/>
                <w:szCs w:val="10"/>
                <w:color w:val="auto"/>
              </w:rPr>
              <w:t>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0"/>
                <w:szCs w:val="10"/>
                <w:color w:val="auto"/>
              </w:rPr>
              <w:t>1</w:t>
            </w:r>
          </w:p>
        </w:tc>
        <w:tc>
          <w:tcPr>
            <w:tcW w:w="340" w:type="dxa"/>
            <w:vAlign w:val="bottom"/>
          </w:tcPr>
          <w:p>
            <w:pPr>
              <w:spacing w:after="0"/>
              <w:rPr>
                <w:sz w:val="16"/>
                <w:szCs w:val="16"/>
                <w:color w:val="auto"/>
              </w:rPr>
            </w:pPr>
          </w:p>
        </w:tc>
      </w:tr>
      <w:tr>
        <w:trPr>
          <w:trHeight w:val="199"/>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SAG</w:t>
            </w:r>
          </w:p>
        </w:tc>
        <w:tc>
          <w:tcPr>
            <w:tcW w:w="28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512</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552</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40</w:t>
            </w:r>
          </w:p>
        </w:tc>
        <w:tc>
          <w:tcPr>
            <w:tcW w:w="340" w:type="dxa"/>
            <w:vAlign w:val="bottom"/>
            <w:shd w:val="clear" w:color="auto" w:fill="E5E5E5"/>
          </w:tcPr>
          <w:p>
            <w:pPr>
              <w:spacing w:after="0"/>
              <w:rPr>
                <w:sz w:val="17"/>
                <w:szCs w:val="17"/>
                <w:color w:val="auto"/>
              </w:rPr>
            </w:pPr>
          </w:p>
        </w:tc>
      </w:tr>
      <w:tr>
        <w:trPr>
          <w:trHeight w:val="204"/>
        </w:trPr>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4"/>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Equipment Gross Margin</w:t>
            </w: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32.0%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33.2%</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08"/>
              <w:spacing w:after="0"/>
              <w:rPr>
                <w:sz w:val="20"/>
                <w:szCs w:val="20"/>
                <w:color w:val="auto"/>
              </w:rPr>
            </w:pPr>
            <w:r>
              <w:rPr>
                <w:rFonts w:ascii="Arial" w:cs="Arial" w:eastAsia="Arial" w:hAnsi="Arial"/>
                <w:sz w:val="10"/>
                <w:szCs w:val="10"/>
                <w:color w:val="auto"/>
              </w:rPr>
              <w:t>(1.2)</w:t>
            </w:r>
          </w:p>
        </w:tc>
        <w:tc>
          <w:tcPr>
            <w:tcW w:w="3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pts.</w:t>
            </w: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0"/>
                <w:szCs w:val="10"/>
                <w:color w:val="auto"/>
              </w:rPr>
              <w:t>Post sale Gross Margin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0"/>
                <w:szCs w:val="10"/>
                <w:color w:val="auto"/>
              </w:rPr>
              <w:t>2.6</w:t>
            </w:r>
          </w:p>
        </w:tc>
        <w:tc>
          <w:tcPr>
            <w:tcW w:w="340" w:type="dxa"/>
            <w:vAlign w:val="bottom"/>
          </w:tcPr>
          <w:p>
            <w:pPr>
              <w:jc w:val="right"/>
              <w:spacing w:after="0"/>
              <w:rPr>
                <w:sz w:val="20"/>
                <w:szCs w:val="20"/>
                <w:color w:val="auto"/>
              </w:rPr>
            </w:pPr>
            <w:r>
              <w:rPr>
                <w:rFonts w:ascii="Arial" w:cs="Arial" w:eastAsia="Arial" w:hAnsi="Arial"/>
                <w:sz w:val="10"/>
                <w:szCs w:val="10"/>
                <w:color w:val="auto"/>
              </w:rPr>
              <w:t>pts.</w:t>
            </w:r>
          </w:p>
        </w:tc>
      </w:tr>
      <w:tr>
        <w:trPr>
          <w:trHeight w:val="199"/>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Total Gross Margin</w:t>
            </w:r>
          </w:p>
        </w:tc>
        <w:tc>
          <w:tcPr>
            <w:tcW w:w="28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41.6%</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40.0%</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1.6</w:t>
            </w:r>
          </w:p>
        </w:tc>
        <w:tc>
          <w:tcPr>
            <w:tcW w:w="3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pts.</w:t>
            </w: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0"/>
                <w:szCs w:val="10"/>
                <w:color w:val="auto"/>
              </w:rPr>
              <w:t>RD&amp;E as a % of Revenue</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pts.</w:t>
            </w:r>
          </w:p>
        </w:tc>
      </w:tr>
      <w:tr>
        <w:trPr>
          <w:trHeight w:val="199"/>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SAG as a % of Revenue</w:t>
            </w:r>
          </w:p>
        </w:tc>
        <w:tc>
          <w:tcPr>
            <w:tcW w:w="28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20.9%</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22.1%</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1.2</w:t>
            </w:r>
          </w:p>
        </w:tc>
        <w:tc>
          <w:tcPr>
            <w:tcW w:w="3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pts</w:t>
            </w:r>
          </w:p>
        </w:tc>
      </w:tr>
      <w:tr>
        <w:trPr>
          <w:trHeight w:val="204"/>
        </w:trPr>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4"/>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Pre-tax Income</w:t>
            </w:r>
          </w:p>
        </w:tc>
        <w:tc>
          <w:tcPr>
            <w:tcW w:w="28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336</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124</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88"/>
              <w:spacing w:after="0"/>
              <w:rPr>
                <w:sz w:val="20"/>
                <w:szCs w:val="20"/>
                <w:color w:val="auto"/>
              </w:rPr>
            </w:pPr>
            <w:r>
              <w:rPr>
                <w:rFonts w:ascii="Arial" w:cs="Arial" w:eastAsia="Arial" w:hAnsi="Arial"/>
                <w:sz w:val="10"/>
                <w:szCs w:val="10"/>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212</w:t>
            </w:r>
          </w:p>
        </w:tc>
        <w:tc>
          <w:tcPr>
            <w:tcW w:w="340" w:type="dxa"/>
            <w:vAlign w:val="bottom"/>
            <w:shd w:val="clear" w:color="auto" w:fill="E5E5E5"/>
          </w:tcPr>
          <w:p>
            <w:pPr>
              <w:spacing w:after="0"/>
              <w:rPr>
                <w:sz w:val="16"/>
                <w:szCs w:val="16"/>
                <w:color w:val="auto"/>
              </w:rPr>
            </w:pP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0"/>
                <w:szCs w:val="10"/>
                <w:color w:val="auto"/>
              </w:rPr>
              <w:t>Pre-tax Income Margin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0"/>
                <w:szCs w:val="10"/>
                <w:color w:val="auto"/>
              </w:rPr>
              <w:t>8.7</w:t>
            </w:r>
          </w:p>
        </w:tc>
        <w:tc>
          <w:tcPr>
            <w:tcW w:w="340" w:type="dxa"/>
            <w:vAlign w:val="bottom"/>
          </w:tcPr>
          <w:p>
            <w:pPr>
              <w:jc w:val="right"/>
              <w:spacing w:after="0"/>
              <w:rPr>
                <w:sz w:val="20"/>
                <w:szCs w:val="20"/>
                <w:color w:val="auto"/>
              </w:rPr>
            </w:pPr>
            <w:r>
              <w:rPr>
                <w:rFonts w:ascii="Arial" w:cs="Arial" w:eastAsia="Arial" w:hAnsi="Arial"/>
                <w:sz w:val="10"/>
                <w:szCs w:val="10"/>
                <w:color w:val="auto"/>
              </w:rPr>
              <w:t>pts.</w:t>
            </w:r>
          </w:p>
        </w:tc>
      </w:tr>
      <w:tr>
        <w:trPr>
          <w:trHeight w:val="208"/>
        </w:trPr>
        <w:tc>
          <w:tcPr>
            <w:tcW w:w="6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r>
      <w:tr>
        <w:trPr>
          <w:trHeight w:val="194"/>
        </w:trPr>
        <w:tc>
          <w:tcPr>
            <w:tcW w:w="6500" w:type="dxa"/>
            <w:vAlign w:val="bottom"/>
            <w:gridSpan w:val="2"/>
          </w:tcPr>
          <w:p>
            <w:pPr>
              <w:ind w:left="20"/>
              <w:spacing w:after="0"/>
              <w:rPr>
                <w:sz w:val="20"/>
                <w:szCs w:val="20"/>
                <w:color w:val="auto"/>
              </w:rPr>
            </w:pPr>
            <w:r>
              <w:rPr>
                <w:rFonts w:ascii="Arial" w:cs="Arial" w:eastAsia="Arial" w:hAnsi="Arial"/>
                <w:sz w:val="10"/>
                <w:szCs w:val="10"/>
                <w:color w:val="auto"/>
              </w:rPr>
              <w:t>Adjusted</w:t>
            </w:r>
            <w:r>
              <w:rPr>
                <w:rFonts w:ascii="Arial" w:cs="Arial" w:eastAsia="Arial" w:hAnsi="Arial"/>
                <w:sz w:val="12"/>
                <w:szCs w:val="12"/>
                <w:color w:val="auto"/>
                <w:vertAlign w:val="superscript"/>
              </w:rPr>
              <w:t>(1)</w:t>
            </w:r>
            <w:r>
              <w:rPr>
                <w:rFonts w:ascii="Arial" w:cs="Arial" w:eastAsia="Arial" w:hAnsi="Arial"/>
                <w:sz w:val="10"/>
                <w:szCs w:val="10"/>
                <w:color w:val="auto"/>
              </w:rPr>
              <w:t xml:space="preserve"> Operating Profit</w:t>
            </w:r>
          </w:p>
        </w:tc>
        <w:tc>
          <w:tcPr>
            <w:tcW w:w="2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68"/>
              <w:spacing w:after="0"/>
              <w:rPr>
                <w:sz w:val="20"/>
                <w:szCs w:val="20"/>
                <w:color w:val="auto"/>
              </w:rPr>
            </w:pPr>
            <w:r>
              <w:rPr>
                <w:rFonts w:ascii="Arial" w:cs="Arial" w:eastAsia="Arial" w:hAnsi="Arial"/>
                <w:sz w:val="10"/>
                <w:szCs w:val="10"/>
                <w:color w:val="auto"/>
              </w:rPr>
              <w:t>411</w:t>
            </w:r>
          </w:p>
        </w:tc>
        <w:tc>
          <w:tcPr>
            <w:tcW w:w="100" w:type="dxa"/>
            <w:vAlign w:val="bottom"/>
          </w:tcPr>
          <w:p>
            <w:pPr>
              <w:spacing w:after="0"/>
              <w:rPr>
                <w:sz w:val="16"/>
                <w:szCs w:val="16"/>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352</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48"/>
              <w:spacing w:after="0"/>
              <w:rPr>
                <w:sz w:val="20"/>
                <w:szCs w:val="20"/>
                <w:color w:val="auto"/>
              </w:rPr>
            </w:pPr>
            <w:r>
              <w:rPr>
                <w:rFonts w:ascii="Arial" w:cs="Arial" w:eastAsia="Arial" w:hAnsi="Arial"/>
                <w:sz w:val="10"/>
                <w:szCs w:val="10"/>
                <w:color w:val="auto"/>
              </w:rPr>
              <w:t>59</w:t>
            </w:r>
          </w:p>
        </w:tc>
        <w:tc>
          <w:tcPr>
            <w:tcW w:w="340" w:type="dxa"/>
            <w:vAlign w:val="bottom"/>
          </w:tcPr>
          <w:p>
            <w:pPr>
              <w:spacing w:after="0"/>
              <w:rPr>
                <w:sz w:val="16"/>
                <w:szCs w:val="16"/>
                <w:color w:val="auto"/>
              </w:rPr>
            </w:pPr>
          </w:p>
        </w:tc>
      </w:tr>
      <w:tr>
        <w:trPr>
          <w:trHeight w:val="194"/>
        </w:trPr>
        <w:tc>
          <w:tcPr>
            <w:tcW w:w="65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Adjusted</w:t>
            </w:r>
            <w:r>
              <w:rPr>
                <w:rFonts w:ascii="Arial" w:cs="Arial" w:eastAsia="Arial" w:hAnsi="Arial"/>
                <w:sz w:val="12"/>
                <w:szCs w:val="12"/>
                <w:color w:val="auto"/>
                <w:vertAlign w:val="superscript"/>
              </w:rPr>
              <w:t>(1)</w:t>
            </w:r>
            <w:r>
              <w:rPr>
                <w:rFonts w:ascii="Arial" w:cs="Arial" w:eastAsia="Arial" w:hAnsi="Arial"/>
                <w:sz w:val="10"/>
                <w:szCs w:val="10"/>
                <w:color w:val="auto"/>
              </w:rPr>
              <w:t xml:space="preserve"> Operating Margin</w:t>
            </w: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16.8%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rPr>
              <w:t>2.7</w:t>
            </w:r>
          </w:p>
        </w:tc>
        <w:tc>
          <w:tcPr>
            <w:tcW w:w="340" w:type="dxa"/>
            <w:vAlign w:val="bottom"/>
            <w:shd w:val="clear" w:color="auto" w:fill="E5E5E5"/>
          </w:tcPr>
          <w:p>
            <w:pPr>
              <w:jc w:val="right"/>
              <w:spacing w:after="0"/>
              <w:rPr>
                <w:sz w:val="20"/>
                <w:szCs w:val="20"/>
                <w:color w:val="auto"/>
              </w:rPr>
            </w:pPr>
            <w:r>
              <w:rPr>
                <w:rFonts w:ascii="Arial" w:cs="Arial" w:eastAsia="Arial" w:hAnsi="Arial"/>
                <w:sz w:val="10"/>
                <w:szCs w:val="10"/>
                <w:color w:val="auto"/>
              </w:rPr>
              <w:t>pts.</w:t>
            </w:r>
          </w:p>
        </w:tc>
      </w:tr>
      <w:tr>
        <w:trPr>
          <w:trHeight w:val="92"/>
        </w:trPr>
        <w:tc>
          <w:tcPr>
            <w:tcW w:w="6380" w:type="dxa"/>
            <w:vAlign w:val="bottom"/>
          </w:tcPr>
          <w:p>
            <w:pPr>
              <w:spacing w:after="0"/>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23" w:lineRule="exact"/>
        <w:rPr>
          <w:sz w:val="20"/>
          <w:szCs w:val="20"/>
          <w:color w:val="auto"/>
        </w:rPr>
      </w:pPr>
    </w:p>
    <w:p>
      <w:pPr>
        <w:ind w:left="102" w:hanging="102"/>
        <w:spacing w:after="0"/>
        <w:tabs>
          <w:tab w:leader="none" w:pos="102" w:val="left"/>
        </w:tabs>
        <w:numPr>
          <w:ilvl w:val="0"/>
          <w:numId w:val="1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See the “Non-GAAP Financial Measures” section for an explanation of the non-GAAP financial measure.</w:t>
      </w:r>
    </w:p>
    <w:p>
      <w:pPr>
        <w:spacing w:after="0" w:line="91"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Pre-tax Income Margin</w:t>
      </w:r>
    </w:p>
    <w:p>
      <w:pPr>
        <w:spacing w:after="0" w:line="20" w:lineRule="exact"/>
        <w:rPr>
          <w:sz w:val="20"/>
          <w:szCs w:val="20"/>
          <w:color w:val="auto"/>
        </w:rPr>
      </w:pPr>
    </w:p>
    <w:p>
      <w:pPr>
        <w:ind w:left="2" w:right="20"/>
        <w:spacing w:after="0" w:line="258" w:lineRule="auto"/>
        <w:rPr>
          <w:sz w:val="20"/>
          <w:szCs w:val="20"/>
          <w:color w:val="auto"/>
        </w:rPr>
      </w:pPr>
      <w:r>
        <w:rPr>
          <w:rFonts w:ascii="Arial" w:cs="Arial" w:eastAsia="Arial" w:hAnsi="Arial"/>
          <w:sz w:val="13"/>
          <w:szCs w:val="13"/>
          <w:color w:val="auto"/>
        </w:rPr>
        <w:t>Fourth quarter 2019 pre-tax income margin of 13.7% increased 8.7-percentage points as compared to fourth quarter 2018. The increase reflected lower Other expenses, net, as well as an approximate 2.8-percentage point favorable impact from the $77 million OEM license fee described above, and lower operating expenses which offset the adverse impact of lower revenues.</w:t>
      </w:r>
    </w:p>
    <w:p>
      <w:pPr>
        <w:spacing w:after="0" w:line="48"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Adjusted</w:t>
      </w:r>
      <w:r>
        <w:rPr>
          <w:rFonts w:ascii="Arial" w:cs="Arial" w:eastAsia="Arial" w:hAnsi="Arial"/>
          <w:sz w:val="15"/>
          <w:szCs w:val="15"/>
          <w:i w:val="1"/>
          <w:iCs w:val="1"/>
          <w:color w:val="auto"/>
          <w:vertAlign w:val="superscript"/>
        </w:rPr>
        <w:t>1</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Operating Margin</w:t>
      </w:r>
    </w:p>
    <w:p>
      <w:pPr>
        <w:ind w:left="2" w:right="20"/>
        <w:spacing w:after="0" w:line="237" w:lineRule="auto"/>
        <w:rPr>
          <w:sz w:val="20"/>
          <w:szCs w:val="20"/>
          <w:color w:val="auto"/>
        </w:rPr>
      </w:pPr>
      <w:r>
        <w:rPr>
          <w:rFonts w:ascii="Arial" w:cs="Arial" w:eastAsia="Arial" w:hAnsi="Arial"/>
          <w:sz w:val="13"/>
          <w:szCs w:val="13"/>
          <w:color w:val="auto"/>
        </w:rPr>
        <w:t>Fourth quarter 2019 adjusted</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operating margin of 16.8% increased by 2.7-percentage points as compared to fourth quarter 2018 primarily reflecting an approximate 2.7-percentage point favorable impact from the OEM license fee described above. The increase also reflected the impact of cost and expense reductions associated with our Project Own It transformation actions, offset by the impact of lower revenues and an approximate 0.3-percentage point unfavorable impact from transaction currency.</w:t>
      </w:r>
    </w:p>
    <w:p>
      <w:pPr>
        <w:ind w:left="2"/>
        <w:spacing w:after="0" w:line="235" w:lineRule="auto"/>
        <w:rPr>
          <w:sz w:val="20"/>
          <w:szCs w:val="20"/>
          <w:color w:val="auto"/>
        </w:rPr>
      </w:pPr>
      <w:r>
        <w:rPr>
          <w:rFonts w:ascii="Arial" w:cs="Arial" w:eastAsia="Arial" w:hAnsi="Arial"/>
          <w:sz w:val="8"/>
          <w:szCs w:val="8"/>
          <w:color w:val="auto"/>
        </w:rPr>
        <w:t>____________________________</w:t>
      </w:r>
    </w:p>
    <w:p>
      <w:pPr>
        <w:ind w:left="102" w:hanging="102"/>
        <w:spacing w:after="0" w:line="221" w:lineRule="auto"/>
        <w:tabs>
          <w:tab w:leader="none" w:pos="102" w:val="left"/>
        </w:tabs>
        <w:numPr>
          <w:ilvl w:val="0"/>
          <w:numId w:val="19"/>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Refer to the Operating Income and Margin reconciliation table in the “Non-GAAP Financial Measures” section.</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Gross Margin</w:t>
      </w:r>
    </w:p>
    <w:p>
      <w:pPr>
        <w:spacing w:after="0" w:line="20" w:lineRule="exact"/>
        <w:rPr>
          <w:sz w:val="20"/>
          <w:szCs w:val="20"/>
          <w:color w:val="auto"/>
        </w:rPr>
      </w:pPr>
    </w:p>
    <w:p>
      <w:pPr>
        <w:ind w:left="2" w:right="20"/>
        <w:spacing w:after="0" w:line="254" w:lineRule="auto"/>
        <w:rPr>
          <w:sz w:val="20"/>
          <w:szCs w:val="20"/>
          <w:color w:val="auto"/>
        </w:rPr>
      </w:pPr>
      <w:r>
        <w:rPr>
          <w:rFonts w:ascii="Arial" w:cs="Arial" w:eastAsia="Arial" w:hAnsi="Arial"/>
          <w:sz w:val="13"/>
          <w:szCs w:val="13"/>
          <w:color w:val="auto"/>
        </w:rPr>
        <w:t>Fourth quarter 2019 gross margin of 41.6% increased by 1.6-percentage points compared to fourth quarter 2018, reflecting an approximate 1.9-percentage point favorable impact from the OEM license fee described above, as well as the benefits from our Project Own It transformation actions which offset the impact of lower revenues as well as an approximate 0.3-percentage point unfavorable impact from transaction currency and an approximate 0.4-percentage point unfavorable impact from incremental tariff costs.</w:t>
      </w:r>
    </w:p>
    <w:p>
      <w:pPr>
        <w:spacing w:after="0" w:line="69" w:lineRule="exact"/>
        <w:rPr>
          <w:sz w:val="20"/>
          <w:szCs w:val="20"/>
          <w:color w:val="auto"/>
        </w:rPr>
      </w:pPr>
    </w:p>
    <w:p>
      <w:pPr>
        <w:ind w:left="2"/>
        <w:spacing w:after="0" w:line="254" w:lineRule="auto"/>
        <w:rPr>
          <w:sz w:val="20"/>
          <w:szCs w:val="20"/>
          <w:color w:val="auto"/>
        </w:rPr>
      </w:pPr>
      <w:r>
        <w:rPr>
          <w:rFonts w:ascii="Arial" w:cs="Arial" w:eastAsia="Arial" w:hAnsi="Arial"/>
          <w:sz w:val="13"/>
          <w:szCs w:val="13"/>
          <w:color w:val="auto"/>
        </w:rPr>
        <w:t>Fourth quarter 2019 equipment gross margin of 32.0% decreased by 1.2-percentage points as compared to fourth quarter 2018, reflecting an approximate 1.2-percentage point unfavorable impact from incremental tariff costs. The favorable mix of sales of high-end devices, and cost productivity offset the impact of lower revenues and selective price actions and an approximate 0.7-percentage point unfavorable impact from transaction currency.</w:t>
      </w:r>
    </w:p>
    <w:p>
      <w:pPr>
        <w:spacing w:after="0" w:line="69" w:lineRule="exact"/>
        <w:rPr>
          <w:sz w:val="20"/>
          <w:szCs w:val="20"/>
          <w:color w:val="auto"/>
        </w:rPr>
      </w:pPr>
    </w:p>
    <w:p>
      <w:pPr>
        <w:ind w:left="2" w:right="80"/>
        <w:spacing w:after="0" w:line="254" w:lineRule="auto"/>
        <w:rPr>
          <w:sz w:val="20"/>
          <w:szCs w:val="20"/>
          <w:color w:val="auto"/>
        </w:rPr>
      </w:pPr>
      <w:r>
        <w:rPr>
          <w:rFonts w:ascii="Arial" w:cs="Arial" w:eastAsia="Arial" w:hAnsi="Arial"/>
          <w:sz w:val="13"/>
          <w:szCs w:val="13"/>
          <w:color w:val="auto"/>
        </w:rPr>
        <w:t>Fourth quarter 2019 post sale gross margin of 44.8% increased by 2.6-percentage points as compared to fourth quarter 2018, including an approximate 2.4-percentage point favorable impact from the OEM license fee described above, as well as productivity and restructuring savings associated with our Project Own It transformation actions, which entirely offset the impact of lower revenues, including lower pricing on contract renewals, and an approximate 0.2-percentage point unfavorable impact from transaction currency.</w:t>
      </w:r>
    </w:p>
    <w:p>
      <w:pPr>
        <w:spacing w:after="0" w:line="14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62"/>
          </w:cols>
          <w:pgMar w:left="218" w:top="439" w:right="219" w:bottom="1440" w:gutter="0" w:footer="0" w:header="0"/>
        </w:sectPr>
      </w:pPr>
    </w:p>
    <w:bookmarkStart w:id="19" w:name="page20"/>
    <w:bookmarkEnd w:id="19"/>
    <w:p>
      <w:pPr>
        <w:ind w:left="2" w:right="180"/>
        <w:spacing w:after="0" w:line="258" w:lineRule="auto"/>
        <w:rPr>
          <w:sz w:val="20"/>
          <w:szCs w:val="20"/>
          <w:color w:val="auto"/>
        </w:rPr>
      </w:pPr>
      <w:r>
        <w:rPr>
          <w:rFonts w:ascii="Arial" w:cs="Arial" w:eastAsia="Arial" w:hAnsi="Arial"/>
          <w:sz w:val="13"/>
          <w:szCs w:val="13"/>
          <w:color w:val="auto"/>
        </w:rPr>
        <w:t>Gross margins are expected to continue to be negatively impacted in future periods as a result of an increase in the cost of our imported products due to higher import tariffs. We are taking actions to mitigate the impact of these tariffs, such as raising prices on certain products, however, we currently estimate an approximately $35 million cost impact from these higher tariffs in 2020.</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Research, Development and Engineering Expenses (RD&amp;E)</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3"/>
          <w:szCs w:val="13"/>
          <w:color w:val="auto"/>
        </w:rPr>
        <w:t>Fourth quarter 2019 RD&amp;E as a percentage of revenue of 3.8% was flat as compared to fourth quarter 2018, primarily due to lower expenses offset by the impact of revenues declines.</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3"/>
          <w:szCs w:val="13"/>
          <w:color w:val="auto"/>
        </w:rPr>
        <w:t>RD&amp;E of $93 million decreased $1 million as compared to fourth quarter 2018.</w:t>
      </w:r>
    </w:p>
    <w:p>
      <w:pPr>
        <w:spacing w:after="0" w:line="109"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Selling, Administrative and General Expenses (SAG)</w:t>
      </w:r>
    </w:p>
    <w:p>
      <w:pPr>
        <w:spacing w:after="0" w:line="20" w:lineRule="exact"/>
        <w:rPr>
          <w:sz w:val="20"/>
          <w:szCs w:val="20"/>
          <w:color w:val="auto"/>
        </w:rPr>
      </w:pPr>
    </w:p>
    <w:p>
      <w:pPr>
        <w:ind w:left="2" w:right="200"/>
        <w:spacing w:after="0" w:line="258" w:lineRule="auto"/>
        <w:rPr>
          <w:sz w:val="20"/>
          <w:szCs w:val="20"/>
          <w:color w:val="auto"/>
        </w:rPr>
      </w:pPr>
      <w:r>
        <w:rPr>
          <w:rFonts w:ascii="Arial" w:cs="Arial" w:eastAsia="Arial" w:hAnsi="Arial"/>
          <w:sz w:val="13"/>
          <w:szCs w:val="13"/>
          <w:color w:val="auto"/>
        </w:rPr>
        <w:t>SAG as a percentage of revenue of 20.9% decreased by 1.2-percentage points as compared to fourth quarter 2018, primarily reflecting the benefit from productivity and restructuring associated with our Project Own It transformation actions which offset the impact from lower revenues.</w:t>
      </w:r>
    </w:p>
    <w:p>
      <w:pPr>
        <w:spacing w:after="0" w:line="106" w:lineRule="exact"/>
        <w:rPr>
          <w:sz w:val="20"/>
          <w:szCs w:val="20"/>
          <w:color w:val="auto"/>
        </w:rPr>
      </w:pPr>
    </w:p>
    <w:p>
      <w:pPr>
        <w:ind w:left="2" w:right="20"/>
        <w:spacing w:after="0" w:line="251" w:lineRule="auto"/>
        <w:rPr>
          <w:sz w:val="20"/>
          <w:szCs w:val="20"/>
          <w:color w:val="auto"/>
        </w:rPr>
      </w:pPr>
      <w:r>
        <w:rPr>
          <w:rFonts w:ascii="Arial" w:cs="Arial" w:eastAsia="Arial" w:hAnsi="Arial"/>
          <w:sz w:val="13"/>
          <w:szCs w:val="13"/>
          <w:color w:val="auto"/>
        </w:rPr>
        <w:t>SAG of $512 million decreased by $40 million as compared to fourth quarter 2018, reflecting productivity and restructuring savings associated with our Project Own It transformation actions as well as the year-over-year benefit of $10 million of charges in the prior year related to the cancellation of certain IT projects, offset by higher performance incentive compensation as well as higher advertising investments primarily in indirect channel marketing. Bad debt expense of $8 million was $7 million higher compared to fourth quarter 2018 primarily due to an increased level of sales-type leases as a result of our adoption of ASC Topic 842 - Leases and associated changes in the collectibility assessment of certain leases as well as an increased mix of high-end equipment sales. On a trailing twelve-month basis (TTM), bad debt expense remained at less than one percent of total receivables.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Restructuring and Related Costs</w:t>
      </w:r>
    </w:p>
    <w:p>
      <w:pPr>
        <w:spacing w:after="0" w:line="20"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3"/>
          <w:szCs w:val="13"/>
          <w:color w:val="212121"/>
        </w:rPr>
        <w:t xml:space="preserve">During the second half of 2018, we started our Project Own It transformation initiative. The primary goal of this initiative is to improve productivity by driving end-to-end transformation of our processes and systems to create greater focus, speed, accountability and effectiveness and to reduce costs. We incurred restructuring and related costs of $53 million for the </w:t>
      </w:r>
      <w:r>
        <w:rPr>
          <w:rFonts w:ascii="Arial" w:cs="Arial" w:eastAsia="Arial" w:hAnsi="Arial"/>
          <w:sz w:val="13"/>
          <w:szCs w:val="13"/>
          <w:color w:val="000000"/>
        </w:rPr>
        <w:t>fourth</w:t>
      </w:r>
      <w:r>
        <w:rPr>
          <w:rFonts w:ascii="Arial" w:cs="Arial" w:eastAsia="Arial" w:hAnsi="Arial"/>
          <w:sz w:val="13"/>
          <w:szCs w:val="13"/>
          <w:color w:val="212121"/>
        </w:rPr>
        <w:t xml:space="preserve"> quarter 2019 primarily related to costs to implement initiatives under our business transformation projects including Project Own It. The following is a breakdown of those costs:</w:t>
      </w:r>
    </w:p>
    <w:p>
      <w:pPr>
        <w:spacing w:after="0" w:line="17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9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jc w:val="right"/>
              <w:ind w:right="408"/>
              <w:spacing w:after="0"/>
              <w:rPr>
                <w:sz w:val="20"/>
                <w:szCs w:val="20"/>
                <w:color w:val="auto"/>
              </w:rPr>
            </w:pPr>
            <w:r>
              <w:rPr>
                <w:rFonts w:ascii="Arial" w:cs="Arial" w:eastAsia="Arial" w:hAnsi="Arial"/>
                <w:sz w:val="10"/>
                <w:szCs w:val="10"/>
                <w:color w:val="auto"/>
              </w:rPr>
              <w:t>Three Months Ended</w:t>
            </w:r>
          </w:p>
        </w:tc>
      </w:tr>
      <w:tr>
        <w:trPr>
          <w:trHeight w:val="128"/>
        </w:trPr>
        <w:tc>
          <w:tcPr>
            <w:tcW w:w="95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December 31, 2019</w:t>
            </w:r>
          </w:p>
        </w:tc>
      </w:tr>
      <w:tr>
        <w:trPr>
          <w:trHeight w:val="179"/>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Restructuring Severance </w:t>
            </w:r>
            <w:r>
              <w:rPr>
                <w:rFonts w:ascii="Arial" w:cs="Arial" w:eastAsia="Arial" w:hAnsi="Arial"/>
                <w:sz w:val="12"/>
                <w:szCs w:val="12"/>
                <w:color w:val="auto"/>
                <w:vertAlign w:val="superscript"/>
              </w:rPr>
              <w:t>(1)</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44</w:t>
            </w:r>
          </w:p>
        </w:tc>
      </w:tr>
      <w:tr>
        <w:trPr>
          <w:trHeight w:val="194"/>
        </w:trPr>
        <w:tc>
          <w:tcPr>
            <w:tcW w:w="9640" w:type="dxa"/>
            <w:vAlign w:val="bottom"/>
            <w:gridSpan w:val="2"/>
          </w:tcPr>
          <w:p>
            <w:pPr>
              <w:ind w:left="20"/>
              <w:spacing w:after="0"/>
              <w:rPr>
                <w:sz w:val="20"/>
                <w:szCs w:val="20"/>
                <w:color w:val="auto"/>
              </w:rPr>
            </w:pPr>
            <w:r>
              <w:rPr>
                <w:rFonts w:ascii="Arial" w:cs="Arial" w:eastAsia="Arial" w:hAnsi="Arial"/>
                <w:sz w:val="10"/>
                <w:szCs w:val="10"/>
                <w:color w:val="auto"/>
              </w:rPr>
              <w:t xml:space="preserve">Asset Impairments </w:t>
            </w:r>
            <w:r>
              <w:rPr>
                <w:rFonts w:ascii="Arial" w:cs="Arial" w:eastAsia="Arial" w:hAnsi="Arial"/>
                <w:sz w:val="12"/>
                <w:szCs w:val="12"/>
                <w:color w:val="auto"/>
                <w:vertAlign w:val="superscript"/>
              </w:rPr>
              <w:t>(2)</w:t>
            </w:r>
          </w:p>
        </w:tc>
        <w:tc>
          <w:tcPr>
            <w:tcW w:w="260" w:type="dxa"/>
            <w:vAlign w:val="bottom"/>
          </w:tcPr>
          <w:p>
            <w:pPr>
              <w:spacing w:after="0"/>
              <w:rPr>
                <w:sz w:val="16"/>
                <w:szCs w:val="16"/>
                <w:color w:val="auto"/>
              </w:rPr>
            </w:pPr>
          </w:p>
        </w:tc>
        <w:tc>
          <w:tcPr>
            <w:tcW w:w="1580" w:type="dxa"/>
            <w:vAlign w:val="bottom"/>
          </w:tcPr>
          <w:p>
            <w:pPr>
              <w:jc w:val="right"/>
              <w:ind w:right="68"/>
              <w:spacing w:after="0"/>
              <w:rPr>
                <w:sz w:val="20"/>
                <w:szCs w:val="20"/>
                <w:color w:val="auto"/>
              </w:rPr>
            </w:pPr>
            <w:r>
              <w:rPr>
                <w:rFonts w:ascii="Arial" w:cs="Arial" w:eastAsia="Arial" w:hAnsi="Arial"/>
                <w:sz w:val="10"/>
                <w:szCs w:val="10"/>
                <w:color w:val="auto"/>
              </w:rPr>
              <w:t>13</w:t>
            </w:r>
          </w:p>
        </w:tc>
      </w:tr>
      <w:tr>
        <w:trPr>
          <w:trHeight w:val="194"/>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Other contractual termination costs </w:t>
            </w:r>
            <w:r>
              <w:rPr>
                <w:rFonts w:ascii="Arial" w:cs="Arial" w:eastAsia="Arial" w:hAnsi="Arial"/>
                <w:sz w:val="12"/>
                <w:szCs w:val="12"/>
                <w:color w:val="auto"/>
                <w:vertAlign w:val="superscript"/>
              </w:rPr>
              <w:t>(3)</w:t>
            </w:r>
          </w:p>
        </w:tc>
        <w:tc>
          <w:tcPr>
            <w:tcW w:w="260" w:type="dxa"/>
            <w:vAlign w:val="bottom"/>
            <w:shd w:val="clear" w:color="auto" w:fill="E5E5E5"/>
          </w:tcPr>
          <w:p>
            <w:pPr>
              <w:spacing w:after="0"/>
              <w:rPr>
                <w:sz w:val="16"/>
                <w:szCs w:val="16"/>
                <w:color w:val="auto"/>
              </w:rPr>
            </w:pP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w:t>
            </w:r>
          </w:p>
        </w:tc>
      </w:tr>
      <w:tr>
        <w:trPr>
          <w:trHeight w:val="194"/>
        </w:trPr>
        <w:tc>
          <w:tcPr>
            <w:tcW w:w="96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 xml:space="preserve">Net reversals </w:t>
            </w:r>
            <w:r>
              <w:rPr>
                <w:rFonts w:ascii="Arial" w:cs="Arial" w:eastAsia="Arial" w:hAnsi="Arial"/>
                <w:sz w:val="12"/>
                <w:szCs w:val="12"/>
                <w:color w:val="auto"/>
                <w:vertAlign w:val="superscript"/>
              </w:rPr>
              <w:t>(4)</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(11)</w:t>
            </w:r>
          </w:p>
        </w:tc>
      </w:tr>
      <w:tr>
        <w:trPr>
          <w:trHeight w:val="174"/>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asset impairment costs</w:t>
            </w:r>
          </w:p>
        </w:tc>
        <w:tc>
          <w:tcPr>
            <w:tcW w:w="260" w:type="dxa"/>
            <w:vAlign w:val="bottom"/>
            <w:shd w:val="clear" w:color="auto" w:fill="E5E5E5"/>
          </w:tcPr>
          <w:p>
            <w:pPr>
              <w:spacing w:after="0"/>
              <w:rPr>
                <w:sz w:val="15"/>
                <w:szCs w:val="15"/>
                <w:color w:val="auto"/>
              </w:rPr>
            </w:pP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47</w:t>
            </w:r>
          </w:p>
        </w:tc>
      </w:tr>
      <w:tr>
        <w:trPr>
          <w:trHeight w:val="194"/>
        </w:trPr>
        <w:tc>
          <w:tcPr>
            <w:tcW w:w="9640" w:type="dxa"/>
            <w:vAlign w:val="bottom"/>
            <w:gridSpan w:val="2"/>
          </w:tcPr>
          <w:p>
            <w:pPr>
              <w:ind w:left="20"/>
              <w:spacing w:after="0"/>
              <w:rPr>
                <w:sz w:val="20"/>
                <w:szCs w:val="20"/>
                <w:color w:val="auto"/>
              </w:rPr>
            </w:pPr>
            <w:r>
              <w:rPr>
                <w:rFonts w:ascii="Arial" w:cs="Arial" w:eastAsia="Arial" w:hAnsi="Arial"/>
                <w:sz w:val="10"/>
                <w:szCs w:val="10"/>
                <w:color w:val="auto"/>
              </w:rPr>
              <w:t xml:space="preserve">Retention related severance/bonuses </w:t>
            </w:r>
            <w:r>
              <w:rPr>
                <w:rFonts w:ascii="Arial" w:cs="Arial" w:eastAsia="Arial" w:hAnsi="Arial"/>
                <w:sz w:val="12"/>
                <w:szCs w:val="12"/>
                <w:color w:val="auto"/>
                <w:vertAlign w:val="superscript"/>
              </w:rPr>
              <w:t>(5)</w:t>
            </w:r>
          </w:p>
        </w:tc>
        <w:tc>
          <w:tcPr>
            <w:tcW w:w="260" w:type="dxa"/>
            <w:vAlign w:val="bottom"/>
          </w:tcPr>
          <w:p>
            <w:pPr>
              <w:spacing w:after="0"/>
              <w:rPr>
                <w:sz w:val="16"/>
                <w:szCs w:val="16"/>
                <w:color w:val="auto"/>
              </w:rPr>
            </w:pPr>
          </w:p>
        </w:tc>
        <w:tc>
          <w:tcPr>
            <w:tcW w:w="1580" w:type="dxa"/>
            <w:vAlign w:val="bottom"/>
          </w:tcPr>
          <w:p>
            <w:pPr>
              <w:jc w:val="right"/>
              <w:ind w:right="68"/>
              <w:spacing w:after="0"/>
              <w:rPr>
                <w:sz w:val="20"/>
                <w:szCs w:val="20"/>
                <w:color w:val="auto"/>
              </w:rPr>
            </w:pPr>
            <w:r>
              <w:rPr>
                <w:rFonts w:ascii="Arial" w:cs="Arial" w:eastAsia="Arial" w:hAnsi="Arial"/>
                <w:sz w:val="10"/>
                <w:szCs w:val="10"/>
                <w:color w:val="auto"/>
              </w:rPr>
              <w:t>8</w:t>
            </w:r>
          </w:p>
        </w:tc>
      </w:tr>
      <w:tr>
        <w:trPr>
          <w:trHeight w:val="194"/>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Contractual severance costs </w:t>
            </w:r>
            <w:r>
              <w:rPr>
                <w:rFonts w:ascii="Arial" w:cs="Arial" w:eastAsia="Arial" w:hAnsi="Arial"/>
                <w:sz w:val="12"/>
                <w:szCs w:val="12"/>
                <w:color w:val="auto"/>
                <w:vertAlign w:val="superscript"/>
              </w:rPr>
              <w:t>(6)</w:t>
            </w:r>
          </w:p>
        </w:tc>
        <w:tc>
          <w:tcPr>
            <w:tcW w:w="260" w:type="dxa"/>
            <w:vAlign w:val="bottom"/>
            <w:shd w:val="clear" w:color="auto" w:fill="E5E5E5"/>
          </w:tcPr>
          <w:p>
            <w:pPr>
              <w:spacing w:after="0"/>
              <w:rPr>
                <w:sz w:val="16"/>
                <w:szCs w:val="16"/>
                <w:color w:val="auto"/>
              </w:rPr>
            </w:pP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w:t>
            </w:r>
          </w:p>
        </w:tc>
      </w:tr>
      <w:tr>
        <w:trPr>
          <w:trHeight w:val="194"/>
        </w:trPr>
        <w:tc>
          <w:tcPr>
            <w:tcW w:w="96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 xml:space="preserve">Consulting and other costs </w:t>
            </w:r>
            <w:r>
              <w:rPr>
                <w:rFonts w:ascii="Arial" w:cs="Arial" w:eastAsia="Arial" w:hAnsi="Arial"/>
                <w:sz w:val="12"/>
                <w:szCs w:val="12"/>
                <w:color w:val="auto"/>
                <w:vertAlign w:val="superscript"/>
              </w:rPr>
              <w:t>(7)</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(4)</w:t>
            </w:r>
          </w:p>
        </w:tc>
      </w:tr>
      <w:tr>
        <w:trPr>
          <w:trHeight w:val="185"/>
        </w:trPr>
        <w:tc>
          <w:tcPr>
            <w:tcW w:w="96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53</w:t>
            </w:r>
          </w:p>
        </w:tc>
      </w:tr>
      <w:tr>
        <w:trPr>
          <w:trHeight w:val="79"/>
        </w:trPr>
        <w:tc>
          <w:tcPr>
            <w:tcW w:w="9520" w:type="dxa"/>
            <w:vAlign w:val="bottom"/>
          </w:tcPr>
          <w:p>
            <w:pPr>
              <w:spacing w:after="0" w:line="79" w:lineRule="exact"/>
              <w:rPr>
                <w:sz w:val="20"/>
                <w:szCs w:val="20"/>
                <w:color w:val="auto"/>
              </w:rPr>
            </w:pPr>
            <w:r>
              <w:rPr>
                <w:rFonts w:ascii="Arial" w:cs="Arial" w:eastAsia="Arial" w:hAnsi="Arial"/>
                <w:sz w:val="8"/>
                <w:szCs w:val="8"/>
                <w:color w:val="auto"/>
              </w:rPr>
              <w:t>___________________</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tcPr>
          <w:p>
            <w:pPr>
              <w:spacing w:after="0"/>
              <w:rPr>
                <w:sz w:val="6"/>
                <w:szCs w:val="6"/>
                <w:color w:val="auto"/>
              </w:rPr>
            </w:pPr>
          </w:p>
        </w:tc>
      </w:tr>
    </w:tbl>
    <w:p>
      <w:pPr>
        <w:spacing w:after="0" w:line="46" w:lineRule="exact"/>
        <w:rPr>
          <w:sz w:val="20"/>
          <w:szCs w:val="20"/>
          <w:color w:val="auto"/>
        </w:rPr>
      </w:pPr>
    </w:p>
    <w:p>
      <w:pPr>
        <w:ind w:left="242" w:hanging="242"/>
        <w:spacing w:after="0"/>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Reflects headcount reductions of approximately 550 employees worldwide.</w:t>
      </w:r>
    </w:p>
    <w:p>
      <w:pPr>
        <w:ind w:left="242" w:right="140" w:hanging="242"/>
        <w:spacing w:after="0" w:line="211"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Primarily related to the exit and abandonment of leased and owned facilities. The charge includes the accelerated write-off of $3 million for leased right-of-use asset balances and $10 million for owned asset balances upon exit from the facilities net of any potential sublease income and other recoveries.</w:t>
      </w:r>
    </w:p>
    <w:p>
      <w:pPr>
        <w:ind w:left="242" w:hanging="242"/>
        <w:spacing w:after="0" w:line="187"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Primarily include additional costs incurred upon the exit from our facilities including decommissioning costs and associated contractual termination costs.</w:t>
      </w:r>
    </w:p>
    <w:p>
      <w:pPr>
        <w:ind w:left="242" w:hanging="242"/>
        <w:spacing w:after="0" w:line="187"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Reflects net reversals for changes in estimated reserves from prior period initiatives as well as $4 million in favorable adjustments from the early termination of prior period impaired leases.</w:t>
      </w:r>
    </w:p>
    <w:p>
      <w:pPr>
        <w:ind w:left="242" w:hanging="242"/>
        <w:spacing w:after="0" w:line="187"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Includes retention related severance and bonuses for employees expected to continue working beyond their minimum notification period before termination.</w:t>
      </w:r>
    </w:p>
    <w:p>
      <w:pPr>
        <w:ind w:left="242" w:hanging="242"/>
        <w:spacing w:after="0" w:line="187"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Reflects severance and other related costs we are contractually required to pay on employees transferred (approximately 2,200 employees) as part of the shared service arrangement entered into with HCL Technologies.</w:t>
      </w:r>
    </w:p>
    <w:p>
      <w:pPr>
        <w:ind w:left="242" w:hanging="242"/>
        <w:spacing w:after="0" w:line="198" w:lineRule="auto"/>
        <w:tabs>
          <w:tab w:leader="none" w:pos="242" w:val="left"/>
        </w:tabs>
        <w:numPr>
          <w:ilvl w:val="0"/>
          <w:numId w:val="2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Represents professional support services associated with our business transformation initiatives. The credit in the fourth quarter 2019 reflects adjustments of prior period estimated accruals for services.</w:t>
      </w:r>
    </w:p>
    <w:p>
      <w:pPr>
        <w:spacing w:after="0" w:line="145" w:lineRule="exact"/>
        <w:rPr>
          <w:sz w:val="20"/>
          <w:szCs w:val="20"/>
          <w:color w:val="auto"/>
        </w:rPr>
      </w:pPr>
    </w:p>
    <w:p>
      <w:pPr>
        <w:ind w:left="2" w:right="280"/>
        <w:spacing w:after="0" w:line="258" w:lineRule="auto"/>
        <w:rPr>
          <w:sz w:val="20"/>
          <w:szCs w:val="20"/>
          <w:color w:val="auto"/>
        </w:rPr>
      </w:pPr>
      <w:r>
        <w:rPr>
          <w:rFonts w:ascii="Arial" w:cs="Arial" w:eastAsia="Arial" w:hAnsi="Arial"/>
          <w:sz w:val="13"/>
          <w:szCs w:val="13"/>
          <w:color w:val="auto"/>
        </w:rPr>
        <w:t>Fourth quarter 2019 actions impacted several functional areas, with approximately 47% focused on gross margin improvements, approximately 47% focused on SAG reductions, and the remainder focused on RD&amp;E optimization.</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82"/>
          </w:cols>
          <w:pgMar w:left="218" w:top="537" w:right="199" w:bottom="1440" w:gutter="0" w:footer="0" w:header="0"/>
        </w:sectPr>
      </w:pPr>
    </w:p>
    <w:bookmarkStart w:id="20" w:name="page21"/>
    <w:bookmarkEnd w:id="20"/>
    <w:p>
      <w:pPr>
        <w:ind w:right="200"/>
        <w:spacing w:after="0" w:line="252" w:lineRule="auto"/>
        <w:rPr>
          <w:sz w:val="20"/>
          <w:szCs w:val="20"/>
          <w:color w:val="auto"/>
        </w:rPr>
      </w:pPr>
      <w:r>
        <w:rPr>
          <w:rFonts w:ascii="Arial" w:cs="Arial" w:eastAsia="Arial" w:hAnsi="Arial"/>
          <w:sz w:val="13"/>
          <w:szCs w:val="13"/>
          <w:color w:val="auto"/>
        </w:rPr>
        <w:t>The implementation of our Project Own It initiatives as well as other business transformation initiatives is expected to continue to deliver significant cost savings in 2020. While many initiatives are underway and have yet to yield the full transformation benefits expected upon their completion, the changes implemented thus far have improved our cost structure and are beginning to yield longer term benefits. However, expected savings associated with these initiatives may be offset to some extent by business disruption during the implementation phase as well as investments in new processes and systems until the initiatives are fully implemented and stabilized.</w:t>
      </w:r>
    </w:p>
    <w:p>
      <w:pPr>
        <w:spacing w:after="0" w:line="72" w:lineRule="exact"/>
        <w:rPr>
          <w:sz w:val="20"/>
          <w:szCs w:val="20"/>
          <w:color w:val="auto"/>
        </w:rPr>
      </w:pPr>
    </w:p>
    <w:p>
      <w:pPr>
        <w:ind w:right="660"/>
        <w:spacing w:after="0" w:line="258" w:lineRule="auto"/>
        <w:rPr>
          <w:sz w:val="20"/>
          <w:szCs w:val="20"/>
          <w:color w:val="auto"/>
        </w:rPr>
      </w:pPr>
      <w:r>
        <w:rPr>
          <w:rFonts w:ascii="Arial" w:cs="Arial" w:eastAsia="Arial" w:hAnsi="Arial"/>
          <w:sz w:val="13"/>
          <w:szCs w:val="13"/>
          <w:color w:val="auto"/>
        </w:rPr>
        <w:t>Fourth quarter 2018 restructuring and related costs of $67 million included net restructuring and asset impairment charges of $66 million and $1 million of additional costs primarily related to professional support services associated with the business transformation initiatives.</w:t>
      </w:r>
    </w:p>
    <w:p>
      <w:pPr>
        <w:spacing w:after="0" w:line="67" w:lineRule="exact"/>
        <w:rPr>
          <w:sz w:val="20"/>
          <w:szCs w:val="20"/>
          <w:color w:val="auto"/>
        </w:rPr>
      </w:pPr>
    </w:p>
    <w:p>
      <w:pPr>
        <w:ind w:right="180"/>
        <w:spacing w:after="0" w:line="285" w:lineRule="auto"/>
        <w:rPr>
          <w:sz w:val="20"/>
          <w:szCs w:val="20"/>
          <w:color w:val="auto"/>
        </w:rPr>
      </w:pPr>
      <w:r>
        <w:rPr>
          <w:rFonts w:ascii="Arial" w:cs="Arial" w:eastAsia="Arial" w:hAnsi="Arial"/>
          <w:sz w:val="12"/>
          <w:szCs w:val="12"/>
          <w:color w:val="auto"/>
        </w:rPr>
        <w:t>Fourth quarter 2018 net restructuring and asset impairment charges of $66 million included $72 million of severance costs related to headcount of approximately 850 employees worldwide and $1 million of lease cancellation costs. These costs were partially offset by $7 million of net reversals for changes in estimated reserves from prior period initiatives. Fourth quarter 2018 actions impacted several functional areas, with approximately 15% focused on gross margin improvements, approximately 80% focused on SAG reductions, and the remainder focused on RD&amp;E optimization.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The restructuring reserve balance as of December 31, 2019 for all programs was $70 million, which is expected to be paid over the next twelve months.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Transaction and Related Costs, Net</w:t>
      </w:r>
    </w:p>
    <w:p>
      <w:pPr>
        <w:spacing w:after="0" w:line="20"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We incurred $4 million of Transaction and related costs, net during fourth quarter 2019 primarily related to legal costs associated with our announced proposal to acquire HP (see the “Proposed Transaction with HP” section for further details). These costs are expected to continue in future periods. This compares to $5 million of costs incurred during fourth quarter 2018, which were primarily associated with the terminated Fuji transaction.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Amortization of Intangible Assets</w:t>
      </w:r>
    </w:p>
    <w:p>
      <w:pPr>
        <w:spacing w:after="0" w:line="20"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Fourth quarter 2019 Amortization of intangible assets of $10 million decreased by $2 million compared to fourth quarter 2018 as a result of the write-off of trade names in prior periods associated with our realignment and consolidation of certain XBS sales units as part of Project Own It transformation actions.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Worldwide Employment</w:t>
      </w:r>
    </w:p>
    <w:p>
      <w:pPr>
        <w:spacing w:after="0" w:line="20"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Worldwide employment was approximately 27,000 as of December 31, 2019 and decreased by approximately 5,400 from December 31, 2018. The reduction resulted from net attrition (attrition net of gross hires), of which a large portion is not expected to be backfilled, as well as the impact of organizational changes including employees transferred as part of the shared services arrangement entered into with HCL Technologies earlier this year.</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DA2031"/>
        </w:rPr>
        <w:t>Other Expenses,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3"/>
          </w:tcPr>
          <w:p>
            <w:pPr>
              <w:jc w:val="right"/>
              <w:ind w:right="108"/>
              <w:spacing w:after="0"/>
              <w:rPr>
                <w:sz w:val="20"/>
                <w:szCs w:val="20"/>
                <w:color w:val="auto"/>
              </w:rPr>
            </w:pPr>
            <w:r>
              <w:rPr>
                <w:rFonts w:ascii="Arial" w:cs="Arial" w:eastAsia="Arial" w:hAnsi="Arial"/>
                <w:sz w:val="10"/>
                <w:szCs w:val="10"/>
                <w:color w:val="auto"/>
              </w:rPr>
              <w:t>Three Months Ended</w:t>
            </w:r>
          </w:p>
        </w:tc>
        <w:tc>
          <w:tcPr>
            <w:tcW w:w="1120" w:type="dxa"/>
            <w:vAlign w:val="bottom"/>
          </w:tcPr>
          <w:p>
            <w:pPr>
              <w:spacing w:after="0"/>
              <w:rPr>
                <w:sz w:val="10"/>
                <w:szCs w:val="10"/>
                <w:color w:val="auto"/>
              </w:rPr>
            </w:pPr>
          </w:p>
        </w:tc>
      </w:tr>
      <w:tr>
        <w:trPr>
          <w:trHeight w:val="128"/>
        </w:trPr>
        <w:tc>
          <w:tcPr>
            <w:tcW w:w="7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0"/>
                <w:szCs w:val="10"/>
                <w:color w:val="auto"/>
              </w:rPr>
              <w:t>December 31,</w:t>
            </w:r>
          </w:p>
        </w:tc>
        <w:tc>
          <w:tcPr>
            <w:tcW w:w="1120" w:type="dxa"/>
            <w:vAlign w:val="bottom"/>
            <w:tcBorders>
              <w:bottom w:val="single" w:sz="8" w:color="auto"/>
            </w:tcBorders>
          </w:tcPr>
          <w:p>
            <w:pPr>
              <w:spacing w:after="0"/>
              <w:rPr>
                <w:sz w:val="11"/>
                <w:szCs w:val="11"/>
                <w:color w:val="auto"/>
              </w:rPr>
            </w:pPr>
          </w:p>
        </w:tc>
      </w:tr>
      <w:tr>
        <w:trPr>
          <w:trHeight w:val="18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color w:val="auto"/>
              </w:rPr>
              <w:t>2018</w:t>
            </w:r>
          </w:p>
        </w:tc>
      </w:tr>
      <w:tr>
        <w:trPr>
          <w:trHeight w:val="179"/>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Non-financing interest expense</w:t>
            </w:r>
          </w:p>
        </w:tc>
        <w:tc>
          <w:tcPr>
            <w:tcW w:w="420" w:type="dxa"/>
            <w:vAlign w:val="bottom"/>
            <w:shd w:val="clear" w:color="auto" w:fill="E5E5E5"/>
          </w:tcPr>
          <w:p>
            <w:pPr>
              <w:jc w:val="right"/>
              <w:ind w:right="288"/>
              <w:spacing w:after="0"/>
              <w:rPr>
                <w:sz w:val="20"/>
                <w:szCs w:val="20"/>
                <w:color w:val="auto"/>
              </w:rPr>
            </w:pPr>
            <w:r>
              <w:rPr>
                <w:rFonts w:ascii="Arial" w:cs="Arial" w:eastAsia="Arial" w:hAnsi="Arial"/>
                <w:sz w:val="10"/>
                <w:szCs w:val="10"/>
                <w:color w:val="auto"/>
              </w:rPr>
              <w:t>$</w:t>
            </w:r>
          </w:p>
        </w:tc>
        <w:tc>
          <w:tcPr>
            <w:tcW w:w="13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24</w:t>
            </w:r>
          </w:p>
        </w:tc>
        <w:tc>
          <w:tcPr>
            <w:tcW w:w="100" w:type="dxa"/>
            <w:vAlign w:val="bottom"/>
            <w:shd w:val="clear" w:color="auto" w:fill="E5E5E5"/>
          </w:tcPr>
          <w:p>
            <w:pPr>
              <w:spacing w:after="0"/>
              <w:rPr>
                <w:sz w:val="15"/>
                <w:szCs w:val="15"/>
                <w:color w:val="auto"/>
              </w:rPr>
            </w:pPr>
          </w:p>
        </w:tc>
        <w:tc>
          <w:tcPr>
            <w:tcW w:w="580" w:type="dxa"/>
            <w:vAlign w:val="bottom"/>
            <w:shd w:val="clear" w:color="auto" w:fill="E5E5E5"/>
          </w:tcPr>
          <w:p>
            <w:pPr>
              <w:jc w:val="right"/>
              <w:ind w:right="448"/>
              <w:spacing w:after="0"/>
              <w:rPr>
                <w:sz w:val="20"/>
                <w:szCs w:val="20"/>
                <w:color w:val="auto"/>
              </w:rPr>
            </w:pPr>
            <w:r>
              <w:rPr>
                <w:rFonts w:ascii="Arial" w:cs="Arial" w:eastAsia="Arial" w:hAnsi="Arial"/>
                <w:sz w:val="10"/>
                <w:szCs w:val="10"/>
                <w:color w:val="auto"/>
              </w:rPr>
              <w:t>$</w:t>
            </w: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29</w:t>
            </w:r>
          </w:p>
        </w:tc>
      </w:tr>
      <w:tr>
        <w:trPr>
          <w:trHeight w:val="190"/>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Non-service retirement-related costs</w:t>
            </w:r>
          </w:p>
        </w:tc>
        <w:tc>
          <w:tcPr>
            <w:tcW w:w="4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67</w:t>
            </w:r>
          </w:p>
        </w:tc>
      </w:tr>
      <w:tr>
        <w:trPr>
          <w:trHeight w:val="199"/>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Interest income</w:t>
            </w:r>
          </w:p>
        </w:tc>
        <w:tc>
          <w:tcPr>
            <w:tcW w:w="4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(7)</w:t>
            </w:r>
          </w:p>
        </w:tc>
        <w:tc>
          <w:tcPr>
            <w:tcW w:w="1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w:t>
            </w:r>
          </w:p>
        </w:tc>
      </w:tr>
      <w:tr>
        <w:trPr>
          <w:trHeight w:val="190"/>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Gains on sales of businesses and assets</w:t>
            </w:r>
          </w:p>
        </w:tc>
        <w:tc>
          <w:tcPr>
            <w:tcW w:w="4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w:t>
            </w:r>
          </w:p>
        </w:tc>
      </w:tr>
      <w:tr>
        <w:trPr>
          <w:trHeight w:val="199"/>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Contract termination costs - IT services</w:t>
            </w:r>
          </w:p>
        </w:tc>
        <w:tc>
          <w:tcPr>
            <w:tcW w:w="4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w:t>
            </w:r>
          </w:p>
        </w:tc>
        <w:tc>
          <w:tcPr>
            <w:tcW w:w="1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43</w:t>
            </w:r>
          </w:p>
        </w:tc>
      </w:tr>
      <w:tr>
        <w:trPr>
          <w:trHeight w:val="190"/>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Currency losses, net</w:t>
            </w:r>
          </w:p>
        </w:tc>
        <w:tc>
          <w:tcPr>
            <w:tcW w:w="4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w:t>
            </w:r>
          </w:p>
        </w:tc>
      </w:tr>
      <w:tr>
        <w:trPr>
          <w:trHeight w:val="199"/>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Loss on sales of accounts receivable</w:t>
            </w:r>
          </w:p>
        </w:tc>
        <w:tc>
          <w:tcPr>
            <w:tcW w:w="4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w:t>
            </w:r>
          </w:p>
        </w:tc>
      </w:tr>
      <w:tr>
        <w:trPr>
          <w:trHeight w:val="190"/>
        </w:trPr>
        <w:tc>
          <w:tcPr>
            <w:tcW w:w="790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All other expenses, net</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E5E5E5"/>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4</w:t>
            </w:r>
          </w:p>
        </w:tc>
      </w:tr>
      <w:tr>
        <w:trPr>
          <w:trHeight w:val="178"/>
        </w:trPr>
        <w:tc>
          <w:tcPr>
            <w:tcW w:w="79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expenses, net</w:t>
            </w:r>
          </w:p>
        </w:tc>
        <w:tc>
          <w:tcPr>
            <w:tcW w:w="42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auto"/>
            </w:tcBorders>
            <w:shd w:val="clear" w:color="auto" w:fill="E5E5E5"/>
          </w:tcPr>
          <w:p>
            <w:pPr>
              <w:jc w:val="right"/>
              <w:ind w:right="448"/>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40"/>
          </w:cols>
          <w:pgMar w:left="220" w:top="537" w:right="239" w:bottom="1440" w:gutter="0" w:footer="0" w:header="0"/>
        </w:sectPr>
      </w:pPr>
    </w:p>
    <w:bookmarkStart w:id="21" w:name="page22"/>
    <w:bookmarkEnd w:id="21"/>
    <w:p>
      <w:pPr>
        <w:ind w:left="2"/>
        <w:spacing w:after="0"/>
        <w:rPr>
          <w:sz w:val="20"/>
          <w:szCs w:val="20"/>
          <w:color w:val="auto"/>
        </w:rPr>
      </w:pPr>
      <w:r>
        <w:rPr>
          <w:rFonts w:ascii="Arial" w:cs="Arial" w:eastAsia="Arial" w:hAnsi="Arial"/>
          <w:sz w:val="13"/>
          <w:szCs w:val="13"/>
          <w:i w:val="1"/>
          <w:iCs w:val="1"/>
          <w:u w:val="single" w:color="auto"/>
          <w:color w:val="auto"/>
        </w:rPr>
        <w:t>Non-financing interest expense</w:t>
      </w:r>
    </w:p>
    <w:p>
      <w:pPr>
        <w:spacing w:after="0" w:line="20" w:lineRule="exact"/>
        <w:rPr>
          <w:sz w:val="20"/>
          <w:szCs w:val="20"/>
          <w:color w:val="auto"/>
        </w:rPr>
      </w:pPr>
    </w:p>
    <w:p>
      <w:pPr>
        <w:ind w:left="2" w:right="380"/>
        <w:spacing w:after="0" w:line="258" w:lineRule="auto"/>
        <w:rPr>
          <w:sz w:val="20"/>
          <w:szCs w:val="20"/>
          <w:color w:val="auto"/>
        </w:rPr>
      </w:pPr>
      <w:r>
        <w:rPr>
          <w:rFonts w:ascii="Arial" w:cs="Arial" w:eastAsia="Arial" w:hAnsi="Arial"/>
          <w:sz w:val="13"/>
          <w:szCs w:val="13"/>
          <w:color w:val="auto"/>
        </w:rPr>
        <w:t>Fourth quarter 2019 non-financing interest expense of $24 million was $5 million lower than fourth quarter 2018. When combined with financing interest expense (Cost of financing), total interest expense decreased by $4 million from fourth quarter 2018 primarily due to a lower debt balance.</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Non-service retirement-related costs</w:t>
      </w:r>
    </w:p>
    <w:p>
      <w:pPr>
        <w:spacing w:after="0" w:line="20" w:lineRule="exact"/>
        <w:rPr>
          <w:sz w:val="20"/>
          <w:szCs w:val="20"/>
          <w:color w:val="auto"/>
        </w:rPr>
      </w:pPr>
    </w:p>
    <w:p>
      <w:pPr>
        <w:ind w:left="2"/>
        <w:spacing w:after="0" w:line="258" w:lineRule="auto"/>
        <w:rPr>
          <w:sz w:val="20"/>
          <w:szCs w:val="20"/>
          <w:color w:val="auto"/>
        </w:rPr>
      </w:pPr>
      <w:r>
        <w:rPr>
          <w:rFonts w:ascii="Arial" w:cs="Arial" w:eastAsia="Arial" w:hAnsi="Arial"/>
          <w:sz w:val="13"/>
          <w:szCs w:val="13"/>
          <w:color w:val="auto"/>
        </w:rPr>
        <w:t>Fourth quarter 2019 non-service retirement-related costs were $70 million lower than fourth quarter 2018, primarily driven by the favorable impact of a 2018 amendment to our U.S. Retiree Health Plan and lower losses from pension settlements in the U.S.</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Interest income</w:t>
      </w:r>
    </w:p>
    <w:p>
      <w:pPr>
        <w:spacing w:after="0" w:line="20" w:lineRule="exact"/>
        <w:rPr>
          <w:sz w:val="20"/>
          <w:szCs w:val="20"/>
          <w:color w:val="auto"/>
        </w:rPr>
      </w:pPr>
    </w:p>
    <w:p>
      <w:pPr>
        <w:ind w:left="2" w:right="20"/>
        <w:spacing w:after="0" w:line="254" w:lineRule="auto"/>
        <w:rPr>
          <w:sz w:val="20"/>
          <w:szCs w:val="20"/>
          <w:color w:val="auto"/>
        </w:rPr>
      </w:pPr>
      <w:r>
        <w:rPr>
          <w:rFonts w:ascii="Arial" w:cs="Arial" w:eastAsia="Arial" w:hAnsi="Arial"/>
          <w:sz w:val="13"/>
          <w:szCs w:val="13"/>
          <w:color w:val="auto"/>
        </w:rPr>
        <w:t>Fourth quarter 2019 interest income was $4 million higher than fourth quarter 2018, primarily reflecting interest on a higher cash balance as a result of cash proceeds received from the Sales of our indirect 25% equity interest in Fuji Xerox (FX) and indirect 51% partnership interest in Xerox International Partners (XIP) completed on November 8, 2019. See the “Sales of Ownership Interests in Fuji Xerox Co., Ltd. and Xerox International Partners” section for further details.</w:t>
      </w:r>
    </w:p>
    <w:p>
      <w:pPr>
        <w:spacing w:after="0" w:line="55"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Contract termination costs - IT services</w:t>
      </w:r>
    </w:p>
    <w:p>
      <w:pPr>
        <w:spacing w:after="0" w:line="20" w:lineRule="exact"/>
        <w:rPr>
          <w:sz w:val="20"/>
          <w:szCs w:val="20"/>
          <w:color w:val="auto"/>
        </w:rPr>
      </w:pPr>
    </w:p>
    <w:p>
      <w:pPr>
        <w:ind w:left="2" w:right="260"/>
        <w:spacing w:after="0" w:line="258" w:lineRule="auto"/>
        <w:rPr>
          <w:sz w:val="20"/>
          <w:szCs w:val="20"/>
          <w:color w:val="auto"/>
        </w:rPr>
      </w:pPr>
      <w:r>
        <w:rPr>
          <w:rFonts w:ascii="Arial" w:cs="Arial" w:eastAsia="Arial" w:hAnsi="Arial"/>
          <w:sz w:val="13"/>
          <w:szCs w:val="13"/>
          <w:color w:val="auto"/>
        </w:rPr>
        <w:t>Contract termination costs - IT services was a $4 million credit in fourth quarter 2019 ($12 million for the full year 2019) reflecting an adjustment to the $43 million penalty recorded in fourth quarter 2018, associated with the termination of an IT services arrangement.</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DA2031"/>
        </w:rPr>
        <w:t>Income Taxes</w:t>
      </w:r>
    </w:p>
    <w:p>
      <w:pPr>
        <w:spacing w:after="0" w:line="100" w:lineRule="exact"/>
        <w:rPr>
          <w:sz w:val="20"/>
          <w:szCs w:val="20"/>
          <w:color w:val="auto"/>
        </w:rPr>
      </w:pPr>
    </w:p>
    <w:p>
      <w:pPr>
        <w:ind w:left="2" w:right="320"/>
        <w:spacing w:after="0" w:line="232" w:lineRule="auto"/>
        <w:rPr>
          <w:sz w:val="20"/>
          <w:szCs w:val="20"/>
          <w:color w:val="auto"/>
        </w:rPr>
      </w:pPr>
      <w:r>
        <w:rPr>
          <w:rFonts w:ascii="Arial" w:cs="Arial" w:eastAsia="Arial" w:hAnsi="Arial"/>
          <w:sz w:val="13"/>
          <w:szCs w:val="13"/>
          <w:color w:val="auto"/>
        </w:rPr>
        <w:t>Fourth quarter 2019 effective tax rate was 21.7%. On an adjusted</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basis, fourth quarter 2019 effective tax rate was 25.0%. These rates were higher than the U.S. federal statutory tax rate of 21% primarily due to state taxes and the geographical mix of profits. The adjusted</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79" w:lineRule="exact"/>
        <w:rPr>
          <w:sz w:val="20"/>
          <w:szCs w:val="20"/>
          <w:color w:val="auto"/>
        </w:rPr>
      </w:pPr>
    </w:p>
    <w:p>
      <w:pPr>
        <w:ind w:left="2" w:right="100"/>
        <w:spacing w:after="0" w:line="252" w:lineRule="auto"/>
        <w:rPr>
          <w:sz w:val="20"/>
          <w:szCs w:val="20"/>
          <w:color w:val="auto"/>
        </w:rPr>
      </w:pPr>
      <w:r>
        <w:rPr>
          <w:rFonts w:ascii="Arial" w:cs="Arial" w:eastAsia="Arial" w:hAnsi="Arial"/>
          <w:sz w:val="12"/>
          <w:szCs w:val="12"/>
          <w:color w:val="auto"/>
        </w:rPr>
        <w:t>Fourth quarter 2018 effective tax rate was 27.4% and included a reduction of $6 million related to a change in the provisional estimated impact from the 2017 Tax Cuts Jobs Act (the "Tax Act"). On an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basis, fourth quarter 2018 effective tax rate was 27.7%. This rate was higher than the U.S. federal statutory tax rate of 21% primarily due to state taxes and the geographical mix of profits. The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effective tax rate excludes the tax impacts associated with the following charges: Restructuring and related costs, Amortization of intangible assets, Transaction and related costs, net, non-service retirement-related costs as well as other discrete, unusual or infrequent items as described in our Non-GAAP Financial Measures section, which include the impact of the Tax Act.</w:t>
      </w:r>
    </w:p>
    <w:p>
      <w:pPr>
        <w:spacing w:after="0" w:line="72" w:lineRule="exact"/>
        <w:rPr>
          <w:sz w:val="20"/>
          <w:szCs w:val="20"/>
          <w:color w:val="auto"/>
        </w:rPr>
      </w:pPr>
    </w:p>
    <w:p>
      <w:pPr>
        <w:ind w:left="2" w:right="320"/>
        <w:spacing w:after="0" w:line="258" w:lineRule="auto"/>
        <w:rPr>
          <w:sz w:val="20"/>
          <w:szCs w:val="20"/>
          <w:color w:val="auto"/>
        </w:rPr>
      </w:pPr>
      <w:r>
        <w:rPr>
          <w:rFonts w:ascii="Arial" w:cs="Arial" w:eastAsia="Arial" w:hAnsi="Arial"/>
          <w:sz w:val="13"/>
          <w:szCs w:val="13"/>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27" w:lineRule="exact"/>
        <w:rPr>
          <w:sz w:val="20"/>
          <w:szCs w:val="20"/>
          <w:color w:val="auto"/>
        </w:rPr>
      </w:pPr>
    </w:p>
    <w:p>
      <w:pPr>
        <w:ind w:left="2"/>
        <w:spacing w:after="0"/>
        <w:rPr>
          <w:sz w:val="20"/>
          <w:szCs w:val="20"/>
          <w:color w:val="auto"/>
        </w:rPr>
      </w:pPr>
      <w:r>
        <w:rPr>
          <w:rFonts w:ascii="Arial" w:cs="Arial" w:eastAsia="Arial" w:hAnsi="Arial"/>
          <w:sz w:val="8"/>
          <w:szCs w:val="8"/>
          <w:color w:val="auto"/>
        </w:rPr>
        <w:t>______________</w:t>
      </w:r>
    </w:p>
    <w:p>
      <w:pPr>
        <w:ind w:left="242" w:hanging="242"/>
        <w:spacing w:after="0"/>
        <w:tabs>
          <w:tab w:leader="none" w:pos="242" w:val="left"/>
        </w:tabs>
        <w:numPr>
          <w:ilvl w:val="0"/>
          <w:numId w:val="21"/>
        </w:numPr>
        <w:rPr>
          <w:rFonts w:ascii="Arial" w:cs="Arial" w:eastAsia="Arial" w:hAnsi="Arial"/>
          <w:sz w:val="10"/>
          <w:szCs w:val="10"/>
          <w:i w:val="1"/>
          <w:iCs w:val="1"/>
          <w:color w:val="auto"/>
        </w:rPr>
      </w:pPr>
      <w:r>
        <w:rPr>
          <w:rFonts w:ascii="Arial" w:cs="Arial" w:eastAsia="Arial" w:hAnsi="Arial"/>
          <w:sz w:val="10"/>
          <w:szCs w:val="10"/>
          <w:i w:val="1"/>
          <w:iCs w:val="1"/>
          <w:color w:val="auto"/>
        </w:rPr>
        <w:t>Refer to the Effective Tax Rate reconciliation table in the "Non-GAAP Financial Measures" section.</w:t>
      </w:r>
    </w:p>
    <w:p>
      <w:pPr>
        <w:spacing w:after="0" w:line="200" w:lineRule="exact"/>
        <w:rPr>
          <w:sz w:val="20"/>
          <w:szCs w:val="20"/>
          <w:color w:val="auto"/>
        </w:rPr>
      </w:pPr>
    </w:p>
    <w:p>
      <w:pPr>
        <w:spacing w:after="0" w:line="33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DA2031"/>
        </w:rPr>
        <w:t>Net Income from Continuing Operations</w:t>
      </w:r>
    </w:p>
    <w:p>
      <w:pPr>
        <w:spacing w:after="0" w:line="142" w:lineRule="exact"/>
        <w:rPr>
          <w:sz w:val="20"/>
          <w:szCs w:val="20"/>
          <w:color w:val="auto"/>
        </w:rPr>
      </w:pPr>
    </w:p>
    <w:p>
      <w:pPr>
        <w:ind w:left="2" w:right="180"/>
        <w:spacing w:after="0" w:line="241" w:lineRule="auto"/>
        <w:rPr>
          <w:sz w:val="20"/>
          <w:szCs w:val="20"/>
          <w:color w:val="auto"/>
        </w:rPr>
      </w:pPr>
      <w:r>
        <w:rPr>
          <w:rFonts w:ascii="Arial" w:cs="Arial" w:eastAsia="Arial" w:hAnsi="Arial"/>
          <w:sz w:val="13"/>
          <w:szCs w:val="13"/>
          <w:color w:val="auto"/>
        </w:rPr>
        <w:t>Fourth quarter 2019 net income from continuing operations attributable to Xerox Holdings was $266 million, or $1.17 per diluted share. On an adjusted</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basis, net income from continuing operations attributable to Xerox Holdings was $300 million, or $1.33 per diluted share. Fourth quarter 2019 adjustments to net income from continuing operations included Restructuring and related costs, Amortization of intangible assets, Transaction and related cost, net as well as non-service retirement-related costs and other discrete, unusual or infrequent items as described in our Non-GAAP Financial Measures section.</w:t>
      </w:r>
    </w:p>
    <w:p>
      <w:pPr>
        <w:spacing w:after="0" w:line="76" w:lineRule="exact"/>
        <w:rPr>
          <w:sz w:val="20"/>
          <w:szCs w:val="20"/>
          <w:color w:val="auto"/>
        </w:rPr>
      </w:pPr>
    </w:p>
    <w:p>
      <w:pPr>
        <w:ind w:left="2" w:right="240"/>
        <w:spacing w:after="0" w:line="232" w:lineRule="auto"/>
        <w:rPr>
          <w:sz w:val="20"/>
          <w:szCs w:val="20"/>
          <w:color w:val="auto"/>
        </w:rPr>
      </w:pPr>
      <w:r>
        <w:rPr>
          <w:rFonts w:ascii="Arial" w:cs="Arial" w:eastAsia="Arial" w:hAnsi="Arial"/>
          <w:sz w:val="13"/>
          <w:szCs w:val="13"/>
          <w:color w:val="auto"/>
        </w:rPr>
        <w:t>Fourth quarter 2018 net income from continuing operations attributable to Xerox Holdings was $91 million, or $0.37 per diluted share. On an adjusted</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basis, net income from continuing operations attributable to Xerox Holdings was $231 million, or $0.94 per diluted share. Fourth quarter 2018 adjustments to net income from continuing operations</w:t>
      </w:r>
    </w:p>
    <w:p>
      <w:pPr>
        <w:spacing w:after="0" w:line="157"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22"/>
          </w:cols>
          <w:pgMar w:left="218" w:top="601" w:right="259" w:bottom="1440" w:gutter="0" w:footer="0" w:header="0"/>
        </w:sectPr>
      </w:pPr>
    </w:p>
    <w:bookmarkStart w:id="22" w:name="page23"/>
    <w:bookmarkEnd w:id="22"/>
    <w:p>
      <w:pPr>
        <w:ind w:left="2" w:right="160"/>
        <w:spacing w:after="0" w:line="258" w:lineRule="auto"/>
        <w:rPr>
          <w:sz w:val="20"/>
          <w:szCs w:val="20"/>
          <w:color w:val="auto"/>
        </w:rPr>
      </w:pPr>
      <w:r>
        <w:rPr>
          <w:rFonts w:ascii="Arial" w:cs="Arial" w:eastAsia="Arial" w:hAnsi="Arial"/>
          <w:sz w:val="13"/>
          <w:szCs w:val="13"/>
          <w:color w:val="auto"/>
        </w:rPr>
        <w:t>included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67"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w:t>
      </w:r>
    </w:p>
    <w:p>
      <w:pPr>
        <w:spacing w:after="0" w:line="19" w:lineRule="exact"/>
        <w:rPr>
          <w:sz w:val="20"/>
          <w:szCs w:val="20"/>
          <w:color w:val="auto"/>
        </w:rPr>
      </w:pPr>
    </w:p>
    <w:p>
      <w:pPr>
        <w:ind w:left="242" w:hanging="242"/>
        <w:spacing w:after="0"/>
        <w:tabs>
          <w:tab w:leader="none" w:pos="242" w:val="left"/>
        </w:tabs>
        <w:numPr>
          <w:ilvl w:val="0"/>
          <w:numId w:val="22"/>
        </w:numPr>
        <w:rPr>
          <w:rFonts w:ascii="Arial" w:cs="Arial" w:eastAsia="Arial" w:hAnsi="Arial"/>
          <w:sz w:val="10"/>
          <w:szCs w:val="10"/>
          <w:i w:val="1"/>
          <w:iCs w:val="1"/>
          <w:color w:val="auto"/>
        </w:rPr>
      </w:pPr>
      <w:r>
        <w:rPr>
          <w:rFonts w:ascii="Arial" w:cs="Arial" w:eastAsia="Arial" w:hAnsi="Arial"/>
          <w:sz w:val="10"/>
          <w:szCs w:val="10"/>
          <w:i w:val="1"/>
          <w:iCs w:val="1"/>
          <w:color w:val="auto"/>
        </w:rPr>
        <w:t>Refer to the "Non-GAAP Financial Measures" section for the calculation of adjusted EPS. The calculations of basic and diluted earnings per share are included as Appendix I.</w:t>
      </w:r>
    </w:p>
    <w:p>
      <w:pPr>
        <w:spacing w:after="0" w:line="2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DA2031"/>
        </w:rPr>
        <w:t>Discontinued Operations</w:t>
      </w:r>
    </w:p>
    <w:p>
      <w:pPr>
        <w:spacing w:after="0" w:line="124" w:lineRule="exact"/>
        <w:rPr>
          <w:sz w:val="20"/>
          <w:szCs w:val="20"/>
          <w:color w:val="auto"/>
        </w:rPr>
      </w:pPr>
    </w:p>
    <w:p>
      <w:pPr>
        <w:jc w:val="both"/>
        <w:ind w:left="2" w:right="200"/>
        <w:spacing w:after="0" w:line="300" w:lineRule="auto"/>
        <w:rPr>
          <w:sz w:val="20"/>
          <w:szCs w:val="20"/>
          <w:color w:val="auto"/>
        </w:rPr>
      </w:pPr>
      <w:r>
        <w:rPr>
          <w:rFonts w:ascii="Arial" w:cs="Arial" w:eastAsia="Arial" w:hAnsi="Arial"/>
          <w:sz w:val="12"/>
          <w:szCs w:val="12"/>
          <w:color w:val="auto"/>
        </w:rPr>
        <w:t>In November 2019, Xerox Holdings completed a series of transactions to restructure its relationship with FUJIFILM Holdings Corporation (“FH”), including the sale of its indirect 25% equity interest in Fuji Xerox ("FX") for approximately $2.2 billion as well as the sale of its indirect 51% partnership interest in Xerox International Partners ("XIP") for approximately $23 million (collectively the “Sales”).</w:t>
      </w:r>
    </w:p>
    <w:p>
      <w:pPr>
        <w:spacing w:after="0" w:line="63" w:lineRule="exact"/>
        <w:rPr>
          <w:sz w:val="20"/>
          <w:szCs w:val="20"/>
          <w:color w:val="auto"/>
        </w:rPr>
      </w:pPr>
    </w:p>
    <w:p>
      <w:pPr>
        <w:ind w:left="2" w:right="100"/>
        <w:spacing w:after="0" w:line="252" w:lineRule="auto"/>
        <w:rPr>
          <w:sz w:val="20"/>
          <w:szCs w:val="20"/>
          <w:color w:val="auto"/>
        </w:rPr>
      </w:pPr>
      <w:r>
        <w:rPr>
          <w:rFonts w:ascii="Arial" w:cs="Arial" w:eastAsia="Arial" w:hAnsi="Arial"/>
          <w:sz w:val="13"/>
          <w:szCs w:val="13"/>
          <w:color w:val="auto"/>
        </w:rPr>
        <w:t>The Sales resulted in a pre-tax gain of $629 million ($539 million after-tax), which was net of approximately $9 million of transaction costs and $8 million of allocated goodwill associated with our XIP business. The XIP allocated goodwill was based on the relative fair value of our XIP business, as evidenced by the sales price, as compared to the total estimated fair value of Xerox. No Goodwill was allocated for our investment in FX based on consideration of the guidance in ASC 350-20-40-2 and the fact that an equity investment is not considered a business in accordance with ASC 805-10-55, as it was not controlled by Xerox.</w:t>
      </w:r>
    </w:p>
    <w:p>
      <w:pPr>
        <w:spacing w:after="0" w:line="270"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7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Three Months Ended December 31,</w:t>
            </w:r>
          </w:p>
        </w:tc>
        <w:tc>
          <w:tcPr>
            <w:tcW w:w="1140" w:type="dxa"/>
            <w:vAlign w:val="bottom"/>
            <w:tcBorders>
              <w:bottom w:val="single" w:sz="8" w:color="auto"/>
            </w:tcBorders>
          </w:tcPr>
          <w:p>
            <w:pPr>
              <w:spacing w:after="0"/>
              <w:rPr>
                <w:sz w:val="11"/>
                <w:szCs w:val="11"/>
                <w:color w:val="auto"/>
              </w:rPr>
            </w:pPr>
          </w:p>
        </w:tc>
      </w:tr>
      <w:tr>
        <w:trPr>
          <w:trHeight w:val="17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 millions)</w:t>
            </w:r>
          </w:p>
        </w:tc>
        <w:tc>
          <w:tcPr>
            <w:tcW w:w="120" w:type="dxa"/>
            <w:vAlign w:val="bottom"/>
            <w:tcBorders>
              <w:bottom w:val="single" w:sz="8" w:color="E5E5E5"/>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2018</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Revenue</w:t>
            </w:r>
          </w:p>
        </w:tc>
        <w:tc>
          <w:tcPr>
            <w:tcW w:w="46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6</w:t>
            </w:r>
          </w:p>
        </w:tc>
        <w:tc>
          <w:tcPr>
            <w:tcW w:w="120" w:type="dxa"/>
            <w:vAlign w:val="bottom"/>
            <w:tcBorders>
              <w:bottom w:val="single" w:sz="8" w:color="E5E5E5"/>
            </w:tcBorders>
            <w:shd w:val="clear" w:color="auto" w:fill="E5E5E5"/>
          </w:tcPr>
          <w:p>
            <w:pPr>
              <w:spacing w:after="0"/>
              <w:rPr>
                <w:sz w:val="15"/>
                <w:szCs w:val="15"/>
                <w:color w:val="auto"/>
              </w:rPr>
            </w:pPr>
          </w:p>
        </w:tc>
        <w:tc>
          <w:tcPr>
            <w:tcW w:w="800" w:type="dxa"/>
            <w:vAlign w:val="bottom"/>
            <w:tcBorders>
              <w:bottom w:val="single" w:sz="8" w:color="auto"/>
            </w:tcBorders>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35</w:t>
            </w:r>
          </w:p>
        </w:tc>
      </w:tr>
      <w:tr>
        <w:trPr>
          <w:trHeight w:val="175"/>
        </w:trPr>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Income from operations</w:t>
            </w:r>
            <w:r>
              <w:rPr>
                <w:rFonts w:ascii="Arial" w:cs="Arial" w:eastAsia="Arial" w:hAnsi="Arial"/>
                <w:sz w:val="12"/>
                <w:szCs w:val="12"/>
                <w:color w:val="auto"/>
                <w:vertAlign w:val="superscript"/>
              </w:rPr>
              <w:t>(1)</w:t>
            </w:r>
          </w:p>
        </w:tc>
        <w:tc>
          <w:tcPr>
            <w:tcW w:w="460" w:type="dxa"/>
            <w:vAlign w:val="bottom"/>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w:t>
            </w: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52</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Gain on disposal</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629</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before income taxes</w:t>
            </w:r>
          </w:p>
        </w:tc>
        <w:tc>
          <w:tcPr>
            <w:tcW w:w="46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643</w:t>
            </w: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52</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Income tax expense</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(90)</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from discontinued operations, net of tax</w:t>
            </w:r>
          </w:p>
        </w:tc>
        <w:tc>
          <w:tcPr>
            <w:tcW w:w="460" w:type="dxa"/>
            <w:vAlign w:val="bottom"/>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553</w:t>
            </w: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49</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Income from discontinued operations attributable to noncontrolling interests, net of tax</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from discontinued operations, net of tax attributable to Xerox Holdings</w:t>
            </w:r>
          </w:p>
        </w:tc>
        <w:tc>
          <w:tcPr>
            <w:tcW w:w="46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552</w:t>
            </w:r>
          </w:p>
        </w:tc>
        <w:tc>
          <w:tcPr>
            <w:tcW w:w="120" w:type="dxa"/>
            <w:vAlign w:val="bottom"/>
            <w:tcBorders>
              <w:bottom w:val="single" w:sz="8" w:color="E5E5E5"/>
            </w:tcBorders>
            <w:shd w:val="clear" w:color="auto" w:fill="E5E5E5"/>
          </w:tcPr>
          <w:p>
            <w:pPr>
              <w:spacing w:after="0"/>
              <w:rPr>
                <w:sz w:val="15"/>
                <w:szCs w:val="15"/>
                <w:color w:val="auto"/>
              </w:rPr>
            </w:pPr>
          </w:p>
        </w:tc>
        <w:tc>
          <w:tcPr>
            <w:tcW w:w="800" w:type="dxa"/>
            <w:vAlign w:val="bottom"/>
            <w:tcBorders>
              <w:bottom w:val="single" w:sz="8" w:color="auto"/>
            </w:tcBorders>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46</w:t>
            </w:r>
          </w:p>
        </w:tc>
      </w:tr>
      <w:tr>
        <w:trPr>
          <w:trHeight w:val="442"/>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0"/>
                <w:szCs w:val="10"/>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18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 millions)</w:t>
            </w:r>
          </w:p>
        </w:tc>
        <w:tc>
          <w:tcPr>
            <w:tcW w:w="120" w:type="dxa"/>
            <w:vAlign w:val="bottom"/>
            <w:tcBorders>
              <w:bottom w:val="single" w:sz="8" w:color="E5E5E5"/>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2018</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Revenue</w:t>
            </w:r>
          </w:p>
        </w:tc>
        <w:tc>
          <w:tcPr>
            <w:tcW w:w="46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79</w:t>
            </w:r>
          </w:p>
        </w:tc>
        <w:tc>
          <w:tcPr>
            <w:tcW w:w="120" w:type="dxa"/>
            <w:vAlign w:val="bottom"/>
            <w:tcBorders>
              <w:bottom w:val="single" w:sz="8" w:color="E5E5E5"/>
            </w:tcBorders>
            <w:shd w:val="clear" w:color="auto" w:fill="E5E5E5"/>
          </w:tcPr>
          <w:p>
            <w:pPr>
              <w:spacing w:after="0"/>
              <w:rPr>
                <w:sz w:val="15"/>
                <w:szCs w:val="15"/>
                <w:color w:val="auto"/>
              </w:rPr>
            </w:pPr>
          </w:p>
        </w:tc>
        <w:tc>
          <w:tcPr>
            <w:tcW w:w="800" w:type="dxa"/>
            <w:vAlign w:val="bottom"/>
            <w:tcBorders>
              <w:bottom w:val="single" w:sz="8" w:color="auto"/>
            </w:tcBorders>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168</w:t>
            </w:r>
          </w:p>
        </w:tc>
      </w:tr>
      <w:tr>
        <w:trPr>
          <w:trHeight w:val="175"/>
        </w:trPr>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Income from operations</w:t>
            </w:r>
            <w:r>
              <w:rPr>
                <w:rFonts w:ascii="Arial" w:cs="Arial" w:eastAsia="Arial" w:hAnsi="Arial"/>
                <w:sz w:val="12"/>
                <w:szCs w:val="12"/>
                <w:color w:val="auto"/>
                <w:vertAlign w:val="superscript"/>
              </w:rPr>
              <w:t>(1)</w:t>
            </w:r>
          </w:p>
        </w:tc>
        <w:tc>
          <w:tcPr>
            <w:tcW w:w="460" w:type="dxa"/>
            <w:vAlign w:val="bottom"/>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176</w:t>
            </w: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73</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Gain on disposal</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629</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before income taxes</w:t>
            </w:r>
          </w:p>
        </w:tc>
        <w:tc>
          <w:tcPr>
            <w:tcW w:w="46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805</w:t>
            </w: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73</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Income tax expense</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(95)</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(9)</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from discontinued operations, net of tax</w:t>
            </w:r>
          </w:p>
        </w:tc>
        <w:tc>
          <w:tcPr>
            <w:tcW w:w="460" w:type="dxa"/>
            <w:vAlign w:val="bottom"/>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710</w:t>
            </w: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64</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Income from discontinued operations attributable to noncontrolling interests, net of tax</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E5E5E5"/>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(9)</w:t>
            </w:r>
          </w:p>
        </w:tc>
      </w:tr>
      <w:tr>
        <w:trPr>
          <w:trHeight w:val="189"/>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from discontinued operations, net of tax attributable to Xerox Holdings</w:t>
            </w:r>
          </w:p>
        </w:tc>
        <w:tc>
          <w:tcPr>
            <w:tcW w:w="46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705</w:t>
            </w:r>
          </w:p>
        </w:tc>
        <w:tc>
          <w:tcPr>
            <w:tcW w:w="120" w:type="dxa"/>
            <w:vAlign w:val="bottom"/>
            <w:tcBorders>
              <w:bottom w:val="single" w:sz="8" w:color="E5E5E5"/>
            </w:tcBorders>
            <w:shd w:val="clear" w:color="auto" w:fill="E5E5E5"/>
          </w:tcPr>
          <w:p>
            <w:pPr>
              <w:spacing w:after="0"/>
              <w:rPr>
                <w:sz w:val="16"/>
                <w:szCs w:val="16"/>
                <w:color w:val="auto"/>
              </w:rPr>
            </w:pPr>
          </w:p>
        </w:tc>
        <w:tc>
          <w:tcPr>
            <w:tcW w:w="800" w:type="dxa"/>
            <w:vAlign w:val="bottom"/>
            <w:tcBorders>
              <w:bottom w:val="single" w:sz="8" w:color="auto"/>
            </w:tcBorders>
            <w:shd w:val="clear" w:color="auto" w:fill="E5E5E5"/>
          </w:tcPr>
          <w:p>
            <w:pPr>
              <w:jc w:val="right"/>
              <w:ind w:right="66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r>
      <w:tr>
        <w:trPr>
          <w:trHeight w:val="79"/>
        </w:trPr>
        <w:tc>
          <w:tcPr>
            <w:tcW w:w="7340" w:type="dxa"/>
            <w:vAlign w:val="bottom"/>
          </w:tcPr>
          <w:p>
            <w:pPr>
              <w:spacing w:after="0" w:line="79" w:lineRule="exact"/>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spacing w:after="0" w:line="25" w:lineRule="exact"/>
        <w:rPr>
          <w:sz w:val="20"/>
          <w:szCs w:val="20"/>
          <w:color w:val="auto"/>
        </w:rPr>
      </w:pPr>
    </w:p>
    <w:p>
      <w:pPr>
        <w:ind w:left="102" w:hanging="102"/>
        <w:spacing w:after="0"/>
        <w:tabs>
          <w:tab w:leader="none" w:pos="102" w:val="left"/>
        </w:tabs>
        <w:numPr>
          <w:ilvl w:val="0"/>
          <w:numId w:val="2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Includes equity income from FX of $15 million and $37 million for the Three Months Ended December 31, 2019 and 2018, respectively, and $147 million and $25 million for the Year Ended December 31, 2019 and 2018, respectively.</w:t>
      </w:r>
    </w:p>
    <w:p>
      <w:pPr>
        <w:spacing w:after="0" w:line="28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82"/>
          </w:cols>
          <w:pgMar w:left="218" w:top="372" w:right="199" w:bottom="1440" w:gutter="0" w:footer="0" w:header="0"/>
        </w:sectPr>
      </w:pPr>
    </w:p>
    <w:bookmarkStart w:id="23" w:name="page24"/>
    <w:bookmarkEnd w:id="23"/>
    <w:p>
      <w:pPr>
        <w:ind w:left="2"/>
        <w:spacing w:after="0"/>
        <w:rPr>
          <w:sz w:val="20"/>
          <w:szCs w:val="20"/>
          <w:color w:val="auto"/>
        </w:rPr>
      </w:pPr>
      <w:r>
        <w:rPr>
          <w:rFonts w:ascii="Arial" w:cs="Arial" w:eastAsia="Arial" w:hAnsi="Arial"/>
          <w:sz w:val="18"/>
          <w:szCs w:val="18"/>
          <w:b w:val="1"/>
          <w:bCs w:val="1"/>
          <w:color w:val="DA2031"/>
        </w:rPr>
        <w:t>Capital Resources and Liquidity</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summarizes our cash, cash equivalents and restricted cash:</w:t>
      </w:r>
    </w:p>
    <w:p>
      <w:pPr>
        <w:spacing w:after="0" w:line="165"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0"/>
                <w:szCs w:val="10"/>
                <w:color w:val="auto"/>
              </w:rPr>
              <w:t>Three Months Ended December 31,</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8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00" w:type="dxa"/>
            <w:vAlign w:val="bottom"/>
            <w:tcBorders>
              <w:bottom w:val="single" w:sz="8" w:color="E5E5E5"/>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color w:val="auto"/>
              </w:rPr>
              <w:t>Change</w:t>
            </w:r>
          </w:p>
        </w:tc>
      </w:tr>
      <w:tr>
        <w:trPr>
          <w:trHeight w:val="179"/>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provided by operating activities of continuing operations</w:t>
            </w:r>
          </w:p>
        </w:tc>
        <w:tc>
          <w:tcPr>
            <w:tcW w:w="1000" w:type="dxa"/>
            <w:vAlign w:val="bottom"/>
            <w:shd w:val="clear" w:color="auto" w:fill="E5E5E5"/>
          </w:tcPr>
          <w:p>
            <w:pPr>
              <w:jc w:val="right"/>
              <w:ind w:right="868"/>
              <w:spacing w:after="0"/>
              <w:rPr>
                <w:sz w:val="20"/>
                <w:szCs w:val="20"/>
                <w:color w:val="auto"/>
              </w:rPr>
            </w:pPr>
            <w:r>
              <w:rPr>
                <w:rFonts w:ascii="Arial" w:cs="Arial" w:eastAsia="Arial" w:hAnsi="Arial"/>
                <w:sz w:val="10"/>
                <w:szCs w:val="10"/>
                <w:color w:val="auto"/>
              </w:rPr>
              <w:t>$</w:t>
            </w: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398</w:t>
            </w:r>
          </w:p>
        </w:tc>
        <w:tc>
          <w:tcPr>
            <w:tcW w:w="120" w:type="dxa"/>
            <w:vAlign w:val="bottom"/>
            <w:shd w:val="clear" w:color="auto" w:fill="E5E5E5"/>
          </w:tcPr>
          <w:p>
            <w:pPr>
              <w:spacing w:after="0"/>
              <w:rPr>
                <w:sz w:val="15"/>
                <w:szCs w:val="15"/>
                <w:color w:val="auto"/>
              </w:rPr>
            </w:pPr>
          </w:p>
        </w:tc>
        <w:tc>
          <w:tcPr>
            <w:tcW w:w="1000" w:type="dxa"/>
            <w:vAlign w:val="bottom"/>
            <w:shd w:val="clear" w:color="auto" w:fill="E5E5E5"/>
          </w:tcPr>
          <w:p>
            <w:pPr>
              <w:jc w:val="right"/>
              <w:ind w:right="868"/>
              <w:spacing w:after="0"/>
              <w:rPr>
                <w:sz w:val="20"/>
                <w:szCs w:val="20"/>
                <w:color w:val="auto"/>
              </w:rPr>
            </w:pPr>
            <w:r>
              <w:rPr>
                <w:rFonts w:ascii="Arial" w:cs="Arial" w:eastAsia="Arial" w:hAnsi="Arial"/>
                <w:sz w:val="10"/>
                <w:szCs w:val="10"/>
                <w:color w:val="auto"/>
              </w:rPr>
              <w:t>$</w:t>
            </w: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384</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2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14</w:t>
            </w:r>
          </w:p>
        </w:tc>
      </w:tr>
      <w:tr>
        <w:trPr>
          <w:trHeight w:val="190"/>
        </w:trPr>
        <w:tc>
          <w:tcPr>
            <w:tcW w:w="67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Net cash provided by operating activities of discontinued operations</w:t>
            </w: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40</w:t>
            </w:r>
          </w:p>
        </w:tc>
        <w:tc>
          <w:tcPr>
            <w:tcW w:w="120" w:type="dxa"/>
            <w:vAlign w:val="bottom"/>
            <w:tcBorders>
              <w:bottom w:val="single" w:sz="8" w:color="E5E5E5"/>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31</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w:t>
            </w:r>
          </w:p>
        </w:tc>
      </w:tr>
      <w:tr>
        <w:trPr>
          <w:trHeight w:val="174"/>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provided by operating activities</w:t>
            </w:r>
          </w:p>
        </w:tc>
        <w:tc>
          <w:tcPr>
            <w:tcW w:w="1000" w:type="dxa"/>
            <w:vAlign w:val="bottom"/>
            <w:tcBorders>
              <w:bottom w:val="single" w:sz="8" w:color="auto"/>
            </w:tcBorders>
            <w:shd w:val="clear" w:color="auto" w:fill="E5E5E5"/>
          </w:tcPr>
          <w:p>
            <w:pPr>
              <w:spacing w:after="0"/>
              <w:rPr>
                <w:sz w:val="15"/>
                <w:szCs w:val="15"/>
                <w:color w:val="auto"/>
              </w:rPr>
            </w:pP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438</w:t>
            </w:r>
          </w:p>
        </w:tc>
        <w:tc>
          <w:tcPr>
            <w:tcW w:w="120" w:type="dxa"/>
            <w:vAlign w:val="bottom"/>
            <w:shd w:val="clear" w:color="auto" w:fill="E5E5E5"/>
          </w:tcPr>
          <w:p>
            <w:pPr>
              <w:spacing w:after="0"/>
              <w:rPr>
                <w:sz w:val="15"/>
                <w:szCs w:val="15"/>
                <w:color w:val="auto"/>
              </w:rPr>
            </w:pPr>
          </w:p>
        </w:tc>
        <w:tc>
          <w:tcPr>
            <w:tcW w:w="1000" w:type="dxa"/>
            <w:vAlign w:val="bottom"/>
            <w:tcBorders>
              <w:bottom w:val="single" w:sz="8" w:color="auto"/>
            </w:tcBorders>
            <w:shd w:val="clear" w:color="auto" w:fill="E5E5E5"/>
          </w:tcPr>
          <w:p>
            <w:pPr>
              <w:spacing w:after="0"/>
              <w:rPr>
                <w:sz w:val="15"/>
                <w:szCs w:val="15"/>
                <w:color w:val="auto"/>
              </w:rPr>
            </w:pP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415</w:t>
            </w:r>
          </w:p>
        </w:tc>
        <w:tc>
          <w:tcPr>
            <w:tcW w:w="120" w:type="dxa"/>
            <w:vAlign w:val="bottom"/>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spacing w:after="0"/>
              <w:rPr>
                <w:sz w:val="15"/>
                <w:szCs w:val="15"/>
                <w:color w:val="auto"/>
              </w:rPr>
            </w:pPr>
          </w:p>
        </w:tc>
        <w:tc>
          <w:tcPr>
            <w:tcW w:w="12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23</w:t>
            </w:r>
          </w:p>
        </w:tc>
      </w:tr>
      <w:tr>
        <w:trPr>
          <w:trHeight w:val="198"/>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4"/>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(used in) provided by investing activities of continuing operations</w:t>
            </w:r>
          </w:p>
        </w:tc>
        <w:tc>
          <w:tcPr>
            <w:tcW w:w="100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(28)</w:t>
            </w:r>
          </w:p>
        </w:tc>
      </w:tr>
      <w:tr>
        <w:trPr>
          <w:trHeight w:val="190"/>
        </w:trPr>
        <w:tc>
          <w:tcPr>
            <w:tcW w:w="6760" w:type="dxa"/>
            <w:vAlign w:val="bottom"/>
            <w:gridSpan w:val="2"/>
          </w:tcPr>
          <w:p>
            <w:pPr>
              <w:ind w:left="20"/>
              <w:spacing w:after="0"/>
              <w:rPr>
                <w:sz w:val="20"/>
                <w:szCs w:val="20"/>
                <w:color w:val="auto"/>
              </w:rPr>
            </w:pPr>
            <w:r>
              <w:rPr>
                <w:rFonts w:ascii="Arial" w:cs="Arial" w:eastAsia="Arial" w:hAnsi="Arial"/>
                <w:sz w:val="10"/>
                <w:szCs w:val="10"/>
                <w:color w:val="auto"/>
              </w:rPr>
              <w:t>Net cash provided by investing activities of discontinued operations</w:t>
            </w:r>
          </w:p>
        </w:tc>
        <w:tc>
          <w:tcPr>
            <w:tcW w:w="100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2,233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0"/>
                <w:szCs w:val="10"/>
                <w:color w:val="auto"/>
              </w:rPr>
              <w:t>2,233</w:t>
            </w:r>
          </w:p>
        </w:tc>
      </w:tr>
      <w:tr>
        <w:trPr>
          <w:trHeight w:val="174"/>
        </w:trPr>
        <w:tc>
          <w:tcPr>
            <w:tcW w:w="676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Net cash provided by investing activities</w:t>
            </w:r>
          </w:p>
        </w:tc>
        <w:tc>
          <w:tcPr>
            <w:tcW w:w="100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2,216</w:t>
            </w:r>
          </w:p>
        </w:tc>
        <w:tc>
          <w:tcPr>
            <w:tcW w:w="120" w:type="dxa"/>
            <w:vAlign w:val="bottom"/>
            <w:tcBorders>
              <w:top w:val="single" w:sz="8" w:color="E5E5E5"/>
            </w:tcBorders>
            <w:shd w:val="clear" w:color="auto" w:fill="E5E5E5"/>
          </w:tcPr>
          <w:p>
            <w:pPr>
              <w:spacing w:after="0"/>
              <w:rPr>
                <w:sz w:val="15"/>
                <w:szCs w:val="15"/>
                <w:color w:val="auto"/>
              </w:rPr>
            </w:pPr>
          </w:p>
        </w:tc>
        <w:tc>
          <w:tcPr>
            <w:tcW w:w="100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w:t>
            </w: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bottom w:val="single" w:sz="8" w:color="auto"/>
            </w:tcBorders>
            <w:shd w:val="clear" w:color="auto" w:fill="E5E5E5"/>
          </w:tcPr>
          <w:p>
            <w:pPr>
              <w:spacing w:after="0"/>
              <w:rPr>
                <w:sz w:val="15"/>
                <w:szCs w:val="15"/>
                <w:color w:val="auto"/>
              </w:rPr>
            </w:pPr>
          </w:p>
        </w:tc>
        <w:tc>
          <w:tcPr>
            <w:tcW w:w="12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2,205</w:t>
            </w:r>
          </w:p>
        </w:tc>
      </w:tr>
      <w:tr>
        <w:trPr>
          <w:trHeight w:val="198"/>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4"/>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used in financing activities of continuing operations</w:t>
            </w:r>
          </w:p>
        </w:tc>
        <w:tc>
          <w:tcPr>
            <w:tcW w:w="100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(851)</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(366)</w:t>
            </w:r>
          </w:p>
        </w:tc>
      </w:tr>
      <w:tr>
        <w:trPr>
          <w:trHeight w:val="190"/>
        </w:trPr>
        <w:tc>
          <w:tcPr>
            <w:tcW w:w="6760" w:type="dxa"/>
            <w:vAlign w:val="bottom"/>
            <w:gridSpan w:val="2"/>
          </w:tcPr>
          <w:p>
            <w:pPr>
              <w:ind w:left="20"/>
              <w:spacing w:after="0"/>
              <w:rPr>
                <w:sz w:val="20"/>
                <w:szCs w:val="20"/>
                <w:color w:val="auto"/>
              </w:rPr>
            </w:pPr>
            <w:r>
              <w:rPr>
                <w:rFonts w:ascii="Arial" w:cs="Arial" w:eastAsia="Arial" w:hAnsi="Arial"/>
                <w:sz w:val="10"/>
                <w:szCs w:val="10"/>
                <w:color w:val="auto"/>
              </w:rPr>
              <w:t>Net cash used in financing activities of discontinued operations</w:t>
            </w:r>
          </w:p>
        </w:tc>
        <w:tc>
          <w:tcPr>
            <w:tcW w:w="100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0"/>
                <w:szCs w:val="10"/>
                <w:color w:val="auto"/>
              </w:rPr>
              <w:t>1</w:t>
            </w:r>
          </w:p>
        </w:tc>
      </w:tr>
      <w:tr>
        <w:trPr>
          <w:trHeight w:val="174"/>
        </w:trPr>
        <w:tc>
          <w:tcPr>
            <w:tcW w:w="676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Net cash used in financing activities</w:t>
            </w:r>
          </w:p>
        </w:tc>
        <w:tc>
          <w:tcPr>
            <w:tcW w:w="100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(851)</w:t>
            </w:r>
          </w:p>
        </w:tc>
        <w:tc>
          <w:tcPr>
            <w:tcW w:w="120" w:type="dxa"/>
            <w:vAlign w:val="bottom"/>
            <w:tcBorders>
              <w:top w:val="single" w:sz="8" w:color="E5E5E5"/>
            </w:tcBorders>
            <w:shd w:val="clear" w:color="auto" w:fill="E5E5E5"/>
          </w:tcPr>
          <w:p>
            <w:pPr>
              <w:spacing w:after="0"/>
              <w:rPr>
                <w:sz w:val="15"/>
                <w:szCs w:val="15"/>
                <w:color w:val="auto"/>
              </w:rPr>
            </w:pPr>
          </w:p>
        </w:tc>
        <w:tc>
          <w:tcPr>
            <w:tcW w:w="100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(486)</w:t>
            </w: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bottom w:val="single" w:sz="8" w:color="auto"/>
            </w:tcBorders>
            <w:shd w:val="clear" w:color="auto" w:fill="E5E5E5"/>
          </w:tcPr>
          <w:p>
            <w:pPr>
              <w:spacing w:after="0"/>
              <w:rPr>
                <w:sz w:val="15"/>
                <w:szCs w:val="15"/>
                <w:color w:val="auto"/>
              </w:rPr>
            </w:pPr>
          </w:p>
        </w:tc>
        <w:tc>
          <w:tcPr>
            <w:tcW w:w="12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(365)</w:t>
            </w:r>
          </w:p>
        </w:tc>
      </w:tr>
      <w:tr>
        <w:trPr>
          <w:trHeight w:val="198"/>
        </w:trPr>
        <w:tc>
          <w:tcPr>
            <w:tcW w:w="6660" w:type="dxa"/>
            <w:vAlign w:val="bottom"/>
            <w:tcBorders>
              <w:bottom w:val="single" w:sz="8" w:color="E5E5E5"/>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0"/>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100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w:t>
            </w:r>
          </w:p>
        </w:tc>
        <w:tc>
          <w:tcPr>
            <w:tcW w:w="120" w:type="dxa"/>
            <w:vAlign w:val="bottom"/>
            <w:shd w:val="clear" w:color="auto" w:fill="E5E5E5"/>
          </w:tcPr>
          <w:p>
            <w:pPr>
              <w:spacing w:after="0"/>
              <w:rPr>
                <w:sz w:val="14"/>
                <w:szCs w:val="14"/>
                <w:color w:val="auto"/>
              </w:rPr>
            </w:pPr>
          </w:p>
        </w:tc>
        <w:tc>
          <w:tcPr>
            <w:tcW w:w="100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(10)</w:t>
            </w:r>
          </w:p>
        </w:tc>
        <w:tc>
          <w:tcPr>
            <w:tcW w:w="120" w:type="dxa"/>
            <w:vAlign w:val="bottom"/>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spacing w:after="0"/>
              <w:rPr>
                <w:sz w:val="14"/>
                <w:szCs w:val="14"/>
                <w:color w:val="auto"/>
              </w:rPr>
            </w:pPr>
          </w:p>
        </w:tc>
        <w:tc>
          <w:tcPr>
            <w:tcW w:w="12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23</w:t>
            </w:r>
          </w:p>
        </w:tc>
      </w:tr>
      <w:tr>
        <w:trPr>
          <w:trHeight w:val="174"/>
        </w:trPr>
        <w:tc>
          <w:tcPr>
            <w:tcW w:w="6760" w:type="dxa"/>
            <w:vAlign w:val="bottom"/>
            <w:gridSpan w:val="2"/>
          </w:tcPr>
          <w:p>
            <w:pPr>
              <w:ind w:left="20"/>
              <w:spacing w:after="0"/>
              <w:rPr>
                <w:sz w:val="20"/>
                <w:szCs w:val="20"/>
                <w:color w:val="auto"/>
              </w:rPr>
            </w:pPr>
            <w:r>
              <w:rPr>
                <w:rFonts w:ascii="Arial" w:cs="Arial" w:eastAsia="Arial" w:hAnsi="Arial"/>
                <w:sz w:val="10"/>
                <w:szCs w:val="10"/>
                <w:color w:val="auto"/>
              </w:rPr>
              <w:t>Increase (decrease) in cash, cash equivalents and restricted cash</w:t>
            </w:r>
          </w:p>
        </w:tc>
        <w:tc>
          <w:tcPr>
            <w:tcW w:w="100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1,816</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0"/>
                <w:szCs w:val="10"/>
                <w:color w:val="auto"/>
              </w:rPr>
              <w:t>1,886</w:t>
            </w:r>
          </w:p>
        </w:tc>
      </w:tr>
      <w:tr>
        <w:trPr>
          <w:trHeight w:val="199"/>
        </w:trPr>
        <w:tc>
          <w:tcPr>
            <w:tcW w:w="67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0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979</w:t>
            </w:r>
          </w:p>
        </w:tc>
        <w:tc>
          <w:tcPr>
            <w:tcW w:w="120" w:type="dxa"/>
            <w:vAlign w:val="bottom"/>
            <w:shd w:val="clear" w:color="auto" w:fill="E5E5E5"/>
          </w:tcPr>
          <w:p>
            <w:pPr>
              <w:spacing w:after="0"/>
              <w:rPr>
                <w:sz w:val="17"/>
                <w:szCs w:val="17"/>
                <w:color w:val="auto"/>
              </w:rPr>
            </w:pPr>
          </w:p>
        </w:tc>
        <w:tc>
          <w:tcPr>
            <w:tcW w:w="10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1,218</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(239)</w:t>
            </w:r>
          </w:p>
        </w:tc>
      </w:tr>
      <w:tr>
        <w:trPr>
          <w:trHeight w:val="174"/>
        </w:trPr>
        <w:tc>
          <w:tcPr>
            <w:tcW w:w="676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r>
              <w:rPr>
                <w:rFonts w:ascii="Arial" w:cs="Arial" w:eastAsia="Arial" w:hAnsi="Arial"/>
                <w:sz w:val="12"/>
                <w:szCs w:val="12"/>
                <w:b w:val="1"/>
                <w:bCs w:val="1"/>
                <w:color w:val="auto"/>
                <w:vertAlign w:val="superscript"/>
              </w:rPr>
              <w:t>(1)</w:t>
            </w:r>
          </w:p>
        </w:tc>
        <w:tc>
          <w:tcPr>
            <w:tcW w:w="1000" w:type="dxa"/>
            <w:vAlign w:val="bottom"/>
            <w:tcBorders>
              <w:bottom w:val="single" w:sz="8" w:color="auto"/>
            </w:tcBorders>
          </w:tcPr>
          <w:p>
            <w:pPr>
              <w:jc w:val="right"/>
              <w:ind w:right="868"/>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2,795</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868"/>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1,148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1,647</w:t>
            </w:r>
          </w:p>
        </w:tc>
      </w:tr>
    </w:tbl>
    <w:p>
      <w:pPr>
        <w:spacing w:after="0" w:line="81" w:lineRule="exact"/>
        <w:rPr>
          <w:sz w:val="20"/>
          <w:szCs w:val="20"/>
          <w:color w:val="auto"/>
        </w:rPr>
      </w:pPr>
    </w:p>
    <w:p>
      <w:pPr>
        <w:ind w:left="2"/>
        <w:spacing w:after="0"/>
        <w:rPr>
          <w:sz w:val="20"/>
          <w:szCs w:val="20"/>
          <w:color w:val="auto"/>
        </w:rPr>
      </w:pPr>
      <w:r>
        <w:rPr>
          <w:rFonts w:ascii="Arial" w:cs="Arial" w:eastAsia="Arial" w:hAnsi="Arial"/>
          <w:sz w:val="8"/>
          <w:szCs w:val="8"/>
          <w:color w:val="auto"/>
        </w:rPr>
        <w:t>____________________________</w:t>
      </w:r>
    </w:p>
    <w:p>
      <w:pPr>
        <w:ind w:left="122" w:hanging="122"/>
        <w:spacing w:after="0" w:line="221" w:lineRule="auto"/>
        <w:tabs>
          <w:tab w:leader="none" w:pos="122" w:val="left"/>
        </w:tabs>
        <w:numPr>
          <w:ilvl w:val="0"/>
          <w:numId w:val="24"/>
        </w:numPr>
        <w:rPr>
          <w:rFonts w:ascii="Arial" w:cs="Arial" w:eastAsia="Arial" w:hAnsi="Arial"/>
          <w:sz w:val="14"/>
          <w:szCs w:val="14"/>
          <w:color w:val="auto"/>
          <w:vertAlign w:val="superscript"/>
        </w:rPr>
      </w:pPr>
      <w:r>
        <w:rPr>
          <w:rFonts w:ascii="Arial" w:cs="Arial" w:eastAsia="Arial" w:hAnsi="Arial"/>
          <w:sz w:val="10"/>
          <w:szCs w:val="10"/>
          <w:i w:val="1"/>
          <w:iCs w:val="1"/>
          <w:color w:val="auto"/>
        </w:rPr>
        <w:t>Balance at December 31, 2018 includes $3 million associated with discontinued operations.</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Cash Flows from Operating Activities</w:t>
      </w:r>
    </w:p>
    <w:p>
      <w:pPr>
        <w:spacing w:after="0" w:line="20" w:lineRule="exact"/>
        <w:rPr>
          <w:sz w:val="20"/>
          <w:szCs w:val="20"/>
          <w:color w:val="auto"/>
        </w:rPr>
      </w:pPr>
    </w:p>
    <w:p>
      <w:pPr>
        <w:ind w:left="2" w:right="220"/>
        <w:spacing w:after="0" w:line="249" w:lineRule="auto"/>
        <w:rPr>
          <w:sz w:val="20"/>
          <w:szCs w:val="20"/>
          <w:color w:val="auto"/>
        </w:rPr>
      </w:pPr>
      <w:r>
        <w:rPr>
          <w:rFonts w:ascii="Arial" w:cs="Arial" w:eastAsia="Arial" w:hAnsi="Arial"/>
          <w:sz w:val="13"/>
          <w:szCs w:val="13"/>
          <w:color w:val="auto"/>
        </w:rPr>
        <w:t>Net cash provided by operating activities from continuing operations was $398 million in fourth quarter 2019. The $14 million increase in operating cash from fourth quarter 2018 was primarily due to the following:</w:t>
      </w:r>
    </w:p>
    <w:p>
      <w:pPr>
        <w:spacing w:after="0" w:line="1" w:lineRule="exact"/>
        <w:rPr>
          <w:sz w:val="20"/>
          <w:szCs w:val="20"/>
          <w:color w:val="auto"/>
        </w:rPr>
      </w:pPr>
    </w:p>
    <w:p>
      <w:pPr>
        <w:ind w:left="242" w:hanging="242"/>
        <w:spacing w:after="0"/>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$58 million increase from after-tax impact of the OEM license agreement with FX.</w:t>
      </w:r>
    </w:p>
    <w:p>
      <w:pPr>
        <w:spacing w:after="0" w:line="5" w:lineRule="exact"/>
        <w:rPr>
          <w:rFonts w:ascii="Arial" w:cs="Arial" w:eastAsia="Arial" w:hAnsi="Arial"/>
          <w:sz w:val="13"/>
          <w:szCs w:val="13"/>
          <w:color w:val="auto"/>
        </w:rPr>
      </w:pPr>
    </w:p>
    <w:p>
      <w:pPr>
        <w:ind w:left="242" w:right="400" w:hanging="242"/>
        <w:spacing w:after="0" w:line="249" w:lineRule="auto"/>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$18 million net increase from finance assets reflecting $26 million increase from lower placements of equipment on operating leases partially offset by $8 million decrease from higher finance receivables.</w:t>
      </w:r>
    </w:p>
    <w:p>
      <w:pPr>
        <w:ind w:left="242" w:hanging="242"/>
        <w:spacing w:after="0"/>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$20 million increase from accrued compensation primarily related to lower compensation costs and year-over-year timing of payments.</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$14 million increase from lower restructuring and related payments primarily due to timing of initiatives and associated payments.</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$48 million decrease as a result of lower fourth quarter inventory reductions in 2019 as compared to the prior year primarily due to timing of purchases.</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25"/>
        </w:numPr>
        <w:rPr>
          <w:rFonts w:ascii="Arial" w:cs="Arial" w:eastAsia="Arial" w:hAnsi="Arial"/>
          <w:sz w:val="13"/>
          <w:szCs w:val="13"/>
          <w:color w:val="auto"/>
        </w:rPr>
      </w:pPr>
      <w:r>
        <w:rPr>
          <w:rFonts w:ascii="Arial" w:cs="Arial" w:eastAsia="Arial" w:hAnsi="Arial"/>
          <w:sz w:val="13"/>
          <w:szCs w:val="13"/>
          <w:color w:val="auto"/>
        </w:rPr>
        <w:t>$42 million decrease from accounts receivable primarily due to the timing of collections.</w:t>
      </w:r>
    </w:p>
    <w:p>
      <w:pPr>
        <w:spacing w:after="0" w:line="109"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Cash Flows from Investing Activities</w:t>
      </w:r>
    </w:p>
    <w:p>
      <w:pPr>
        <w:spacing w:after="0" w:line="20" w:lineRule="exact"/>
        <w:rPr>
          <w:sz w:val="20"/>
          <w:szCs w:val="20"/>
          <w:color w:val="auto"/>
        </w:rPr>
      </w:pPr>
    </w:p>
    <w:p>
      <w:pPr>
        <w:ind w:left="2" w:right="300"/>
        <w:spacing w:after="0" w:line="258" w:lineRule="auto"/>
        <w:rPr>
          <w:sz w:val="20"/>
          <w:szCs w:val="20"/>
          <w:color w:val="auto"/>
        </w:rPr>
      </w:pPr>
      <w:r>
        <w:rPr>
          <w:rFonts w:ascii="Arial" w:cs="Arial" w:eastAsia="Arial" w:hAnsi="Arial"/>
          <w:sz w:val="13"/>
          <w:szCs w:val="13"/>
          <w:color w:val="auto"/>
        </w:rPr>
        <w:t>Net cash used in investing activities of continuing operations was $17 million in fourth quarter 2019. The $28 million change from fourth quarter 2018 was primarily due to proceeds from the sale of buildings in Ireland in the prior year.</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Cash Flows from Financing Activities</w:t>
      </w:r>
    </w:p>
    <w:p>
      <w:pPr>
        <w:spacing w:after="0" w:line="20" w:lineRule="exact"/>
        <w:rPr>
          <w:sz w:val="20"/>
          <w:szCs w:val="20"/>
          <w:color w:val="auto"/>
        </w:rPr>
      </w:pPr>
    </w:p>
    <w:p>
      <w:pPr>
        <w:ind w:left="2" w:right="320"/>
        <w:spacing w:after="0" w:line="249" w:lineRule="auto"/>
        <w:rPr>
          <w:sz w:val="20"/>
          <w:szCs w:val="20"/>
          <w:color w:val="auto"/>
        </w:rPr>
      </w:pPr>
      <w:r>
        <w:rPr>
          <w:rFonts w:ascii="Arial" w:cs="Arial" w:eastAsia="Arial" w:hAnsi="Arial"/>
          <w:sz w:val="13"/>
          <w:szCs w:val="13"/>
          <w:color w:val="auto"/>
        </w:rPr>
        <w:t>Net cash used in financing activities of continuing operations was $851 million in fourth quarter 2019. The $366 million increase in the use of cash from fourth quarter 2018 was primarily due to the following:</w:t>
      </w:r>
    </w:p>
    <w:p>
      <w:pPr>
        <w:spacing w:after="0" w:line="1" w:lineRule="exact"/>
        <w:rPr>
          <w:sz w:val="20"/>
          <w:szCs w:val="20"/>
          <w:color w:val="auto"/>
        </w:rPr>
      </w:pPr>
    </w:p>
    <w:p>
      <w:pPr>
        <w:ind w:left="242" w:hanging="242"/>
        <w:spacing w:after="0"/>
        <w:tabs>
          <w:tab w:leader="none" w:pos="242" w:val="left"/>
        </w:tabs>
        <w:numPr>
          <w:ilvl w:val="0"/>
          <w:numId w:val="26"/>
        </w:numPr>
        <w:rPr>
          <w:rFonts w:ascii="Arial" w:cs="Arial" w:eastAsia="Arial" w:hAnsi="Arial"/>
          <w:sz w:val="13"/>
          <w:szCs w:val="13"/>
          <w:color w:val="auto"/>
        </w:rPr>
      </w:pPr>
      <w:r>
        <w:rPr>
          <w:rFonts w:ascii="Arial" w:cs="Arial" w:eastAsia="Arial" w:hAnsi="Arial"/>
          <w:sz w:val="13"/>
          <w:szCs w:val="13"/>
          <w:color w:val="auto"/>
        </w:rPr>
        <w:t>$550 million increase from net debt activity primarily due to payments of $554 million on maturing Senior Notes in fourth quarter 2019 compared to no payments in prior year.</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26"/>
        </w:numPr>
        <w:rPr>
          <w:rFonts w:ascii="Arial" w:cs="Arial" w:eastAsia="Arial" w:hAnsi="Arial"/>
          <w:sz w:val="13"/>
          <w:szCs w:val="13"/>
          <w:color w:val="auto"/>
        </w:rPr>
      </w:pPr>
      <w:r>
        <w:rPr>
          <w:rFonts w:ascii="Arial" w:cs="Arial" w:eastAsia="Arial" w:hAnsi="Arial"/>
          <w:sz w:val="13"/>
          <w:szCs w:val="13"/>
          <w:color w:val="auto"/>
        </w:rPr>
        <w:t>$184 million decrease from lower share repurchases due to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82"/>
          </w:cols>
          <w:pgMar w:left="218" w:top="439" w:right="19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DA2031"/>
        </w:rPr>
        <w:t>Adoption of New Leasing Standard</w:t>
      </w:r>
    </w:p>
    <w:p>
      <w:pPr>
        <w:spacing w:after="0" w:line="102" w:lineRule="exact"/>
        <w:rPr>
          <w:sz w:val="20"/>
          <w:szCs w:val="20"/>
          <w:color w:val="auto"/>
        </w:rPr>
      </w:pPr>
    </w:p>
    <w:p>
      <w:pPr>
        <w:jc w:val="both"/>
        <w:ind w:right="340"/>
        <w:spacing w:after="0" w:line="254" w:lineRule="auto"/>
        <w:rPr>
          <w:sz w:val="20"/>
          <w:szCs w:val="20"/>
          <w:color w:val="auto"/>
        </w:rPr>
      </w:pPr>
      <w:r>
        <w:rPr>
          <w:rFonts w:ascii="Arial" w:cs="Arial" w:eastAsia="Arial" w:hAnsi="Arial"/>
          <w:sz w:val="13"/>
          <w:szCs w:val="13"/>
          <w:color w:val="auto"/>
        </w:rPr>
        <w:t>On January 1, 2019, we adopted ASU 2016-02, Leases (ASC Topic 842). This update, as well as additional amendments and targeted improvements issued in 2018 and early 2019, supersedes existing lease accounting guidance found under ASC 840, Leases (ASC 840) and requires the recognition of right-of-use (ROU) assets and lease obligations by lessees for those leases originally classified as operating leases under prior lease guidance.</w:t>
      </w:r>
    </w:p>
    <w:p>
      <w:pPr>
        <w:spacing w:after="0" w:line="69"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Upon adoption, we applied the transition option, whereby prior comparative periods are not retrospectively presented in the Condensed Consolidated Financial Statements. Lessee accounting - the adoption of this update resulted in an increase to assets and related liabilities of approximately $385 million (approximately $440 million undiscounted) primarily related to leases of facilities. Lessor accounting - the adoption of this update resulted in an increase to equipment sales of approximately $10 million in fourth quarter 2019. The adoption of the new standard did not, nor is it expected to, have a material impact on our results of operations or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Operating leases ROU assets, net and operating lease liabilities were reported in the Condensed Consolidated Balance Sheets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December 31, 2019</w:t>
            </w:r>
          </w:p>
        </w:tc>
      </w:tr>
      <w:tr>
        <w:trPr>
          <w:trHeight w:val="178"/>
        </w:trPr>
        <w:tc>
          <w:tcPr>
            <w:tcW w:w="95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assets</w:t>
            </w: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319</w:t>
            </w:r>
          </w:p>
        </w:tc>
      </w:tr>
      <w:tr>
        <w:trPr>
          <w:trHeight w:val="194"/>
        </w:trPr>
        <w:tc>
          <w:tcPr>
            <w:tcW w:w="9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4"/>
        </w:trPr>
        <w:tc>
          <w:tcPr>
            <w:tcW w:w="95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expenses and other current liabilities</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87</w:t>
            </w:r>
          </w:p>
        </w:tc>
      </w:tr>
      <w:tr>
        <w:trPr>
          <w:trHeight w:val="190"/>
        </w:trPr>
        <w:tc>
          <w:tcPr>
            <w:tcW w:w="958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260</w:t>
            </w:r>
          </w:p>
        </w:tc>
      </w:tr>
      <w:tr>
        <w:trPr>
          <w:trHeight w:val="178"/>
        </w:trPr>
        <w:tc>
          <w:tcPr>
            <w:tcW w:w="95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Operating lease liabilities</w:t>
            </w: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347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DA2031"/>
        </w:rPr>
        <w:t>Cash, Cash Equivalents and Restricted Cash</w:t>
      </w:r>
    </w:p>
    <w:p>
      <w:pPr>
        <w:spacing w:after="0" w:line="91"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is expected to be contractually or judicially released.</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December 31, 2018</w:t>
            </w:r>
          </w:p>
        </w:tc>
      </w:tr>
      <w:tr>
        <w:trPr>
          <w:trHeight w:val="17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and cash equivalents</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2,740</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1,081</w:t>
            </w:r>
          </w:p>
        </w:tc>
      </w:tr>
      <w:tr>
        <w:trPr>
          <w:trHeight w:val="190"/>
        </w:trPr>
        <w:tc>
          <w:tcPr>
            <w:tcW w:w="7640" w:type="dxa"/>
            <w:vAlign w:val="bottom"/>
            <w:gridSpan w:val="2"/>
          </w:tcPr>
          <w:p>
            <w:pPr>
              <w:ind w:left="20"/>
              <w:spacing w:after="0"/>
              <w:rPr>
                <w:sz w:val="20"/>
                <w:szCs w:val="20"/>
                <w:color w:val="auto"/>
              </w:rPr>
            </w:pPr>
            <w:r>
              <w:rPr>
                <w:rFonts w:ascii="Arial" w:cs="Arial" w:eastAsia="Arial" w:hAnsi="Arial"/>
                <w:sz w:val="10"/>
                <w:szCs w:val="10"/>
                <w:b w:val="1"/>
                <w:bCs w:val="1"/>
                <w:color w:val="auto"/>
              </w:rPr>
              <w:t>Restricted cash</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9"/>
        </w:trPr>
        <w:tc>
          <w:tcPr>
            <w:tcW w:w="7640" w:type="dxa"/>
            <w:vAlign w:val="bottom"/>
            <w:gridSpan w:val="2"/>
            <w:shd w:val="clear" w:color="auto" w:fill="E5E5E5"/>
          </w:tcPr>
          <w:p>
            <w:pPr>
              <w:ind w:left="120"/>
              <w:spacing w:after="0"/>
              <w:rPr>
                <w:sz w:val="20"/>
                <w:szCs w:val="20"/>
                <w:color w:val="auto"/>
              </w:rPr>
            </w:pPr>
            <w:r>
              <w:rPr>
                <w:rFonts w:ascii="Arial" w:cs="Arial" w:eastAsia="Arial" w:hAnsi="Arial"/>
                <w:sz w:val="10"/>
                <w:szCs w:val="10"/>
                <w:color w:val="auto"/>
              </w:rPr>
              <w:t>Litigation deposits in Brazil</w:t>
            </w:r>
          </w:p>
        </w:tc>
        <w:tc>
          <w:tcPr>
            <w:tcW w:w="260" w:type="dxa"/>
            <w:vAlign w:val="bottom"/>
            <w:shd w:val="clear" w:color="auto" w:fill="E5E5E5"/>
          </w:tcPr>
          <w:p>
            <w:pPr>
              <w:spacing w:after="0"/>
              <w:rPr>
                <w:sz w:val="17"/>
                <w:szCs w:val="17"/>
                <w:color w:val="auto"/>
              </w:rPr>
            </w:pPr>
          </w:p>
        </w:tc>
        <w:tc>
          <w:tcPr>
            <w:tcW w:w="15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61</w:t>
            </w:r>
          </w:p>
        </w:tc>
      </w:tr>
      <w:tr>
        <w:trPr>
          <w:trHeight w:val="190"/>
        </w:trPr>
        <w:tc>
          <w:tcPr>
            <w:tcW w:w="7640" w:type="dxa"/>
            <w:vAlign w:val="bottom"/>
            <w:gridSpan w:val="2"/>
          </w:tcPr>
          <w:p>
            <w:pPr>
              <w:ind w:left="120"/>
              <w:spacing w:after="0"/>
              <w:rPr>
                <w:sz w:val="20"/>
                <w:szCs w:val="20"/>
                <w:color w:val="auto"/>
              </w:rPr>
            </w:pPr>
            <w:r>
              <w:rPr>
                <w:rFonts w:ascii="Arial" w:cs="Arial" w:eastAsia="Arial" w:hAnsi="Arial"/>
                <w:sz w:val="10"/>
                <w:szCs w:val="10"/>
                <w:color w:val="auto"/>
              </w:rPr>
              <w:t>Other restricted cash</w:t>
            </w:r>
          </w:p>
        </w:tc>
        <w:tc>
          <w:tcPr>
            <w:tcW w:w="26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6"/>
                <w:szCs w:val="16"/>
                <w:color w:val="auto"/>
              </w:rPr>
            </w:pPr>
          </w:p>
        </w:tc>
        <w:tc>
          <w:tcPr>
            <w:tcW w:w="1540" w:type="dxa"/>
            <w:vAlign w:val="bottom"/>
          </w:tcPr>
          <w:p>
            <w:pPr>
              <w:jc w:val="right"/>
              <w:ind w:right="68"/>
              <w:spacing w:after="0"/>
              <w:rPr>
                <w:sz w:val="20"/>
                <w:szCs w:val="20"/>
                <w:color w:val="auto"/>
              </w:rPr>
            </w:pPr>
            <w:r>
              <w:rPr>
                <w:rFonts w:ascii="Arial" w:cs="Arial" w:eastAsia="Arial" w:hAnsi="Arial"/>
                <w:sz w:val="10"/>
                <w:szCs w:val="10"/>
                <w:color w:val="auto"/>
              </w:rPr>
              <w:t>3</w:t>
            </w:r>
          </w:p>
        </w:tc>
      </w:tr>
      <w:tr>
        <w:trPr>
          <w:trHeight w:val="179"/>
        </w:trPr>
        <w:tc>
          <w:tcPr>
            <w:tcW w:w="7640" w:type="dxa"/>
            <w:vAlign w:val="bottom"/>
            <w:tcBorders>
              <w:top w:val="single" w:sz="8" w:color="E5E5E5"/>
            </w:tcBorders>
            <w:gridSpan w:val="2"/>
            <w:shd w:val="clear" w:color="auto" w:fill="E5E5E5"/>
          </w:tcPr>
          <w:p>
            <w:pPr>
              <w:ind w:left="120"/>
              <w:spacing w:after="0"/>
              <w:rPr>
                <w:sz w:val="20"/>
                <w:szCs w:val="20"/>
                <w:color w:val="auto"/>
              </w:rPr>
            </w:pPr>
            <w:r>
              <w:rPr>
                <w:rFonts w:ascii="Arial" w:cs="Arial" w:eastAsia="Arial" w:hAnsi="Arial"/>
                <w:sz w:val="10"/>
                <w:szCs w:val="10"/>
                <w:color w:val="auto"/>
              </w:rPr>
              <w:t>Total Restricted cash</w:t>
            </w:r>
          </w:p>
        </w:tc>
        <w:tc>
          <w:tcPr>
            <w:tcW w:w="260" w:type="dxa"/>
            <w:vAlign w:val="bottom"/>
            <w:tcBorders>
              <w:top w:val="single" w:sz="8" w:color="auto"/>
              <w:bottom w:val="single" w:sz="8" w:color="auto"/>
            </w:tcBorders>
            <w:shd w:val="clear" w:color="auto" w:fill="E5E5E5"/>
          </w:tcPr>
          <w:p>
            <w:pPr>
              <w:spacing w:after="0"/>
              <w:rPr>
                <w:sz w:val="15"/>
                <w:szCs w:val="15"/>
                <w:color w:val="auto"/>
              </w:rPr>
            </w:pPr>
          </w:p>
        </w:tc>
        <w:tc>
          <w:tcPr>
            <w:tcW w:w="158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bottom w:val="single" w:sz="8" w:color="auto"/>
            </w:tcBorders>
            <w:shd w:val="clear" w:color="auto" w:fill="E5E5E5"/>
          </w:tcPr>
          <w:p>
            <w:pPr>
              <w:spacing w:after="0"/>
              <w:rPr>
                <w:sz w:val="15"/>
                <w:szCs w:val="15"/>
                <w:color w:val="auto"/>
              </w:rPr>
            </w:pPr>
          </w:p>
        </w:tc>
        <w:tc>
          <w:tcPr>
            <w:tcW w:w="15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64</w:t>
            </w:r>
          </w:p>
        </w:tc>
      </w:tr>
      <w:tr>
        <w:trPr>
          <w:trHeight w:val="170"/>
        </w:trPr>
        <w:tc>
          <w:tcPr>
            <w:tcW w:w="764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cash equivalents and restricted cash</w:t>
            </w:r>
          </w:p>
        </w:tc>
        <w:tc>
          <w:tcPr>
            <w:tcW w:w="260" w:type="dxa"/>
            <w:vAlign w:val="bottom"/>
          </w:tcPr>
          <w:p>
            <w:pPr>
              <w:spacing w:after="0"/>
              <w:rPr>
                <w:sz w:val="14"/>
                <w:szCs w:val="14"/>
                <w:color w:val="auto"/>
              </w:rPr>
            </w:pPr>
          </w:p>
        </w:tc>
        <w:tc>
          <w:tcPr>
            <w:tcW w:w="1580" w:type="dxa"/>
            <w:vAlign w:val="bottom"/>
          </w:tcPr>
          <w:p>
            <w:pPr>
              <w:jc w:val="right"/>
              <w:ind w:right="68"/>
              <w:spacing w:after="0"/>
              <w:rPr>
                <w:sz w:val="20"/>
                <w:szCs w:val="20"/>
                <w:color w:val="auto"/>
              </w:rPr>
            </w:pPr>
            <w:r>
              <w:rPr>
                <w:rFonts w:ascii="Arial" w:cs="Arial" w:eastAsia="Arial" w:hAnsi="Arial"/>
                <w:sz w:val="10"/>
                <w:szCs w:val="10"/>
                <w:color w:val="auto"/>
              </w:rPr>
              <w:t>2,795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Arial" w:cs="Arial" w:eastAsia="Arial" w:hAnsi="Arial"/>
                <w:sz w:val="10"/>
                <w:szCs w:val="10"/>
                <w:color w:val="auto"/>
              </w:rPr>
              <w:t>1,145</w:t>
            </w:r>
          </w:p>
        </w:tc>
      </w:tr>
      <w:tr>
        <w:trPr>
          <w:trHeight w:val="19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Cash, cash equivalents and restricted cash - discontinued operations</w:t>
            </w:r>
          </w:p>
        </w:tc>
        <w:tc>
          <w:tcPr>
            <w:tcW w:w="260" w:type="dxa"/>
            <w:vAlign w:val="bottom"/>
            <w:shd w:val="clear" w:color="auto" w:fill="E5E5E5"/>
          </w:tcPr>
          <w:p>
            <w:pPr>
              <w:spacing w:after="0"/>
              <w:rPr>
                <w:sz w:val="17"/>
                <w:szCs w:val="17"/>
                <w:color w:val="auto"/>
              </w:rPr>
            </w:pPr>
          </w:p>
        </w:tc>
        <w:tc>
          <w:tcPr>
            <w:tcW w:w="170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E5E5E5"/>
          </w:tcPr>
          <w:p>
            <w:pPr>
              <w:spacing w:after="0"/>
              <w:rPr>
                <w:sz w:val="17"/>
                <w:szCs w:val="17"/>
                <w:color w:val="auto"/>
              </w:rPr>
            </w:pPr>
          </w:p>
        </w:tc>
        <w:tc>
          <w:tcPr>
            <w:tcW w:w="15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w:t>
            </w:r>
          </w:p>
        </w:tc>
      </w:tr>
      <w:tr>
        <w:trPr>
          <w:trHeight w:val="174"/>
        </w:trPr>
        <w:tc>
          <w:tcPr>
            <w:tcW w:w="764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cash equivalents and restricted cash - total</w:t>
            </w:r>
          </w:p>
        </w:tc>
        <w:tc>
          <w:tcPr>
            <w:tcW w:w="2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rPr>
              <w:t>$</w:t>
            </w:r>
          </w:p>
        </w:tc>
        <w:tc>
          <w:tcPr>
            <w:tcW w:w="15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2,795</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1,148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was reported in the Condensed Consolidated Balance Sheets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4160" w:type="dxa"/>
            <w:vAlign w:val="bottom"/>
            <w:tcBorders>
              <w:bottom w:val="single" w:sz="8" w:color="auto"/>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December 31, 2018</w:t>
            </w:r>
          </w:p>
        </w:tc>
      </w:tr>
      <w:tr>
        <w:trPr>
          <w:trHeight w:val="179"/>
        </w:trPr>
        <w:tc>
          <w:tcPr>
            <w:tcW w:w="3360" w:type="dxa"/>
            <w:vAlign w:val="bottom"/>
            <w:shd w:val="clear" w:color="auto" w:fill="E5E5E5"/>
          </w:tcPr>
          <w:p>
            <w:pPr>
              <w:ind w:left="20"/>
              <w:spacing w:after="0"/>
              <w:rPr>
                <w:sz w:val="20"/>
                <w:szCs w:val="20"/>
                <w:color w:val="auto"/>
              </w:rPr>
            </w:pPr>
            <w:r>
              <w:rPr>
                <w:rFonts w:ascii="Arial" w:cs="Arial" w:eastAsia="Arial" w:hAnsi="Arial"/>
                <w:sz w:val="10"/>
                <w:szCs w:val="10"/>
                <w:color w:val="auto"/>
              </w:rPr>
              <w:t>Other current assets</w:t>
            </w:r>
          </w:p>
        </w:tc>
        <w:tc>
          <w:tcPr>
            <w:tcW w:w="4560" w:type="dxa"/>
            <w:vAlign w:val="bottom"/>
            <w:gridSpan w:val="3"/>
            <w:shd w:val="clear" w:color="auto" w:fill="E5E5E5"/>
          </w:tcPr>
          <w:p>
            <w:pPr>
              <w:jc w:val="right"/>
              <w:ind w:right="200"/>
              <w:spacing w:after="0"/>
              <w:rPr>
                <w:sz w:val="20"/>
                <w:szCs w:val="20"/>
                <w:color w:val="auto"/>
              </w:rPr>
            </w:pPr>
            <w:r>
              <w:rPr>
                <w:rFonts w:ascii="Arial" w:cs="Arial" w:eastAsia="Arial" w:hAnsi="Arial"/>
                <w:sz w:val="10"/>
                <w:szCs w:val="10"/>
                <w:color w:val="auto"/>
              </w:rPr>
              <w:t>$</w:t>
            </w:r>
          </w:p>
        </w:tc>
        <w:tc>
          <w:tcPr>
            <w:tcW w:w="168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4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w:t>
            </w:r>
          </w:p>
        </w:tc>
      </w:tr>
      <w:tr>
        <w:trPr>
          <w:trHeight w:val="190"/>
        </w:trPr>
        <w:tc>
          <w:tcPr>
            <w:tcW w:w="3360" w:type="dxa"/>
            <w:vAlign w:val="bottom"/>
            <w:tcBorders>
              <w:bottom w:val="single" w:sz="8" w:color="E5E5E5"/>
            </w:tcBorders>
          </w:tcPr>
          <w:p>
            <w:pPr>
              <w:ind w:left="20"/>
              <w:spacing w:after="0"/>
              <w:rPr>
                <w:sz w:val="20"/>
                <w:szCs w:val="20"/>
                <w:color w:val="auto"/>
              </w:rPr>
            </w:pPr>
            <w:r>
              <w:rPr>
                <w:rFonts w:ascii="Arial" w:cs="Arial" w:eastAsia="Arial" w:hAnsi="Arial"/>
                <w:sz w:val="10"/>
                <w:szCs w:val="10"/>
                <w:color w:val="auto"/>
              </w:rPr>
              <w:t>Other long-term assets</w:t>
            </w:r>
          </w:p>
        </w:tc>
        <w:tc>
          <w:tcPr>
            <w:tcW w:w="4160" w:type="dxa"/>
            <w:vAlign w:val="bottom"/>
            <w:tcBorders>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63</w:t>
            </w:r>
          </w:p>
        </w:tc>
      </w:tr>
      <w:tr>
        <w:trPr>
          <w:trHeight w:val="189"/>
        </w:trPr>
        <w:tc>
          <w:tcPr>
            <w:tcW w:w="3360" w:type="dxa"/>
            <w:vAlign w:val="bottom"/>
            <w:shd w:val="clear" w:color="auto" w:fill="E5E5E5"/>
          </w:tcPr>
          <w:p>
            <w:pPr>
              <w:ind w:left="20"/>
              <w:spacing w:after="0"/>
              <w:rPr>
                <w:sz w:val="20"/>
                <w:szCs w:val="20"/>
                <w:color w:val="auto"/>
              </w:rPr>
            </w:pPr>
            <w:r>
              <w:rPr>
                <w:rFonts w:ascii="Arial" w:cs="Arial" w:eastAsia="Arial" w:hAnsi="Arial"/>
                <w:sz w:val="10"/>
                <w:szCs w:val="10"/>
                <w:b w:val="1"/>
                <w:bCs w:val="1"/>
                <w:color w:val="auto"/>
              </w:rPr>
              <w:t>Total Restricted cash</w:t>
            </w:r>
          </w:p>
        </w:tc>
        <w:tc>
          <w:tcPr>
            <w:tcW w:w="4560" w:type="dxa"/>
            <w:vAlign w:val="bottom"/>
            <w:gridSpan w:val="3"/>
            <w:shd w:val="clear" w:color="auto" w:fill="E5E5E5"/>
          </w:tcPr>
          <w:p>
            <w:pPr>
              <w:jc w:val="right"/>
              <w:ind w:right="200"/>
              <w:spacing w:after="0"/>
              <w:rPr>
                <w:sz w:val="20"/>
                <w:szCs w:val="20"/>
                <w:color w:val="auto"/>
              </w:rPr>
            </w:pPr>
            <w:r>
              <w:rPr>
                <w:rFonts w:ascii="Arial" w:cs="Arial" w:eastAsia="Arial" w:hAnsi="Arial"/>
                <w:sz w:val="10"/>
                <w:szCs w:val="10"/>
                <w:color w:val="auto"/>
              </w:rPr>
              <w:t>$</w:t>
            </w:r>
          </w:p>
        </w:tc>
        <w:tc>
          <w:tcPr>
            <w:tcW w:w="1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54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64</w:t>
            </w:r>
          </w:p>
        </w:tc>
      </w:tr>
      <w:tr>
        <w:trPr>
          <w:trHeight w:val="299"/>
        </w:trPr>
        <w:tc>
          <w:tcPr>
            <w:tcW w:w="3360" w:type="dxa"/>
            <w:vAlign w:val="bottom"/>
            <w:tcBorders>
              <w:top w:val="single" w:sz="8" w:color="E5E5E5"/>
            </w:tcBorders>
          </w:tcPr>
          <w:p>
            <w:pPr>
              <w:spacing w:after="0"/>
              <w:rPr>
                <w:sz w:val="24"/>
                <w:szCs w:val="24"/>
                <w:color w:val="auto"/>
              </w:rPr>
            </w:pPr>
          </w:p>
        </w:tc>
        <w:tc>
          <w:tcPr>
            <w:tcW w:w="4160" w:type="dxa"/>
            <w:vAlign w:val="bottom"/>
            <w:tcBorders>
              <w:top w:val="single" w:sz="8" w:color="E5E5E5"/>
            </w:tcBorders>
          </w:tcPr>
          <w:p>
            <w:pPr>
              <w:jc w:val="right"/>
              <w:ind w:right="1664"/>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E5E5E5"/>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E5E5E5"/>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20" w:top="673" w:right="239" w:bottom="1440" w:gutter="0" w:footer="0" w:header="0"/>
        </w:sectPr>
      </w:pPr>
    </w:p>
    <w:bookmarkStart w:id="25" w:name="page26"/>
    <w:bookmarkEnd w:id="25"/>
    <w:p>
      <w:pPr>
        <w:ind w:left="2"/>
        <w:spacing w:after="0"/>
        <w:rPr>
          <w:sz w:val="20"/>
          <w:szCs w:val="20"/>
          <w:color w:val="auto"/>
        </w:rPr>
      </w:pPr>
      <w:r>
        <w:rPr>
          <w:rFonts w:ascii="Arial" w:cs="Arial" w:eastAsia="Arial" w:hAnsi="Arial"/>
          <w:sz w:val="16"/>
          <w:szCs w:val="16"/>
          <w:b w:val="1"/>
          <w:bCs w:val="1"/>
          <w:color w:val="DA2031"/>
        </w:rPr>
        <w:t>Debt and Customer Financing Activities</w:t>
      </w:r>
    </w:p>
    <w:p>
      <w:pPr>
        <w:spacing w:after="0" w:line="91"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summarizes our debt:</w:t>
      </w:r>
    </w:p>
    <w:p>
      <w:pPr>
        <w:spacing w:after="0" w:line="321"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2018</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Principal debt balance</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4,313</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5,281</w:t>
            </w:r>
          </w:p>
        </w:tc>
      </w:tr>
      <w:tr>
        <w:trPr>
          <w:trHeight w:val="190"/>
        </w:trPr>
        <w:tc>
          <w:tcPr>
            <w:tcW w:w="7460" w:type="dxa"/>
            <w:vAlign w:val="bottom"/>
            <w:gridSpan w:val="2"/>
          </w:tcPr>
          <w:p>
            <w:pPr>
              <w:ind w:left="20"/>
              <w:spacing w:after="0"/>
              <w:rPr>
                <w:sz w:val="20"/>
                <w:szCs w:val="20"/>
                <w:color w:val="auto"/>
              </w:rPr>
            </w:pPr>
            <w:r>
              <w:rPr>
                <w:rFonts w:ascii="Arial" w:cs="Arial" w:eastAsia="Arial" w:hAnsi="Arial"/>
                <w:sz w:val="10"/>
                <w:szCs w:val="10"/>
                <w:color w:val="auto"/>
              </w:rPr>
              <w:t>Net unamortized discount</w:t>
            </w:r>
          </w:p>
        </w:tc>
        <w:tc>
          <w:tcPr>
            <w:tcW w:w="3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28"/>
              <w:spacing w:after="0"/>
              <w:rPr>
                <w:sz w:val="20"/>
                <w:szCs w:val="20"/>
                <w:color w:val="auto"/>
              </w:rPr>
            </w:pPr>
            <w:r>
              <w:rPr>
                <w:rFonts w:ascii="Arial" w:cs="Arial" w:eastAsia="Arial" w:hAnsi="Arial"/>
                <w:sz w:val="10"/>
                <w:szCs w:val="10"/>
                <w:color w:val="auto"/>
              </w:rPr>
              <w:t>(25)</w:t>
            </w:r>
          </w:p>
        </w:tc>
      </w:tr>
      <w:tr>
        <w:trPr>
          <w:trHeight w:val="19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Debt issuance costs</w:t>
            </w:r>
          </w:p>
        </w:tc>
        <w:tc>
          <w:tcPr>
            <w:tcW w:w="300" w:type="dxa"/>
            <w:vAlign w:val="bottom"/>
            <w:shd w:val="clear" w:color="auto" w:fill="E5E5E5"/>
          </w:tcPr>
          <w:p>
            <w:pPr>
              <w:spacing w:after="0"/>
              <w:rPr>
                <w:sz w:val="17"/>
                <w:szCs w:val="17"/>
                <w:color w:val="auto"/>
              </w:rPr>
            </w:pPr>
          </w:p>
        </w:tc>
        <w:tc>
          <w:tcPr>
            <w:tcW w:w="166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(25)</w:t>
            </w:r>
          </w:p>
        </w:tc>
      </w:tr>
      <w:tr>
        <w:trPr>
          <w:trHeight w:val="194"/>
        </w:trPr>
        <w:tc>
          <w:tcPr>
            <w:tcW w:w="7460" w:type="dxa"/>
            <w:vAlign w:val="bottom"/>
            <w:gridSpan w:val="2"/>
          </w:tcPr>
          <w:p>
            <w:pPr>
              <w:ind w:left="20"/>
              <w:spacing w:after="0"/>
              <w:rPr>
                <w:sz w:val="20"/>
                <w:szCs w:val="20"/>
                <w:color w:val="auto"/>
              </w:rPr>
            </w:pPr>
            <w:r>
              <w:rPr>
                <w:rFonts w:ascii="Arial" w:cs="Arial" w:eastAsia="Arial" w:hAnsi="Arial"/>
                <w:sz w:val="10"/>
                <w:szCs w:val="10"/>
                <w:color w:val="auto"/>
              </w:rPr>
              <w:t>Fair value adjustments</w:t>
            </w:r>
            <w:r>
              <w:rPr>
                <w:rFonts w:ascii="Arial" w:cs="Arial" w:eastAsia="Arial" w:hAnsi="Arial"/>
                <w:sz w:val="12"/>
                <w:szCs w:val="12"/>
                <w:color w:val="auto"/>
                <w:vertAlign w:val="superscript"/>
              </w:rPr>
              <w:t>(2)</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7460" w:type="dxa"/>
            <w:vAlign w:val="bottom"/>
            <w:gridSpan w:val="2"/>
            <w:shd w:val="clear" w:color="auto" w:fill="E5E5E5"/>
          </w:tcPr>
          <w:p>
            <w:pPr>
              <w:ind w:left="260"/>
              <w:spacing w:after="0"/>
              <w:rPr>
                <w:sz w:val="20"/>
                <w:szCs w:val="20"/>
                <w:color w:val="auto"/>
              </w:rPr>
            </w:pPr>
            <w:r>
              <w:rPr>
                <w:rFonts w:ascii="Arial" w:cs="Arial" w:eastAsia="Arial" w:hAnsi="Arial"/>
                <w:sz w:val="10"/>
                <w:szCs w:val="10"/>
                <w:color w:val="auto"/>
              </w:rPr>
              <w:t>- terminated swaps</w:t>
            </w:r>
          </w:p>
        </w:tc>
        <w:tc>
          <w:tcPr>
            <w:tcW w:w="30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6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w:t>
            </w:r>
          </w:p>
        </w:tc>
      </w:tr>
      <w:tr>
        <w:trPr>
          <w:trHeight w:val="190"/>
        </w:trPr>
        <w:tc>
          <w:tcPr>
            <w:tcW w:w="7460" w:type="dxa"/>
            <w:vAlign w:val="bottom"/>
            <w:tcBorders>
              <w:bottom w:val="single" w:sz="8" w:color="E5E5E5"/>
            </w:tcBorders>
            <w:gridSpan w:val="2"/>
          </w:tcPr>
          <w:p>
            <w:pPr>
              <w:ind w:left="260"/>
              <w:spacing w:after="0"/>
              <w:rPr>
                <w:sz w:val="20"/>
                <w:szCs w:val="20"/>
                <w:color w:val="auto"/>
              </w:rPr>
            </w:pPr>
            <w:r>
              <w:rPr>
                <w:rFonts w:ascii="Arial" w:cs="Arial" w:eastAsia="Arial" w:hAnsi="Arial"/>
                <w:sz w:val="10"/>
                <w:szCs w:val="10"/>
                <w:color w:val="auto"/>
              </w:rPr>
              <w:t>- current swaps</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r>
      <w:tr>
        <w:trPr>
          <w:trHeight w:val="189"/>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Debt</w:t>
            </w: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4,282</w:t>
            </w:r>
          </w:p>
        </w:tc>
        <w:tc>
          <w:tcPr>
            <w:tcW w:w="120" w:type="dxa"/>
            <w:vAlign w:val="bottom"/>
            <w:tcBorders>
              <w:bottom w:val="single" w:sz="8" w:color="E5E5E5"/>
            </w:tcBorders>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5,230</w:t>
            </w:r>
          </w:p>
        </w:tc>
      </w:tr>
      <w:tr>
        <w:trPr>
          <w:trHeight w:val="79"/>
        </w:trPr>
        <w:tc>
          <w:tcPr>
            <w:tcW w:w="7340" w:type="dxa"/>
            <w:vAlign w:val="bottom"/>
          </w:tcPr>
          <w:p>
            <w:pPr>
              <w:spacing w:after="0" w:line="79" w:lineRule="exact"/>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85" w:lineRule="exact"/>
        <w:rPr>
          <w:sz w:val="20"/>
          <w:szCs w:val="20"/>
          <w:color w:val="auto"/>
        </w:rPr>
      </w:pPr>
    </w:p>
    <w:p>
      <w:pPr>
        <w:ind w:left="242" w:hanging="242"/>
        <w:spacing w:after="0"/>
        <w:tabs>
          <w:tab w:leader="none" w:pos="242" w:val="left"/>
        </w:tabs>
        <w:numPr>
          <w:ilvl w:val="0"/>
          <w:numId w:val="2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There were no Notes Payable as of December 31, 2019 and December 31, 2018.</w:t>
      </w:r>
    </w:p>
    <w:p>
      <w:pPr>
        <w:ind w:left="242" w:right="280" w:hanging="242"/>
        <w:spacing w:after="0" w:line="218" w:lineRule="auto"/>
        <w:tabs>
          <w:tab w:leader="none" w:pos="242" w:val="left"/>
        </w:tabs>
        <w:numPr>
          <w:ilvl w:val="0"/>
          <w:numId w:val="2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DA2031"/>
        </w:rPr>
        <w:t>Finance Assets and Related Debt</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represents our total finance assets, net associated with our lease and finance operations:</w:t>
      </w:r>
    </w:p>
    <w:p>
      <w:pPr>
        <w:spacing w:after="0" w:line="165"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2018</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Total finance receivables, net</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3,351</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3,472</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Equipment on operating leases, net</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364</w:t>
            </w:r>
          </w:p>
        </w:tc>
        <w:tc>
          <w:tcPr>
            <w:tcW w:w="1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442</w:t>
            </w:r>
          </w:p>
        </w:tc>
      </w:tr>
      <w:tr>
        <w:trPr>
          <w:trHeight w:val="189"/>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Finance Assets, net</w:t>
            </w:r>
            <w:r>
              <w:rPr>
                <w:rFonts w:ascii="Arial" w:cs="Arial" w:eastAsia="Arial" w:hAnsi="Arial"/>
                <w:sz w:val="12"/>
                <w:szCs w:val="12"/>
                <w:b w:val="1"/>
                <w:bCs w:val="1"/>
                <w:color w:val="auto"/>
                <w:vertAlign w:val="superscript"/>
              </w:rPr>
              <w:t>(2)</w:t>
            </w: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3,715</w:t>
            </w:r>
          </w:p>
        </w:tc>
        <w:tc>
          <w:tcPr>
            <w:tcW w:w="120" w:type="dxa"/>
            <w:vAlign w:val="bottom"/>
            <w:tcBorders>
              <w:bottom w:val="single" w:sz="8" w:color="E5E5E5"/>
            </w:tcBorders>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3,914</w:t>
            </w:r>
          </w:p>
        </w:tc>
      </w:tr>
      <w:tr>
        <w:trPr>
          <w:trHeight w:val="79"/>
        </w:trPr>
        <w:tc>
          <w:tcPr>
            <w:tcW w:w="7340" w:type="dxa"/>
            <w:vAlign w:val="bottom"/>
          </w:tcPr>
          <w:p>
            <w:pPr>
              <w:spacing w:after="0" w:line="79" w:lineRule="exact"/>
              <w:rPr>
                <w:sz w:val="20"/>
                <w:szCs w:val="20"/>
                <w:color w:val="auto"/>
              </w:rPr>
            </w:pPr>
            <w:r>
              <w:rPr>
                <w:rFonts w:ascii="Arial" w:cs="Arial" w:eastAsia="Arial" w:hAnsi="Arial"/>
                <w:sz w:val="8"/>
                <w:szCs w:val="8"/>
                <w:i w:val="1"/>
                <w:iCs w:val="1"/>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55" w:lineRule="exact"/>
        <w:rPr>
          <w:sz w:val="20"/>
          <w:szCs w:val="20"/>
          <w:color w:val="auto"/>
        </w:rPr>
      </w:pPr>
    </w:p>
    <w:p>
      <w:pPr>
        <w:ind w:left="242" w:hanging="242"/>
        <w:spacing w:after="0"/>
        <w:tabs>
          <w:tab w:leader="none" w:pos="242" w:val="left"/>
        </w:tabs>
        <w:numPr>
          <w:ilvl w:val="0"/>
          <w:numId w:val="2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Includes (i) Billed portion of finance receivables, net, (ii) Finance receivables, net and (iii) Finance receivables due after one year, net as included in our Condensed Consolidated Balance Sheets.</w:t>
      </w:r>
    </w:p>
    <w:p>
      <w:pPr>
        <w:ind w:left="242" w:hanging="242"/>
        <w:spacing w:after="0" w:line="198" w:lineRule="auto"/>
        <w:tabs>
          <w:tab w:leader="none" w:pos="242" w:val="left"/>
        </w:tabs>
        <w:numPr>
          <w:ilvl w:val="0"/>
          <w:numId w:val="2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The change from December 31, 2018 includes an increase of $3 million due to currency.</w:t>
      </w:r>
    </w:p>
    <w:p>
      <w:pPr>
        <w:spacing w:after="0" w:line="222" w:lineRule="exact"/>
        <w:rPr>
          <w:sz w:val="20"/>
          <w:szCs w:val="20"/>
          <w:color w:val="auto"/>
        </w:rPr>
      </w:pPr>
    </w:p>
    <w:p>
      <w:pPr>
        <w:ind w:left="2" w:right="220"/>
        <w:spacing w:after="0" w:line="254" w:lineRule="auto"/>
        <w:rPr>
          <w:sz w:val="20"/>
          <w:szCs w:val="20"/>
          <w:color w:val="auto"/>
        </w:rPr>
      </w:pPr>
      <w:r>
        <w:rPr>
          <w:rFonts w:ascii="Arial" w:cs="Arial" w:eastAsia="Arial" w:hAnsi="Arial"/>
          <w:sz w:val="13"/>
          <w:szCs w:val="13"/>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3"/>
          <w:szCs w:val="13"/>
          <w:color w:val="auto"/>
        </w:rPr>
        <w:t>Based on this leverage, the following represents the breakdown of total debt between financing debt and core debt:</w:t>
      </w:r>
    </w:p>
    <w:p>
      <w:pPr>
        <w:spacing w:after="0" w:line="165"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E5E5E5"/>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December 31, 2018</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Finance receivables debt</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2,932</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3,038</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Equipment on operating leases debt</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319</w:t>
            </w:r>
          </w:p>
        </w:tc>
        <w:tc>
          <w:tcPr>
            <w:tcW w:w="1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387</w:t>
            </w:r>
          </w:p>
        </w:tc>
      </w:tr>
      <w:tr>
        <w:trPr>
          <w:trHeight w:val="179"/>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Financing debt</w:t>
            </w:r>
          </w:p>
        </w:tc>
        <w:tc>
          <w:tcPr>
            <w:tcW w:w="300" w:type="dxa"/>
            <w:vAlign w:val="bottom"/>
            <w:shd w:val="clear" w:color="auto" w:fill="E5E5E5"/>
          </w:tcPr>
          <w:p>
            <w:pPr>
              <w:spacing w:after="0"/>
              <w:rPr>
                <w:sz w:val="15"/>
                <w:szCs w:val="15"/>
                <w:color w:val="auto"/>
              </w:rPr>
            </w:pP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3,251</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6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3,425</w:t>
            </w:r>
          </w:p>
        </w:tc>
      </w:tr>
      <w:tr>
        <w:trPr>
          <w:trHeight w:val="190"/>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Core debt</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1,031</w:t>
            </w:r>
          </w:p>
        </w:tc>
        <w:tc>
          <w:tcPr>
            <w:tcW w:w="1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1,805</w:t>
            </w:r>
          </w:p>
        </w:tc>
      </w:tr>
      <w:tr>
        <w:trPr>
          <w:trHeight w:val="189"/>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Debt</w:t>
            </w: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4,282</w:t>
            </w:r>
          </w:p>
        </w:tc>
        <w:tc>
          <w:tcPr>
            <w:tcW w:w="120" w:type="dxa"/>
            <w:vAlign w:val="bottom"/>
            <w:tcBorders>
              <w:bottom w:val="single" w:sz="8" w:color="E5E5E5"/>
            </w:tcBorders>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5,230</w:t>
            </w:r>
          </w:p>
        </w:tc>
      </w:tr>
      <w:tr>
        <w:trPr>
          <w:trHeight w:val="79"/>
        </w:trPr>
        <w:tc>
          <w:tcPr>
            <w:tcW w:w="7340" w:type="dxa"/>
            <w:vAlign w:val="bottom"/>
          </w:tcPr>
          <w:p>
            <w:pPr>
              <w:spacing w:after="0" w:line="79" w:lineRule="exact"/>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14" w:lineRule="exact"/>
        <w:rPr>
          <w:sz w:val="20"/>
          <w:szCs w:val="20"/>
          <w:color w:val="auto"/>
        </w:rPr>
      </w:pPr>
    </w:p>
    <w:p>
      <w:pPr>
        <w:ind w:left="242" w:hanging="242"/>
        <w:spacing w:after="0"/>
        <w:tabs>
          <w:tab w:leader="none" w:pos="242" w:val="left"/>
        </w:tabs>
        <w:numPr>
          <w:ilvl w:val="0"/>
          <w:numId w:val="29"/>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Finance receivables debt is the basis for our calculation of "Cost of financing" expense in the Condensed Consolidated Statements of Income.</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Sales of Accounts Receivable</w:t>
      </w:r>
    </w:p>
    <w:p>
      <w:pPr>
        <w:spacing w:after="0" w:line="20" w:lineRule="exact"/>
        <w:rPr>
          <w:sz w:val="20"/>
          <w:szCs w:val="20"/>
          <w:color w:val="auto"/>
        </w:rPr>
      </w:pPr>
    </w:p>
    <w:p>
      <w:pPr>
        <w:ind w:left="2" w:right="480"/>
        <w:spacing w:after="0" w:line="258" w:lineRule="auto"/>
        <w:rPr>
          <w:sz w:val="20"/>
          <w:szCs w:val="20"/>
          <w:color w:val="auto"/>
        </w:rPr>
      </w:pPr>
      <w:r>
        <w:rPr>
          <w:rFonts w:ascii="Arial" w:cs="Arial" w:eastAsia="Arial" w:hAnsi="Arial"/>
          <w:sz w:val="13"/>
          <w:szCs w:val="13"/>
          <w:color w:val="auto"/>
        </w:rPr>
        <w:t>Accounts receivable sales arrangements may be utilized in the normal course of business as part of our cash and liquidity management. Accounts receivable sold are generally short-term trade receivables with payment due dates of less than 60 days.</w:t>
      </w:r>
    </w:p>
    <w:p>
      <w:pPr>
        <w:spacing w:after="0" w:line="37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82"/>
          </w:cols>
          <w:pgMar w:left="218" w:top="680" w:right="199" w:bottom="1440" w:gutter="0" w:footer="0" w:header="0"/>
        </w:sectPr>
      </w:pPr>
    </w:p>
    <w:bookmarkStart w:id="26" w:name="page27"/>
    <w:bookmarkEnd w:id="26"/>
    <w:p>
      <w:pPr>
        <w:ind w:left="2"/>
        <w:spacing w:after="0"/>
        <w:rPr>
          <w:sz w:val="20"/>
          <w:szCs w:val="20"/>
          <w:color w:val="auto"/>
        </w:rPr>
      </w:pPr>
      <w:r>
        <w:rPr>
          <w:rFonts w:ascii="Arial" w:cs="Arial" w:eastAsia="Arial" w:hAnsi="Arial"/>
          <w:sz w:val="13"/>
          <w:szCs w:val="13"/>
          <w:color w:val="auto"/>
        </w:rPr>
        <w:t>Accounts receivable sales activities were as follows:</w:t>
      </w:r>
    </w:p>
    <w:p>
      <w:pPr>
        <w:spacing w:after="0" w:line="127" w:lineRule="exact"/>
        <w:rPr>
          <w:sz w:val="20"/>
          <w:szCs w:val="20"/>
          <w:color w:val="auto"/>
        </w:rPr>
      </w:pPr>
    </w:p>
    <w:p>
      <w:pPr>
        <w:ind w:left="9542"/>
        <w:spacing w:after="0"/>
        <w:rPr>
          <w:sz w:val="20"/>
          <w:szCs w:val="20"/>
          <w:color w:val="auto"/>
        </w:rPr>
      </w:pPr>
      <w:r>
        <w:rPr>
          <w:rFonts w:ascii="Arial" w:cs="Arial" w:eastAsia="Arial" w:hAnsi="Arial"/>
          <w:sz w:val="10"/>
          <w:szCs w:val="10"/>
          <w:color w:val="auto"/>
        </w:rPr>
        <w:t>Three Months Ended</w:t>
      </w:r>
    </w:p>
    <w:p>
      <w:pPr>
        <w:spacing w:after="0" w:line="2" w:lineRule="exact"/>
        <w:rPr>
          <w:sz w:val="20"/>
          <w:szCs w:val="20"/>
          <w:color w:val="auto"/>
        </w:rPr>
      </w:pPr>
    </w:p>
    <w:p>
      <w:pPr>
        <w:ind w:left="9722"/>
        <w:spacing w:after="0"/>
        <w:rPr>
          <w:sz w:val="20"/>
          <w:szCs w:val="20"/>
          <w:color w:val="auto"/>
        </w:rPr>
      </w:pPr>
      <w:r>
        <w:rPr>
          <w:rFonts w:ascii="Arial" w:cs="Arial" w:eastAsia="Arial" w:hAnsi="Arial"/>
          <w:sz w:val="10"/>
          <w:szCs w:val="1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11430</wp:posOffset>
            </wp:positionV>
            <wp:extent cx="18199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9910" cy="6350"/>
                    </a:xfrm>
                    <a:prstGeom prst="rect">
                      <a:avLst/>
                    </a:prstGeom>
                    <a:noFill/>
                  </pic:spPr>
                </pic:pic>
              </a:graphicData>
            </a:graphic>
          </wp:anchor>
        </w:drawing>
      </w:r>
    </w:p>
    <w:p>
      <w:pPr>
        <w:spacing w:after="0" w:line="69"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color w:val="auto"/>
              </w:rPr>
              <w:t>2018</w:t>
            </w:r>
          </w:p>
        </w:tc>
      </w:tr>
      <w:tr>
        <w:trPr>
          <w:trHeight w:val="179"/>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Accounts receivable sales</w:t>
            </w:r>
            <w:r>
              <w:rPr>
                <w:rFonts w:ascii="Arial" w:cs="Arial" w:eastAsia="Arial" w:hAnsi="Arial"/>
                <w:sz w:val="12"/>
                <w:szCs w:val="12"/>
                <w:color w:val="auto"/>
                <w:vertAlign w:val="superscript"/>
              </w:rPr>
              <w:t>(1)</w:t>
            </w:r>
          </w:p>
        </w:tc>
        <w:tc>
          <w:tcPr>
            <w:tcW w:w="340" w:type="dxa"/>
            <w:vAlign w:val="bottom"/>
            <w:shd w:val="clear" w:color="auto" w:fill="E5E5E5"/>
          </w:tcPr>
          <w:p>
            <w:pPr>
              <w:jc w:val="right"/>
              <w:ind w:right="208"/>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128</w:t>
            </w: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jc w:val="right"/>
              <w:ind w:right="2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108</w:t>
            </w:r>
          </w:p>
        </w:tc>
      </w:tr>
      <w:tr>
        <w:trPr>
          <w:trHeight w:val="190"/>
        </w:trPr>
        <w:tc>
          <w:tcPr>
            <w:tcW w:w="8600" w:type="dxa"/>
            <w:vAlign w:val="bottom"/>
            <w:gridSpan w:val="2"/>
          </w:tcPr>
          <w:p>
            <w:pPr>
              <w:ind w:left="20"/>
              <w:spacing w:after="0"/>
              <w:rPr>
                <w:sz w:val="20"/>
                <w:szCs w:val="20"/>
                <w:color w:val="auto"/>
              </w:rPr>
            </w:pPr>
            <w:r>
              <w:rPr>
                <w:rFonts w:ascii="Arial" w:cs="Arial" w:eastAsia="Arial" w:hAnsi="Arial"/>
                <w:sz w:val="10"/>
                <w:szCs w:val="10"/>
                <w:color w:val="auto"/>
              </w:rPr>
              <w:t>Loss on sales of accounts receivable</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w:t>
            </w:r>
          </w:p>
        </w:tc>
      </w:tr>
      <w:tr>
        <w:trPr>
          <w:trHeight w:val="199"/>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Estimated increase to operating cash flows</w:t>
            </w:r>
            <w:r>
              <w:rPr>
                <w:rFonts w:ascii="Arial" w:cs="Arial" w:eastAsia="Arial" w:hAnsi="Arial"/>
                <w:sz w:val="12"/>
                <w:szCs w:val="12"/>
                <w:color w:val="auto"/>
                <w:vertAlign w:val="superscript"/>
              </w:rPr>
              <w:t>(2)</w:t>
            </w:r>
          </w:p>
        </w:tc>
        <w:tc>
          <w:tcPr>
            <w:tcW w:w="34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67</w:t>
            </w: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36</w:t>
            </w:r>
          </w:p>
        </w:tc>
      </w:tr>
      <w:tr>
        <w:trPr>
          <w:trHeight w:val="92"/>
        </w:trPr>
        <w:tc>
          <w:tcPr>
            <w:tcW w:w="8480" w:type="dxa"/>
            <w:vAlign w:val="bottom"/>
          </w:tcPr>
          <w:p>
            <w:pPr>
              <w:spacing w:after="0"/>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27" w:lineRule="exact"/>
        <w:rPr>
          <w:sz w:val="20"/>
          <w:szCs w:val="20"/>
          <w:color w:val="auto"/>
        </w:rPr>
      </w:pPr>
    </w:p>
    <w:p>
      <w:pPr>
        <w:ind w:left="242" w:right="120" w:hanging="242"/>
        <w:spacing w:after="0" w:line="227" w:lineRule="auto"/>
        <w:tabs>
          <w:tab w:leader="none" w:pos="242" w:val="left"/>
        </w:tabs>
        <w:numPr>
          <w:ilvl w:val="0"/>
          <w:numId w:val="3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ind w:left="242" w:hanging="242"/>
        <w:spacing w:after="0" w:line="198" w:lineRule="auto"/>
        <w:tabs>
          <w:tab w:leader="none" w:pos="242" w:val="left"/>
        </w:tabs>
        <w:numPr>
          <w:ilvl w:val="0"/>
          <w:numId w:val="3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Represents the difference between current and prior period accounts receivable sales adjusted for the effects of currency.</w:t>
      </w:r>
    </w:p>
    <w:p>
      <w:pPr>
        <w:spacing w:after="0" w:line="200" w:lineRule="exact"/>
        <w:rPr>
          <w:sz w:val="20"/>
          <w:szCs w:val="20"/>
          <w:color w:val="auto"/>
        </w:rPr>
      </w:pPr>
    </w:p>
    <w:p>
      <w:pPr>
        <w:spacing w:after="0" w:line="21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82"/>
          </w:cols>
          <w:pgMar w:left="218" w:top="537" w:right="1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DA2031"/>
        </w:rPr>
        <w:t>Corporate Reorganization</w:t>
      </w:r>
    </w:p>
    <w:p>
      <w:pPr>
        <w:spacing w:after="0" w:line="105"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On March 6, 2019, the Xerox Board of Directors approved a reorganization (the “Reorganization”) of the Company's corporate structure into a holding company structure. The Reorganization was subject to the approval of shareholders, which was obtained at the annual shareholders meeting held May 21, 2019.</w:t>
      </w:r>
    </w:p>
    <w:p>
      <w:pPr>
        <w:spacing w:after="0" w:line="67" w:lineRule="exact"/>
        <w:rPr>
          <w:sz w:val="20"/>
          <w:szCs w:val="20"/>
          <w:color w:val="auto"/>
        </w:rPr>
      </w:pPr>
    </w:p>
    <w:p>
      <w:pPr>
        <w:ind w:right="440"/>
        <w:spacing w:after="0" w:line="258" w:lineRule="auto"/>
        <w:rPr>
          <w:sz w:val="20"/>
          <w:szCs w:val="20"/>
          <w:color w:val="auto"/>
        </w:rPr>
      </w:pPr>
      <w:r>
        <w:rPr>
          <w:rFonts w:ascii="Arial" w:cs="Arial" w:eastAsia="Arial" w:hAnsi="Arial"/>
          <w:sz w:val="13"/>
          <w:szCs w:val="13"/>
          <w:color w:val="auto"/>
        </w:rPr>
        <w:t>On July 31, 2019, the Reorganization was completed, pursuant to which Xerox (the predecessor publicly held parent company) became a direct, wholly-owned subsidiary of Xerox Holdings. The business operations, directors and executive officers of the Company did not change as a result of the Reorganization.</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In this Reorganization, shareholders of Xerox became shareholders of Xerox Holdings on a one-for-one basis; maintaining the same number of shares and ownership percentage as held in Xerox immediately prior to the Reorganization. In addition, the individual holder of the shares of Xerox’s Series B Preferred Stock exchanged those shares for the same number of shares of Xerox Holdings Series A Preferred Stock. Each share of Xerox Holdings Series A Preferred Stock has the same designations, rights, powers and preferences, and the same qualifications, limitations and restrictions as the shares of Xerox Series B Preferred Stock, with the addition of certain voting rights. In connection with the Reorganization, Xerox Holdings assumed each of the Xerox stock plans, all unexercised and unexpired options to purchase Xerox common stock and each right to acquire or vest in a share of Xerox common stock, including restricted stock unit awards, performance share awards and deferred stock units that are outstanding under the Xerox stock plans. In addition, Xerox Holdings became a guarantor of Xerox’s existing Credit Facility.</w:t>
      </w:r>
    </w:p>
    <w:p>
      <w:pPr>
        <w:spacing w:after="0" w:line="72" w:lineRule="exact"/>
        <w:rPr>
          <w:sz w:val="20"/>
          <w:szCs w:val="20"/>
          <w:color w:val="auto"/>
        </w:rPr>
      </w:pPr>
    </w:p>
    <w:p>
      <w:pPr>
        <w:ind w:right="460"/>
        <w:spacing w:after="0" w:line="258" w:lineRule="auto"/>
        <w:rPr>
          <w:sz w:val="20"/>
          <w:szCs w:val="20"/>
          <w:color w:val="auto"/>
        </w:rPr>
      </w:pPr>
      <w:r>
        <w:rPr>
          <w:rFonts w:ascii="Arial" w:cs="Arial" w:eastAsia="Arial" w:hAnsi="Arial"/>
          <w:sz w:val="13"/>
          <w:szCs w:val="13"/>
          <w:color w:val="auto"/>
        </w:rPr>
        <w:t>The Reorganization was accounted for as a transaction among entities under common control and is expected to be a tax-free transaction for U.S. federal income tax purposes. Shares of Xerox Holdings common stock trade on the New York Stock Exchange under the ticker symbol “XRX”, formerly used by Xerox.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Shared Services Arrangement with HCL Technologies</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In March 2019, as part of Project Own It, Xerox entered into a shared services arrangement with HCL Technologies ("HCL") pursuant to which we are transitioning certain global administrative and support functions, including, among others, selected information technology and finance functions (excluding accounting), from Xerox to HCL. This transition is expected to take up to 18 months. HCL is expected to make certain up-front and ongoing investments in software, tools and other technology to consolidate, optimize and automate the transferred functions with the goal of providing improved service levels and significant cost savings. The shared services arrangement with HCL includes a total aggregate spending commitment by us of approximately $1.3 billion over the next 7 years (includes approximately $100 million incurred in 2019). However, we can terminate the arrangement at any time at our discretion, subject to payment of termination fees that decline over the term, or for cause. The spending commitment excludes restructuring and related costs we are expected to incur in connection with the transition of the contemplated functions. See Restructuring and Related Costs within the Costs, Expenses and Other Income section. The transfer of employees associated with the HCL arrangement in certain countries was subject to compliance with works council and other employment regulatory requirements in those countries, which delayed the transfer as well as the expected savings from the arrangement.</w:t>
      </w:r>
    </w:p>
    <w:p>
      <w:pPr>
        <w:spacing w:after="0" w:line="75"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During fourth quarter 2019, we incurred net charges of approximately $35 million associated with this arrangement, which only reflects the cost associated with the employees transferred to date. The cost has been allocated to the various functional expense lines in the Condensed Consolidated Income Statement based on an assessment of the nature and amount of the costs incurred for the various transferred functions prior to their transfer to HCL.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Proposed Transaction with HP</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In November 2019, Xerox proposed a business combination transaction with HP Inc. (“HP”) in which HP shareholders would receive $17 per share in cash, and approximately 48% of the pro forma combined company (based on 0.137 Xerox share for each HP share). In January 2020, Xerox obtained $24 billion in financing commitments to support the proposed business combination transaction with HP. HP has rejected the proposal and refused to engage in mutual due diligence or negotiations regarding the proposal. In January 2020, Xerox nominated a slate of directors to HP’s board to be voted on at HP’s 2020 annual meeting of stockholders. Xerox intends to continue to pursue the proposed business combination transaction.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80"/>
          </w:cols>
          <w:pgMar w:left="220" w:top="517" w:right="1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DA2031"/>
        </w:rPr>
        <w:t>Forward-Looking Statements</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the shared services arrangements entered into by us as part of Project Own It; the ultimate outcome of any possible transaction between Xerox Holdings Corporation (“Xerox”) and HP Inc. (“HP”), including the possibility that the parties will not agree to pursue a business combination transaction or that the terms of any definitive agreement will be materially different from those proposed; uncertainties as to whether HP will cooperate with Xerox regarding the proposed transaction; the ultimate result should Xerox determine to commence a proxy contest for election of directors to HP’s board of directors; Xerox’s ability to consummate the proposed transaction with HP; the conditions to the completion of the proposed transaction, including the receipt of any required shareholder approvals and any required regulatory approvals; Xerox’s ability to finance the proposed transaction with HP; Xerox’s indebtedness, including the substantial indebtedness Xerox expects to incur in connection with the proposed transaction with HP and the need to generate sufficient cash flows to service and repay such debt; the possibility that Xerox may be unable to achieve expected synergies and operating efficiencies within the expected time-frames or at all and to successfully integrate HP’s operations with those of Xerox; that such integration may be more difficult, time-consuming or costly than expected;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retention of certain key employees may be difficult; and general economic conditions that are less favorable than expected. Additional risks that may affect Xerox’s operations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40"/>
          </w:cols>
          <w:pgMar w:left="220" w:top="439" w:right="239" w:bottom="1440" w:gutter="0" w:footer="0" w:header="0"/>
        </w:sectPr>
      </w:pPr>
    </w:p>
    <w:bookmarkStart w:id="29" w:name="page30"/>
    <w:bookmarkEnd w:id="29"/>
    <w:p>
      <w:pPr>
        <w:ind w:left="2"/>
        <w:spacing w:after="0"/>
        <w:rPr>
          <w:sz w:val="20"/>
          <w:szCs w:val="20"/>
          <w:color w:val="auto"/>
        </w:rPr>
      </w:pPr>
      <w:r>
        <w:rPr>
          <w:rFonts w:ascii="Arial" w:cs="Arial" w:eastAsia="Arial" w:hAnsi="Arial"/>
          <w:sz w:val="18"/>
          <w:szCs w:val="18"/>
          <w:b w:val="1"/>
          <w:bCs w:val="1"/>
          <w:color w:val="DA2031"/>
        </w:rPr>
        <w:t>Non-GAAP Financial Measures</w:t>
      </w:r>
    </w:p>
    <w:p>
      <w:pPr>
        <w:spacing w:after="0" w:line="182" w:lineRule="exact"/>
        <w:rPr>
          <w:sz w:val="20"/>
          <w:szCs w:val="20"/>
          <w:color w:val="auto"/>
        </w:rPr>
      </w:pPr>
    </w:p>
    <w:p>
      <w:pPr>
        <w:ind w:left="2" w:right="60"/>
        <w:spacing w:after="0" w:line="254" w:lineRule="auto"/>
        <w:rPr>
          <w:sz w:val="20"/>
          <w:szCs w:val="20"/>
          <w:color w:val="auto"/>
        </w:rPr>
      </w:pPr>
      <w:r>
        <w:rPr>
          <w:rFonts w:ascii="Arial" w:cs="Arial" w:eastAsia="Arial" w:hAnsi="Arial"/>
          <w:sz w:val="13"/>
          <w:szCs w:val="13"/>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147" w:lineRule="exact"/>
        <w:rPr>
          <w:sz w:val="20"/>
          <w:szCs w:val="20"/>
          <w:color w:val="auto"/>
        </w:rPr>
      </w:pPr>
    </w:p>
    <w:p>
      <w:pPr>
        <w:ind w:left="2" w:right="300"/>
        <w:spacing w:after="0" w:line="258" w:lineRule="auto"/>
        <w:rPr>
          <w:sz w:val="20"/>
          <w:szCs w:val="20"/>
          <w:color w:val="auto"/>
        </w:rPr>
      </w:pPr>
      <w:r>
        <w:rPr>
          <w:rFonts w:ascii="Arial" w:cs="Arial" w:eastAsia="Arial" w:hAnsi="Arial"/>
          <w:sz w:val="13"/>
          <w:szCs w:val="13"/>
          <w:color w:val="auto"/>
        </w:rPr>
        <w:t xml:space="preserve">A reconciliation of these non-GAAP financial measures to the most directly comparable financial measures calculated and presented in accordance with GAAP are set forth below as well as in the fourth quarter 2019 presentation slides available at </w:t>
      </w:r>
      <w:r>
        <w:rPr>
          <w:rFonts w:ascii="Arial" w:cs="Arial" w:eastAsia="Arial" w:hAnsi="Arial"/>
          <w:sz w:val="13"/>
          <w:szCs w:val="13"/>
          <w:u w:val="single" w:color="auto"/>
          <w:color w:val="auto"/>
        </w:rPr>
        <w:t>www.xerox.com/investor</w:t>
      </w:r>
      <w:r>
        <w:rPr>
          <w:rFonts w:ascii="Arial" w:cs="Arial" w:eastAsia="Arial" w:hAnsi="Arial"/>
          <w:sz w:val="13"/>
          <w:szCs w:val="13"/>
          <w:color w:val="auto"/>
        </w:rPr>
        <w:t>.</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These non-GAAP financial measures should be viewed in addition to, and not as a substitute for, the company’s reported results prepared in accordance with GAAP.</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Adjusted Earnings Measures</w:t>
      </w:r>
    </w:p>
    <w:p>
      <w:pPr>
        <w:spacing w:after="0" w:line="20" w:lineRule="exact"/>
        <w:rPr>
          <w:sz w:val="20"/>
          <w:szCs w:val="20"/>
          <w:color w:val="auto"/>
        </w:rPr>
      </w:pPr>
    </w:p>
    <w:p>
      <w:pPr>
        <w:ind w:left="242" w:hanging="242"/>
        <w:spacing w:after="0"/>
        <w:tabs>
          <w:tab w:leader="none" w:pos="2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Net Income and Earnings per share (EPS)</w:t>
      </w:r>
    </w:p>
    <w:p>
      <w:pPr>
        <w:spacing w:after="0" w:line="5" w:lineRule="exact"/>
        <w:rPr>
          <w:rFonts w:ascii="Arial" w:cs="Arial" w:eastAsia="Arial" w:hAnsi="Arial"/>
          <w:sz w:val="13"/>
          <w:szCs w:val="13"/>
          <w:color w:val="auto"/>
        </w:rPr>
      </w:pPr>
    </w:p>
    <w:p>
      <w:pPr>
        <w:ind w:left="242" w:hanging="242"/>
        <w:spacing w:after="0"/>
        <w:tabs>
          <w:tab w:leader="none" w:pos="2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Effective Tax Rate</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above measures were adjusted for the following items:</w:t>
      </w:r>
    </w:p>
    <w:p>
      <w:pPr>
        <w:spacing w:after="0" w:line="70" w:lineRule="exact"/>
        <w:rPr>
          <w:sz w:val="20"/>
          <w:szCs w:val="20"/>
          <w:color w:val="auto"/>
        </w:rPr>
      </w:pPr>
    </w:p>
    <w:p>
      <w:pPr>
        <w:ind w:left="242" w:hanging="242"/>
        <w:spacing w:after="0" w:line="254"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i w:val="1"/>
          <w:iCs w:val="1"/>
          <w:u w:val="single" w:color="auto"/>
          <w:color w:val="auto"/>
        </w:rPr>
        <w:t>Restructuring and related costs:</w:t>
      </w:r>
      <w:r>
        <w:rPr>
          <w:rFonts w:ascii="Arial" w:cs="Arial" w:eastAsia="Arial" w:hAnsi="Arial"/>
          <w:sz w:val="13"/>
          <w:szCs w:val="13"/>
          <w:i w:val="1"/>
          <w:iCs w:val="1"/>
          <w:color w:val="auto"/>
        </w:rPr>
        <w:t xml:space="preserve"> </w:t>
      </w:r>
      <w:r>
        <w:rPr>
          <w:rFonts w:ascii="Arial" w:cs="Arial" w:eastAsia="Arial" w:hAnsi="Arial"/>
          <w:sz w:val="13"/>
          <w:szCs w:val="13"/>
          <w:color w:val="auto"/>
        </w:rPr>
        <w:t>Restructuring and related costs include restructuring and asset impairment charges as well as costs associated with our transformation programs beyond those</w:t>
      </w:r>
      <w:r>
        <w:rPr>
          <w:rFonts w:ascii="Arial" w:cs="Arial" w:eastAsia="Arial" w:hAnsi="Arial"/>
          <w:sz w:val="13"/>
          <w:szCs w:val="13"/>
          <w:i w:val="1"/>
          <w:iCs w:val="1"/>
          <w:color w:val="auto"/>
        </w:rPr>
        <w:t xml:space="preserve"> </w:t>
      </w:r>
      <w:r>
        <w:rPr>
          <w:rFonts w:ascii="Arial" w:cs="Arial" w:eastAsia="Arial" w:hAnsi="Arial"/>
          <w:sz w:val="13"/>
          <w:szCs w:val="13"/>
          <w:color w:val="auto"/>
        </w:rPr>
        <w:t>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58" w:lineRule="exact"/>
        <w:rPr>
          <w:rFonts w:ascii="Arial" w:cs="Arial" w:eastAsia="Arial" w:hAnsi="Arial"/>
          <w:sz w:val="13"/>
          <w:szCs w:val="13"/>
          <w:color w:val="auto"/>
        </w:rPr>
      </w:pPr>
    </w:p>
    <w:p>
      <w:pPr>
        <w:ind w:left="242" w:right="300" w:hanging="242"/>
        <w:spacing w:after="0" w:line="265"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i w:val="1"/>
          <w:iCs w:val="1"/>
          <w:u w:val="single" w:color="auto"/>
          <w:color w:val="auto"/>
        </w:rPr>
        <w:t>Amortization of intangible assets</w:t>
      </w:r>
      <w:r>
        <w:rPr>
          <w:rFonts w:ascii="Arial" w:cs="Arial" w:eastAsia="Arial" w:hAnsi="Arial"/>
          <w:sz w:val="13"/>
          <w:szCs w:val="13"/>
          <w:u w:val="single" w:color="auto"/>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The amortization of intangible assets is driven by our acquisition activity which can vary in size, nature and timing as compared to other companies within our</w:t>
      </w:r>
      <w:r>
        <w:rPr>
          <w:rFonts w:ascii="Arial" w:cs="Arial" w:eastAsia="Arial" w:hAnsi="Arial"/>
          <w:sz w:val="13"/>
          <w:szCs w:val="13"/>
          <w:i w:val="1"/>
          <w:iCs w:val="1"/>
          <w:color w:val="auto"/>
        </w:rPr>
        <w:t xml:space="preserve"> </w:t>
      </w:r>
      <w:r>
        <w:rPr>
          <w:rFonts w:ascii="Arial" w:cs="Arial" w:eastAsia="Arial" w:hAnsi="Arial"/>
          <w:sz w:val="13"/>
          <w:szCs w:val="13"/>
          <w:color w:val="auto"/>
        </w:rPr>
        <w:t>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48" w:lineRule="exact"/>
        <w:rPr>
          <w:rFonts w:ascii="Arial" w:cs="Arial" w:eastAsia="Arial" w:hAnsi="Arial"/>
          <w:sz w:val="13"/>
          <w:szCs w:val="13"/>
          <w:color w:val="auto"/>
        </w:rPr>
      </w:pPr>
    </w:p>
    <w:p>
      <w:pPr>
        <w:ind w:left="242" w:right="100" w:hanging="242"/>
        <w:spacing w:after="0" w:line="257"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i w:val="1"/>
          <w:iCs w:val="1"/>
          <w:u w:val="single" w:color="auto"/>
          <w:color w:val="auto"/>
        </w:rPr>
        <w:t>Transaction and related costs, net:</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 and related costs, net are expenses incurred in connection with i) our announced proposal to acquire HP Inc. and ii) our planned transaction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Fuji, which was terminated in May 2018, inclusive of costs related to litigation resulting from the terminated transaction and other shareholder actions. The costs are primarily for third-party legal, accounting, consulting and other similar type professional services as well as potential legal settlements. These costs are considered incremental to our normal operating charges and were incurred or are expected to be incurred solely as a result of the planned transactions. Accordingly, we are excluding these expenses from our Adjusted Earnings Measures in order to evaluate our performance on a comparable basis.</w:t>
      </w:r>
    </w:p>
    <w:p>
      <w:pPr>
        <w:spacing w:after="0" w:line="54" w:lineRule="exact"/>
        <w:rPr>
          <w:rFonts w:ascii="Arial" w:cs="Arial" w:eastAsia="Arial" w:hAnsi="Arial"/>
          <w:sz w:val="13"/>
          <w:szCs w:val="13"/>
          <w:color w:val="auto"/>
        </w:rPr>
      </w:pPr>
    </w:p>
    <w:p>
      <w:pPr>
        <w:ind w:left="242" w:hanging="242"/>
        <w:spacing w:after="0" w:line="255"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i w:val="1"/>
          <w:iCs w:val="1"/>
          <w:u w:val="single" w:color="auto"/>
          <w:color w:val="auto"/>
        </w:rPr>
        <w:t>Non-service retirement-related costs:</w:t>
      </w:r>
      <w:r>
        <w:rPr>
          <w:rFonts w:ascii="Arial" w:cs="Arial" w:eastAsia="Arial" w:hAnsi="Arial"/>
          <w:sz w:val="13"/>
          <w:szCs w:val="13"/>
          <w:i w:val="1"/>
          <w:iCs w:val="1"/>
          <w:color w:val="auto"/>
        </w:rPr>
        <w:t xml:space="preserve"> </w:t>
      </w:r>
      <w:r>
        <w:rPr>
          <w:rFonts w:ascii="Arial" w:cs="Arial" w:eastAsia="Arial" w:hAnsi="Arial"/>
          <w:sz w:val="13"/>
          <w:szCs w:val="13"/>
          <w:color w:val="auto"/>
        </w:rPr>
        <w:t>Our defined benefit pension and retiree health costs include several elements impacted by changes in plan assets and obligations that are primarily driven by</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149"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42"/>
          </w:cols>
          <w:pgMar w:left="218" w:top="643" w:right="239" w:bottom="1440" w:gutter="0" w:footer="0" w:header="0"/>
        </w:sectPr>
      </w:pPr>
    </w:p>
    <w:bookmarkStart w:id="30" w:name="page31"/>
    <w:bookmarkEnd w:id="30"/>
    <w:p>
      <w:pPr>
        <w:ind w:left="242" w:hanging="242"/>
        <w:spacing w:after="0"/>
        <w:tabs>
          <w:tab w:leader="none" w:pos="242" w:val="left"/>
        </w:tabs>
        <w:numPr>
          <w:ilvl w:val="0"/>
          <w:numId w:val="33"/>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discrete, unusual or infrequent items:</w:t>
      </w:r>
      <w:r>
        <w:rPr>
          <w:rFonts w:ascii="Arial" w:cs="Arial" w:eastAsia="Arial" w:hAnsi="Arial"/>
          <w:sz w:val="13"/>
          <w:szCs w:val="13"/>
          <w:i w:val="1"/>
          <w:iCs w:val="1"/>
          <w:color w:val="auto"/>
        </w:rPr>
        <w:t xml:space="preserve"> </w:t>
      </w:r>
      <w:r>
        <w:rPr>
          <w:rFonts w:ascii="Arial" w:cs="Arial" w:eastAsia="Arial" w:hAnsi="Arial"/>
          <w:sz w:val="13"/>
          <w:szCs w:val="13"/>
          <w:color w:val="auto"/>
        </w:rPr>
        <w:t>We excluded the following items given their discrete, unusual or infrequent nature and their impact on our results for the period.</w:t>
      </w:r>
    </w:p>
    <w:p>
      <w:pPr>
        <w:spacing w:after="0" w:line="19" w:lineRule="exact"/>
        <w:rPr>
          <w:rFonts w:ascii="Arial" w:cs="Arial" w:eastAsia="Arial" w:hAnsi="Arial"/>
          <w:sz w:val="13"/>
          <w:szCs w:val="13"/>
          <w:color w:val="auto"/>
        </w:rPr>
      </w:pPr>
    </w:p>
    <w:p>
      <w:pPr>
        <w:ind w:left="702" w:hanging="236"/>
        <w:spacing w:after="0"/>
        <w:tabs>
          <w:tab w:leader="none" w:pos="702" w:val="left"/>
        </w:tabs>
        <w:numPr>
          <w:ilvl w:val="1"/>
          <w:numId w:val="33"/>
        </w:numPr>
        <w:rPr>
          <w:rFonts w:ascii="Arial" w:cs="Arial" w:eastAsia="Arial" w:hAnsi="Arial"/>
          <w:sz w:val="13"/>
          <w:szCs w:val="13"/>
          <w:color w:val="auto"/>
        </w:rPr>
      </w:pPr>
      <w:r>
        <w:rPr>
          <w:rFonts w:ascii="Arial" w:cs="Arial" w:eastAsia="Arial" w:hAnsi="Arial"/>
          <w:sz w:val="13"/>
          <w:szCs w:val="13"/>
          <w:color w:val="auto"/>
        </w:rPr>
        <w:t>Contract termination costs - IT services.</w:t>
      </w:r>
    </w:p>
    <w:p>
      <w:pPr>
        <w:spacing w:after="0" w:line="5" w:lineRule="exact"/>
        <w:rPr>
          <w:rFonts w:ascii="Arial" w:cs="Arial" w:eastAsia="Arial" w:hAnsi="Arial"/>
          <w:sz w:val="13"/>
          <w:szCs w:val="13"/>
          <w:color w:val="auto"/>
        </w:rPr>
      </w:pPr>
    </w:p>
    <w:p>
      <w:pPr>
        <w:ind w:left="702" w:hanging="236"/>
        <w:spacing w:after="0"/>
        <w:tabs>
          <w:tab w:leader="none" w:pos="702" w:val="left"/>
        </w:tabs>
        <w:numPr>
          <w:ilvl w:val="1"/>
          <w:numId w:val="33"/>
        </w:numPr>
        <w:rPr>
          <w:rFonts w:ascii="Arial" w:cs="Arial" w:eastAsia="Arial" w:hAnsi="Arial"/>
          <w:sz w:val="13"/>
          <w:szCs w:val="13"/>
          <w:color w:val="auto"/>
        </w:rPr>
      </w:pPr>
      <w:r>
        <w:rPr>
          <w:rFonts w:ascii="Arial" w:cs="Arial" w:eastAsia="Arial" w:hAnsi="Arial"/>
          <w:sz w:val="13"/>
          <w:szCs w:val="13"/>
          <w:color w:val="auto"/>
        </w:rPr>
        <w:t>Impacts associated with the Tax Cuts and Jobs Act (the "Tax Act") enacted in December 2017.</w:t>
      </w:r>
    </w:p>
    <w:p>
      <w:pPr>
        <w:spacing w:after="0" w:line="84" w:lineRule="exact"/>
        <w:rPr>
          <w:sz w:val="20"/>
          <w:szCs w:val="20"/>
          <w:color w:val="auto"/>
        </w:rPr>
      </w:pPr>
    </w:p>
    <w:p>
      <w:pPr>
        <w:ind w:left="2" w:right="680"/>
        <w:spacing w:after="0" w:line="343" w:lineRule="auto"/>
        <w:rPr>
          <w:sz w:val="20"/>
          <w:szCs w:val="20"/>
          <w:color w:val="auto"/>
        </w:rPr>
      </w:pPr>
      <w:r>
        <w:rPr>
          <w:rFonts w:ascii="Arial" w:cs="Arial" w:eastAsia="Arial" w:hAnsi="Arial"/>
          <w:sz w:val="13"/>
          <w:szCs w:val="13"/>
          <w:color w:val="auto"/>
        </w:rPr>
        <w:t xml:space="preserve">We believe the exclusion of these items allows investors to better understand and analyze the results for the period as compared to prior periods and expected future trends in our business. </w:t>
      </w:r>
      <w:r>
        <w:rPr>
          <w:rFonts w:ascii="Arial" w:cs="Arial" w:eastAsia="Arial" w:hAnsi="Arial"/>
          <w:sz w:val="13"/>
          <w:szCs w:val="13"/>
          <w:i w:val="1"/>
          <w:iCs w:val="1"/>
          <w:u w:val="single" w:color="auto"/>
          <w:color w:val="auto"/>
        </w:rPr>
        <w:t>Adjusted Operating Income/Margin</w:t>
      </w:r>
    </w:p>
    <w:p>
      <w:pPr>
        <w:ind w:left="2" w:right="20"/>
        <w:spacing w:after="0" w:line="252" w:lineRule="auto"/>
        <w:rPr>
          <w:sz w:val="20"/>
          <w:szCs w:val="20"/>
          <w:color w:val="auto"/>
        </w:rPr>
      </w:pPr>
      <w:r>
        <w:rPr>
          <w:rFonts w:ascii="Arial" w:cs="Arial" w:eastAsia="Arial" w:hAnsi="Arial"/>
          <w:sz w:val="13"/>
          <w:szCs w:val="13"/>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Constant Currency</w:t>
      </w:r>
    </w:p>
    <w:p>
      <w:pPr>
        <w:spacing w:after="0" w:line="20" w:lineRule="exact"/>
        <w:rPr>
          <w:sz w:val="20"/>
          <w:szCs w:val="20"/>
          <w:color w:val="auto"/>
        </w:rPr>
      </w:pPr>
    </w:p>
    <w:p>
      <w:pPr>
        <w:ind w:left="2"/>
        <w:spacing w:after="0" w:line="252" w:lineRule="auto"/>
        <w:rPr>
          <w:sz w:val="20"/>
          <w:szCs w:val="20"/>
          <w:color w:val="auto"/>
        </w:rPr>
      </w:pPr>
      <w:r>
        <w:rPr>
          <w:rFonts w:ascii="Arial" w:cs="Arial" w:eastAsia="Arial" w:hAnsi="Arial"/>
          <w:sz w:val="13"/>
          <w:szCs w:val="13"/>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Free Cash Flow</w:t>
      </w:r>
    </w:p>
    <w:p>
      <w:pPr>
        <w:spacing w:after="0" w:line="20" w:lineRule="exact"/>
        <w:rPr>
          <w:sz w:val="20"/>
          <w:szCs w:val="20"/>
          <w:color w:val="auto"/>
        </w:rPr>
      </w:pPr>
    </w:p>
    <w:p>
      <w:pPr>
        <w:ind w:left="2" w:right="60"/>
        <w:spacing w:after="0" w:line="254" w:lineRule="auto"/>
        <w:rPr>
          <w:sz w:val="20"/>
          <w:szCs w:val="20"/>
          <w:color w:val="auto"/>
        </w:rPr>
      </w:pPr>
      <w:r>
        <w:rPr>
          <w:rFonts w:ascii="Arial" w:cs="Arial" w:eastAsia="Arial" w:hAnsi="Arial"/>
          <w:sz w:val="13"/>
          <w:szCs w:val="13"/>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3"/>
          <w:szCs w:val="13"/>
          <w:b w:val="1"/>
          <w:bCs w:val="1"/>
          <w:u w:val="single" w:color="auto"/>
          <w:color w:val="auto"/>
        </w:rPr>
        <w:t>Summary:</w:t>
      </w:r>
    </w:p>
    <w:p>
      <w:pPr>
        <w:spacing w:after="0" w:line="22" w:lineRule="exact"/>
        <w:rPr>
          <w:sz w:val="20"/>
          <w:szCs w:val="20"/>
          <w:color w:val="auto"/>
        </w:rPr>
      </w:pPr>
    </w:p>
    <w:p>
      <w:pPr>
        <w:ind w:left="2" w:right="20"/>
        <w:spacing w:after="0" w:line="251" w:lineRule="auto"/>
        <w:rPr>
          <w:sz w:val="20"/>
          <w:szCs w:val="20"/>
          <w:color w:val="auto"/>
        </w:rPr>
      </w:pPr>
      <w:r>
        <w:rPr>
          <w:rFonts w:ascii="Arial" w:cs="Arial" w:eastAsia="Arial" w:hAnsi="Arial"/>
          <w:sz w:val="13"/>
          <w:szCs w:val="13"/>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72" w:lineRule="exact"/>
        <w:rPr>
          <w:sz w:val="20"/>
          <w:szCs w:val="20"/>
          <w:color w:val="auto"/>
        </w:rPr>
      </w:pPr>
    </w:p>
    <w:p>
      <w:pPr>
        <w:ind w:left="2"/>
        <w:spacing w:after="0"/>
        <w:rPr>
          <w:sz w:val="20"/>
          <w:szCs w:val="20"/>
          <w:color w:val="auto"/>
        </w:rPr>
      </w:pPr>
      <w:r>
        <w:rPr>
          <w:rFonts w:ascii="Arial" w:cs="Arial" w:eastAsia="Arial" w:hAnsi="Arial"/>
          <w:sz w:val="13"/>
          <w:szCs w:val="13"/>
          <w:color w:val="auto"/>
        </w:rPr>
        <w:t>A reconciliation of these non-GAAP financial measures and the most directly comparable measures calculated and presented in accordance with GAAP are set forth on the following tables: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62"/>
          </w:cols>
          <w:pgMar w:left="218" w:top="756" w:right="219" w:bottom="1440" w:gutter="0" w:footer="0" w:header="0"/>
        </w:sectPr>
      </w:pPr>
    </w:p>
    <w:bookmarkStart w:id="31" w:name="page32"/>
    <w:bookmarkEnd w:id="31"/>
    <w:p>
      <w:pPr>
        <w:ind w:left="2"/>
        <w:spacing w:after="0"/>
        <w:rPr>
          <w:sz w:val="20"/>
          <w:szCs w:val="20"/>
          <w:color w:val="auto"/>
        </w:rPr>
      </w:pPr>
      <w:r>
        <w:rPr>
          <w:rFonts w:ascii="Arial" w:cs="Arial" w:eastAsia="Arial" w:hAnsi="Arial"/>
          <w:sz w:val="13"/>
          <w:szCs w:val="13"/>
          <w:i w:val="1"/>
          <w:iCs w:val="1"/>
          <w:u w:val="single" w:color="auto"/>
          <w:color w:val="auto"/>
        </w:rPr>
        <w:t>Net Income and EPS reconciliation</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tcPr>
          <w:p>
            <w:pPr>
              <w:jc w:val="right"/>
              <w:ind w:right="68"/>
              <w:spacing w:after="0"/>
              <w:rPr>
                <w:sz w:val="20"/>
                <w:szCs w:val="20"/>
                <w:color w:val="auto"/>
              </w:rPr>
            </w:pPr>
            <w:r>
              <w:rPr>
                <w:rFonts w:ascii="Arial" w:cs="Arial" w:eastAsia="Arial" w:hAnsi="Arial"/>
                <w:sz w:val="10"/>
                <w:szCs w:val="10"/>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ind w:right="188"/>
              <w:spacing w:after="0"/>
              <w:rPr>
                <w:sz w:val="20"/>
                <w:szCs w:val="20"/>
                <w:color w:val="auto"/>
              </w:rPr>
            </w:pPr>
            <w:r>
              <w:rPr>
                <w:rFonts w:ascii="Arial" w:cs="Arial" w:eastAsia="Arial" w:hAnsi="Arial"/>
                <w:sz w:val="10"/>
                <w:szCs w:val="10"/>
                <w:color w:val="auto"/>
              </w:rPr>
              <w:t>Year Ended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8"/>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0"/>
                <w:szCs w:val="10"/>
                <w:color w:val="auto"/>
              </w:rPr>
              <w:t>December 31,</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0"/>
                <w:szCs w:val="10"/>
                <w:color w:val="auto"/>
              </w:rPr>
              <w:t>December 31,</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84"/>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0"/>
                <w:szCs w:val="10"/>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0"/>
                <w:szCs w:val="10"/>
                <w:color w:val="auto"/>
              </w:rPr>
              <w:t>2018</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0"/>
                <w:szCs w:val="10"/>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0"/>
                <w:szCs w:val="10"/>
                <w:color w:val="auto"/>
                <w:w w:val="98"/>
              </w:rPr>
              <w:t>2018</w:t>
            </w:r>
          </w:p>
        </w:tc>
        <w:tc>
          <w:tcPr>
            <w:tcW w:w="700" w:type="dxa"/>
            <w:vAlign w:val="bottom"/>
            <w:tcBorders>
              <w:bottom w:val="single" w:sz="8" w:color="auto"/>
            </w:tcBorders>
          </w:tcPr>
          <w:p>
            <w:pPr>
              <w:spacing w:after="0"/>
              <w:rPr>
                <w:sz w:val="16"/>
                <w:szCs w:val="16"/>
                <w:color w:val="auto"/>
              </w:rPr>
            </w:pPr>
          </w:p>
        </w:tc>
      </w:tr>
      <w:tr>
        <w:trPr>
          <w:trHeight w:val="18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 share amounts)</w:t>
            </w: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Net Income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EPS</w:t>
            </w: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0"/>
                <w:szCs w:val="10"/>
                <w:color w:val="auto"/>
              </w:rPr>
              <w:t>Net Income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EPS</w:t>
            </w: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Net Income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rPr>
              <w:t>EPS</w:t>
            </w:r>
          </w:p>
        </w:tc>
        <w:tc>
          <w:tcPr>
            <w:tcW w:w="120" w:type="dxa"/>
            <w:vAlign w:val="bottom"/>
            <w:tcBorders>
              <w:bottom w:val="single" w:sz="8" w:color="E5E5E5"/>
            </w:tcBorders>
          </w:tcPr>
          <w:p>
            <w:pPr>
              <w:spacing w:after="0"/>
              <w:rPr>
                <w:sz w:val="16"/>
                <w:szCs w:val="16"/>
                <w:color w:val="auto"/>
              </w:rPr>
            </w:pPr>
          </w:p>
        </w:tc>
        <w:tc>
          <w:tcPr>
            <w:tcW w:w="8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Net Income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EPS</w:t>
            </w:r>
          </w:p>
        </w:tc>
      </w:tr>
      <w:tr>
        <w:trPr>
          <w:trHeight w:val="179"/>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140" w:type="dxa"/>
            <w:vAlign w:val="bottom"/>
            <w:shd w:val="clear" w:color="auto" w:fill="E5E5E5"/>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266</w:t>
            </w:r>
          </w:p>
        </w:tc>
        <w:tc>
          <w:tcPr>
            <w:tcW w:w="400" w:type="dxa"/>
            <w:vAlign w:val="bottom"/>
            <w:gridSpan w:val="3"/>
            <w:shd w:val="clear" w:color="auto" w:fill="E5E5E5"/>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1.17</w:t>
            </w: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jc w:val="right"/>
              <w:ind w:right="408"/>
              <w:spacing w:after="0"/>
              <w:rPr>
                <w:sz w:val="20"/>
                <w:szCs w:val="20"/>
                <w:color w:val="auto"/>
              </w:rPr>
            </w:pPr>
            <w:r>
              <w:rPr>
                <w:rFonts w:ascii="Arial" w:cs="Arial" w:eastAsia="Arial" w:hAnsi="Arial"/>
                <w:sz w:val="10"/>
                <w:szCs w:val="10"/>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91</w:t>
            </w:r>
          </w:p>
        </w:tc>
        <w:tc>
          <w:tcPr>
            <w:tcW w:w="400" w:type="dxa"/>
            <w:vAlign w:val="bottom"/>
            <w:gridSpan w:val="3"/>
            <w:shd w:val="clear" w:color="auto" w:fill="E5E5E5"/>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0.37</w:t>
            </w: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648</w:t>
            </w:r>
          </w:p>
        </w:tc>
        <w:tc>
          <w:tcPr>
            <w:tcW w:w="400" w:type="dxa"/>
            <w:vAlign w:val="bottom"/>
            <w:gridSpan w:val="3"/>
            <w:shd w:val="clear" w:color="auto" w:fill="E5E5E5"/>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2.78</w:t>
            </w: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288"/>
              <w:spacing w:after="0"/>
              <w:rPr>
                <w:sz w:val="20"/>
                <w:szCs w:val="20"/>
                <w:color w:val="auto"/>
              </w:rPr>
            </w:pPr>
            <w:r>
              <w:rPr>
                <w:rFonts w:ascii="Arial" w:cs="Arial" w:eastAsia="Arial" w:hAnsi="Arial"/>
                <w:sz w:val="10"/>
                <w:szCs w:val="10"/>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306</w:t>
            </w:r>
          </w:p>
        </w:tc>
        <w:tc>
          <w:tcPr>
            <w:tcW w:w="380" w:type="dxa"/>
            <w:vAlign w:val="bottom"/>
            <w:gridSpan w:val="3"/>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1.16</w:t>
            </w:r>
          </w:p>
        </w:tc>
      </w:tr>
      <w:tr>
        <w:trPr>
          <w:trHeight w:val="190"/>
        </w:trPr>
        <w:tc>
          <w:tcPr>
            <w:tcW w:w="332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53</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67</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229</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157</w:t>
            </w: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r>
      <w:tr>
        <w:trPr>
          <w:trHeight w:val="190"/>
        </w:trPr>
        <w:tc>
          <w:tcPr>
            <w:tcW w:w="332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Transaction and related costs, net</w:t>
            </w: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12</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68</w:t>
            </w: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r>
      <w:tr>
        <w:trPr>
          <w:trHeight w:val="190"/>
        </w:trPr>
        <w:tc>
          <w:tcPr>
            <w:tcW w:w="3320" w:type="dxa"/>
            <w:vAlign w:val="bottom"/>
            <w:gridSpan w:val="2"/>
          </w:tcPr>
          <w:p>
            <w:pPr>
              <w:ind w:left="20"/>
              <w:spacing w:after="0"/>
              <w:rPr>
                <w:sz w:val="20"/>
                <w:szCs w:val="20"/>
                <w:color w:val="auto"/>
              </w:rPr>
            </w:pPr>
            <w:r>
              <w:rPr>
                <w:rFonts w:ascii="Arial" w:cs="Arial" w:eastAsia="Arial" w:hAnsi="Arial"/>
                <w:sz w:val="10"/>
                <w:szCs w:val="10"/>
                <w:color w:val="auto"/>
              </w:rPr>
              <w:t>Non-service retirement-related costs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Contract termination costs - IT services</w:t>
            </w: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43</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(12)</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43</w:t>
            </w: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0"/>
                <w:szCs w:val="10"/>
                <w:color w:val="auto"/>
              </w:rPr>
              <w:t>Income tax on adjustments</w:t>
            </w:r>
            <w:r>
              <w:rPr>
                <w:rFonts w:ascii="Arial" w:cs="Arial" w:eastAsia="Arial" w:hAnsi="Arial"/>
                <w:sz w:val="12"/>
                <w:szCs w:val="12"/>
                <w:color w:val="auto"/>
                <w:vertAlign w:val="superscript"/>
              </w:rPr>
              <w:t>(2)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14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auto"/>
            </w:tcBorders>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auto"/>
            </w:tcBorders>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(35)</w:t>
            </w:r>
          </w:p>
        </w:tc>
        <w:tc>
          <w:tcPr>
            <w:tcW w:w="80" w:type="dxa"/>
            <w:vAlign w:val="bottom"/>
            <w:tcBorders>
              <w:bottom w:val="single" w:sz="8" w:color="auto"/>
            </w:tcBorders>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Borders>
              <w:bottom w:val="single" w:sz="8" w:color="auto"/>
            </w:tcBorders>
            <w:shd w:val="clear" w:color="auto" w:fill="E5E5E5"/>
          </w:tcPr>
          <w:p>
            <w:pPr>
              <w:spacing w:after="0"/>
              <w:rPr>
                <w:sz w:val="16"/>
                <w:szCs w:val="16"/>
                <w:color w:val="auto"/>
              </w:rPr>
            </w:pPr>
          </w:p>
        </w:tc>
        <w:tc>
          <w:tcPr>
            <w:tcW w:w="700" w:type="dxa"/>
            <w:vAlign w:val="bottom"/>
            <w:tcBorders>
              <w:bottom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89</w:t>
            </w:r>
          </w:p>
        </w:tc>
        <w:tc>
          <w:tcPr>
            <w:tcW w:w="60" w:type="dxa"/>
            <w:vAlign w:val="bottom"/>
            <w:tcBorders>
              <w:bottom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700" w:type="dxa"/>
            <w:vAlign w:val="bottom"/>
            <w:tcBorders>
              <w:bottom w:val="single" w:sz="8" w:color="auto"/>
            </w:tcBorders>
            <w:shd w:val="clear" w:color="auto" w:fill="E5E5E5"/>
          </w:tcPr>
          <w:p>
            <w:pPr>
              <w:spacing w:after="0"/>
              <w:rPr>
                <w:sz w:val="16"/>
                <w:szCs w:val="16"/>
                <w:color w:val="auto"/>
              </w:rPr>
            </w:pPr>
          </w:p>
        </w:tc>
      </w:tr>
      <w:tr>
        <w:trPr>
          <w:trHeight w:val="174"/>
        </w:trPr>
        <w:tc>
          <w:tcPr>
            <w:tcW w:w="33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Adjusted</w:t>
            </w:r>
          </w:p>
        </w:tc>
        <w:tc>
          <w:tcPr>
            <w:tcW w:w="14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1.33</w:t>
            </w:r>
          </w:p>
        </w:tc>
        <w:tc>
          <w:tcPr>
            <w:tcW w:w="100" w:type="dxa"/>
            <w:vAlign w:val="bottom"/>
            <w:tcBorders>
              <w:bottom w:val="single" w:sz="8" w:color="E5E5E5"/>
            </w:tcBorders>
          </w:tcPr>
          <w:p>
            <w:pPr>
              <w:spacing w:after="0"/>
              <w:rPr>
                <w:sz w:val="15"/>
                <w:szCs w:val="15"/>
                <w:color w:val="auto"/>
              </w:rPr>
            </w:pPr>
          </w:p>
        </w:tc>
        <w:tc>
          <w:tcPr>
            <w:tcW w:w="54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0.94</w:t>
            </w:r>
          </w:p>
        </w:tc>
        <w:tc>
          <w:tcPr>
            <w:tcW w:w="10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828</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3.55</w:t>
            </w:r>
          </w:p>
        </w:tc>
        <w:tc>
          <w:tcPr>
            <w:tcW w:w="12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2.88</w:t>
            </w:r>
          </w:p>
        </w:tc>
      </w:tr>
      <w:tr>
        <w:trPr>
          <w:trHeight w:val="194"/>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Dividends on preferred stock used in adjusted EPS calculation</w:t>
            </w:r>
            <w:r>
              <w:rPr>
                <w:rFonts w:ascii="Arial" w:cs="Arial" w:eastAsia="Arial" w:hAnsi="Arial"/>
                <w:sz w:val="12"/>
                <w:szCs w:val="12"/>
                <w:color w:val="auto"/>
                <w:vertAlign w:val="superscript"/>
              </w:rPr>
              <w:t>(3)</w:t>
            </w:r>
          </w:p>
        </w:tc>
        <w:tc>
          <w:tcPr>
            <w:tcW w:w="1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4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w:t>
            </w: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0"/>
                <w:szCs w:val="10"/>
                <w:color w:val="auto"/>
              </w:rPr>
              <w:t>Weighted average shares for adjusted EPS</w:t>
            </w:r>
            <w:r>
              <w:rPr>
                <w:rFonts w:ascii="Arial" w:cs="Arial" w:eastAsia="Arial" w:hAnsi="Arial"/>
                <w:sz w:val="12"/>
                <w:szCs w:val="12"/>
                <w:color w:val="auto"/>
                <w:vertAlign w:val="superscript"/>
              </w:rPr>
              <w:t>(3)</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227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233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258</w:t>
            </w:r>
          </w:p>
        </w:tc>
      </w:tr>
      <w:tr>
        <w:trPr>
          <w:trHeight w:val="194"/>
        </w:trPr>
        <w:tc>
          <w:tcPr>
            <w:tcW w:w="33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Fully diluted shares at end of period</w:t>
            </w:r>
            <w:r>
              <w:rPr>
                <w:rFonts w:ascii="Arial" w:cs="Arial" w:eastAsia="Arial" w:hAnsi="Arial"/>
                <w:sz w:val="12"/>
                <w:szCs w:val="12"/>
                <w:color w:val="auto"/>
                <w:vertAlign w:val="superscript"/>
              </w:rPr>
              <w:t>(4)</w:t>
            </w:r>
          </w:p>
        </w:tc>
        <w:tc>
          <w:tcPr>
            <w:tcW w:w="1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224</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r>
      <w:tr>
        <w:trPr>
          <w:trHeight w:val="92"/>
        </w:trPr>
        <w:tc>
          <w:tcPr>
            <w:tcW w:w="3220" w:type="dxa"/>
            <w:vAlign w:val="bottom"/>
          </w:tcPr>
          <w:p>
            <w:pPr>
              <w:spacing w:after="0"/>
              <w:rPr>
                <w:sz w:val="20"/>
                <w:szCs w:val="20"/>
                <w:color w:val="auto"/>
              </w:rPr>
            </w:pPr>
            <w:r>
              <w:rPr>
                <w:rFonts w:ascii="Arial" w:cs="Arial" w:eastAsia="Arial" w:hAnsi="Arial"/>
                <w:sz w:val="8"/>
                <w:szCs w:val="8"/>
                <w:color w:val="auto"/>
              </w:rPr>
              <w:t>____________________________</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4" w:lineRule="exact"/>
        <w:rPr>
          <w:sz w:val="20"/>
          <w:szCs w:val="20"/>
          <w:color w:val="auto"/>
        </w:rPr>
      </w:pPr>
    </w:p>
    <w:p>
      <w:pPr>
        <w:ind w:left="242" w:hanging="242"/>
        <w:spacing w:after="0"/>
        <w:tabs>
          <w:tab w:leader="none" w:pos="242" w:val="left"/>
        </w:tabs>
        <w:numPr>
          <w:ilvl w:val="0"/>
          <w:numId w:val="3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Net income and EPS from continuing operations attributable to Xerox Holdings.</w:t>
      </w:r>
    </w:p>
    <w:p>
      <w:pPr>
        <w:ind w:left="242" w:hanging="242"/>
        <w:spacing w:after="0" w:line="187" w:lineRule="auto"/>
        <w:tabs>
          <w:tab w:leader="none" w:pos="242" w:val="left"/>
        </w:tabs>
        <w:numPr>
          <w:ilvl w:val="0"/>
          <w:numId w:val="3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Refer to Effective Tax Rate reconciliation.</w:t>
      </w:r>
    </w:p>
    <w:p>
      <w:pPr>
        <w:ind w:left="102" w:hanging="102"/>
        <w:spacing w:after="0" w:line="202" w:lineRule="auto"/>
        <w:tabs>
          <w:tab w:leader="none" w:pos="102" w:val="left"/>
        </w:tabs>
        <w:numPr>
          <w:ilvl w:val="0"/>
          <w:numId w:val="3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For those periods that exclude the preferred stock dividend, the average shares for the calculations of diluted EPS include 7 million shares associated with our Series A convertible preferred stock, as applicable.</w:t>
      </w:r>
    </w:p>
    <w:p>
      <w:pPr>
        <w:ind w:left="182" w:right="120" w:hanging="182"/>
        <w:spacing w:after="0" w:line="218" w:lineRule="auto"/>
        <w:tabs>
          <w:tab w:leader="none" w:pos="115" w:val="left"/>
        </w:tabs>
        <w:numPr>
          <w:ilvl w:val="0"/>
          <w:numId w:val="3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Represents common shares outstanding at December 31, 2019 as well as shares associated with our Series A convertible preferred stock plus potential dilutive common shares as used for the calculation of diluted earnings per share for the fourth quarter 2019.</w:t>
      </w:r>
    </w:p>
    <w:p>
      <w:pPr>
        <w:spacing w:after="0" w:line="286"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Effective Tax Rate reconciliation</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right="28"/>
              <w:spacing w:after="0"/>
              <w:rPr>
                <w:sz w:val="20"/>
                <w:szCs w:val="20"/>
                <w:color w:val="auto"/>
              </w:rPr>
            </w:pPr>
            <w:r>
              <w:rPr>
                <w:rFonts w:ascii="Arial" w:cs="Arial" w:eastAsia="Arial" w:hAnsi="Arial"/>
                <w:sz w:val="10"/>
                <w:szCs w:val="10"/>
                <w:color w:val="auto"/>
              </w:rPr>
              <w:t>Three Months Ended</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0"/>
                <w:szCs w:val="10"/>
                <w:color w:val="auto"/>
              </w:rPr>
              <w:t>Three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color w:val="auto"/>
              </w:rPr>
              <w:t>December 31, 2018</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134"/>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0"/>
                <w:szCs w:val="10"/>
                <w:color w:val="auto"/>
              </w:rPr>
              <w:t>Pre-Tax</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208"/>
              <w:spacing w:after="0"/>
              <w:rPr>
                <w:sz w:val="20"/>
                <w:szCs w:val="20"/>
                <w:color w:val="auto"/>
              </w:rPr>
            </w:pPr>
            <w:r>
              <w:rPr>
                <w:rFonts w:ascii="Arial" w:cs="Arial" w:eastAsia="Arial" w:hAnsi="Arial"/>
                <w:sz w:val="10"/>
                <w:szCs w:val="10"/>
                <w:color w:val="auto"/>
              </w:rPr>
              <w:t>Income</w:t>
            </w:r>
          </w:p>
        </w:tc>
        <w:tc>
          <w:tcPr>
            <w:tcW w:w="12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E5E5E5"/>
            </w:tcBorders>
          </w:tcPr>
          <w:p>
            <w:pPr>
              <w:spacing w:after="0"/>
              <w:rPr>
                <w:sz w:val="11"/>
                <w:szCs w:val="11"/>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color w:val="auto"/>
              </w:rPr>
              <w:t>Effective Tax Rate</w:t>
            </w:r>
          </w:p>
        </w:tc>
        <w:tc>
          <w:tcPr>
            <w:tcW w:w="10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rPr>
              <w:t>Pre-Tax Income</w:t>
            </w:r>
          </w:p>
        </w:tc>
        <w:tc>
          <w:tcPr>
            <w:tcW w:w="120" w:type="dxa"/>
            <w:vAlign w:val="bottom"/>
            <w:tcBorders>
              <w:bottom w:val="single" w:sz="8" w:color="E5E5E5"/>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color w:val="auto"/>
              </w:rPr>
              <w:t>Income Tax Expense</w:t>
            </w:r>
          </w:p>
        </w:tc>
        <w:tc>
          <w:tcPr>
            <w:tcW w:w="8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Effective Tax Rate</w:t>
            </w:r>
          </w:p>
        </w:tc>
      </w:tr>
      <w:tr>
        <w:trPr>
          <w:trHeight w:val="179"/>
        </w:trPr>
        <w:tc>
          <w:tcPr>
            <w:tcW w:w="4020" w:type="dxa"/>
            <w:vAlign w:val="bottom"/>
            <w:gridSpan w:val="4"/>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40" w:type="dxa"/>
            <w:vAlign w:val="bottom"/>
            <w:gridSpan w:val="2"/>
            <w:shd w:val="clear" w:color="auto" w:fill="E5E5E5"/>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336</w:t>
            </w:r>
          </w:p>
        </w:tc>
        <w:tc>
          <w:tcPr>
            <w:tcW w:w="120" w:type="dxa"/>
            <w:vAlign w:val="bottom"/>
            <w:shd w:val="clear" w:color="auto" w:fill="E5E5E5"/>
          </w:tcPr>
          <w:p>
            <w:pPr>
              <w:spacing w:after="0"/>
              <w:rPr>
                <w:sz w:val="15"/>
                <w:szCs w:val="15"/>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73</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21.7%</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jc w:val="right"/>
              <w:ind w:right="8"/>
              <w:spacing w:after="0"/>
              <w:rPr>
                <w:sz w:val="20"/>
                <w:szCs w:val="20"/>
                <w:color w:val="auto"/>
              </w:rPr>
            </w:pPr>
            <w:r>
              <w:rPr>
                <w:rFonts w:ascii="Arial" w:cs="Arial" w:eastAsia="Arial" w:hAnsi="Arial"/>
                <w:sz w:val="10"/>
                <w:szCs w:val="10"/>
                <w:color w:val="auto"/>
              </w:rPr>
              <w:t>$</w:t>
            </w: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124</w:t>
            </w: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34</w:t>
            </w:r>
          </w:p>
        </w:tc>
        <w:tc>
          <w:tcPr>
            <w:tcW w:w="20" w:type="dxa"/>
            <w:vAlign w:val="bottom"/>
            <w:shd w:val="clear" w:color="auto" w:fill="E5E5E5"/>
          </w:tcPr>
          <w:p>
            <w:pPr>
              <w:spacing w:after="0"/>
              <w:rPr>
                <w:sz w:val="15"/>
                <w:szCs w:val="15"/>
                <w:color w:val="auto"/>
              </w:rPr>
            </w:pPr>
          </w:p>
        </w:tc>
        <w:tc>
          <w:tcPr>
            <w:tcW w:w="1260" w:type="dxa"/>
            <w:vAlign w:val="bottom"/>
            <w:gridSpan w:val="4"/>
            <w:shd w:val="clear" w:color="auto" w:fill="E5E5E5"/>
          </w:tcPr>
          <w:p>
            <w:pPr>
              <w:jc w:val="right"/>
              <w:ind w:right="40"/>
              <w:spacing w:after="0"/>
              <w:rPr>
                <w:sz w:val="20"/>
                <w:szCs w:val="20"/>
                <w:color w:val="auto"/>
              </w:rPr>
            </w:pPr>
            <w:r>
              <w:rPr>
                <w:rFonts w:ascii="Arial" w:cs="Arial" w:eastAsia="Arial" w:hAnsi="Arial"/>
                <w:sz w:val="10"/>
                <w:szCs w:val="10"/>
                <w:color w:val="auto"/>
              </w:rPr>
              <w:t>27.4%</w:t>
            </w:r>
          </w:p>
        </w:tc>
      </w:tr>
      <w:tr>
        <w:trPr>
          <w:trHeight w:val="194"/>
        </w:trPr>
        <w:tc>
          <w:tcPr>
            <w:tcW w:w="4020" w:type="dxa"/>
            <w:vAlign w:val="bottom"/>
            <w:gridSpan w:val="4"/>
          </w:tcPr>
          <w:p>
            <w:pPr>
              <w:ind w:left="20"/>
              <w:spacing w:after="0"/>
              <w:rPr>
                <w:sz w:val="20"/>
                <w:szCs w:val="20"/>
                <w:color w:val="auto"/>
              </w:rPr>
            </w:pPr>
            <w:r>
              <w:rPr>
                <w:rFonts w:ascii="Arial" w:cs="Arial" w:eastAsia="Arial" w:hAnsi="Arial"/>
                <w:sz w:val="10"/>
                <w:szCs w:val="10"/>
                <w:color w:val="auto"/>
              </w:rPr>
              <w:t>Non-GAAP Adjustments</w:t>
            </w:r>
            <w:r>
              <w:rPr>
                <w:rFonts w:ascii="Arial" w:cs="Arial" w:eastAsia="Arial" w:hAnsi="Arial"/>
                <w:sz w:val="12"/>
                <w:szCs w:val="12"/>
                <w:color w:val="auto"/>
                <w:vertAlign w:val="superscript"/>
              </w:rPr>
              <w:t>(2)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0"/>
                <w:szCs w:val="10"/>
                <w:color w:val="auto"/>
              </w:rPr>
              <w:t>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020" w:type="dxa"/>
            <w:vAlign w:val="bottom"/>
            <w:gridSpan w:val="4"/>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6</w:t>
            </w: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74"/>
        </w:trPr>
        <w:tc>
          <w:tcPr>
            <w:tcW w:w="4020" w:type="dxa"/>
            <w:vAlign w:val="bottom"/>
            <w:gridSpan w:val="4"/>
          </w:tcPr>
          <w:p>
            <w:pPr>
              <w:ind w:left="20"/>
              <w:spacing w:after="0"/>
              <w:rPr>
                <w:sz w:val="20"/>
                <w:szCs w:val="20"/>
                <w:color w:val="auto"/>
              </w:rPr>
            </w:pPr>
            <w:r>
              <w:rPr>
                <w:rFonts w:ascii="Arial" w:cs="Arial" w:eastAsia="Arial" w:hAnsi="Arial"/>
                <w:sz w:val="10"/>
                <w:szCs w:val="10"/>
                <w:b w:val="1"/>
                <w:bCs w:val="1"/>
                <w:color w:val="auto"/>
              </w:rPr>
              <w:t>Adjusted</w:t>
            </w:r>
            <w:r>
              <w:rPr>
                <w:rFonts w:ascii="Arial" w:cs="Arial" w:eastAsia="Arial" w:hAnsi="Arial"/>
                <w:sz w:val="12"/>
                <w:szCs w:val="12"/>
                <w:b w:val="1"/>
                <w:bCs w:val="1"/>
                <w:color w:val="auto"/>
                <w:vertAlign w:val="superscript"/>
              </w:rPr>
              <w:t>(3)</w:t>
            </w: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396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99</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25.0%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88</w:t>
            </w:r>
          </w:p>
        </w:tc>
        <w:tc>
          <w:tcPr>
            <w:tcW w:w="20" w:type="dxa"/>
            <w:vAlign w:val="bottom"/>
            <w:tcBorders>
              <w:top w:val="single" w:sz="8" w:color="auto"/>
              <w:bottom w:val="single" w:sz="8" w:color="auto"/>
            </w:tcBorders>
          </w:tcPr>
          <w:p>
            <w:pPr>
              <w:spacing w:after="0"/>
              <w:rPr>
                <w:sz w:val="15"/>
                <w:szCs w:val="15"/>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0"/>
                <w:szCs w:val="10"/>
                <w:color w:val="auto"/>
              </w:rPr>
              <w:t>27.7%</w:t>
            </w:r>
          </w:p>
        </w:tc>
      </w:tr>
      <w:tr>
        <w:trPr>
          <w:trHeight w:val="392"/>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rPr>
              <w:t>Year Ended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color w:val="auto"/>
              </w:rPr>
              <w:t>December 31, 2018</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0"/>
                <w:szCs w:val="10"/>
                <w:color w:val="auto"/>
              </w:rPr>
              <w:t>Pre-Tax</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40" w:type="dxa"/>
            <w:vAlign w:val="bottom"/>
          </w:tcPr>
          <w:p>
            <w:pPr>
              <w:spacing w:after="0"/>
              <w:rPr>
                <w:sz w:val="11"/>
                <w:szCs w:val="11"/>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color w:val="auto"/>
              </w:rPr>
              <w:t>(in millions)</w:t>
            </w:r>
          </w:p>
        </w:tc>
        <w:tc>
          <w:tcPr>
            <w:tcW w:w="10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0"/>
                <w:szCs w:val="10"/>
                <w:color w:val="auto"/>
              </w:rPr>
              <w:t>Income</w:t>
            </w:r>
          </w:p>
        </w:tc>
        <w:tc>
          <w:tcPr>
            <w:tcW w:w="12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E5E5E5"/>
            </w:tcBorders>
          </w:tcPr>
          <w:p>
            <w:pPr>
              <w:spacing w:after="0"/>
              <w:rPr>
                <w:sz w:val="11"/>
                <w:szCs w:val="11"/>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Effective Tax Rate</w:t>
            </w:r>
          </w:p>
        </w:tc>
        <w:tc>
          <w:tcPr>
            <w:tcW w:w="120" w:type="dxa"/>
            <w:vAlign w:val="bottom"/>
            <w:tcBorders>
              <w:bottom w:val="single" w:sz="8" w:color="E5E5E5"/>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rPr>
              <w:t>Pre-Tax Income</w:t>
            </w:r>
          </w:p>
        </w:tc>
        <w:tc>
          <w:tcPr>
            <w:tcW w:w="100" w:type="dxa"/>
            <w:vAlign w:val="bottom"/>
            <w:tcBorders>
              <w:bottom w:val="single" w:sz="8" w:color="E5E5E5"/>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color w:val="auto"/>
              </w:rPr>
              <w:t>Income Tax Expense</w:t>
            </w:r>
          </w:p>
        </w:tc>
        <w:tc>
          <w:tcPr>
            <w:tcW w:w="20" w:type="dxa"/>
            <w:vAlign w:val="bottom"/>
            <w:tcBorders>
              <w:bottom w:val="single" w:sz="8" w:color="E5E5E5"/>
            </w:tcBorders>
          </w:tcPr>
          <w:p>
            <w:pPr>
              <w:spacing w:after="0"/>
              <w:rPr>
                <w:sz w:val="11"/>
                <w:szCs w:val="11"/>
                <w:color w:val="auto"/>
              </w:rPr>
            </w:pPr>
          </w:p>
        </w:tc>
        <w:tc>
          <w:tcPr>
            <w:tcW w:w="80" w:type="dxa"/>
            <w:vAlign w:val="bottom"/>
            <w:tcBorders>
              <w:bottom w:val="single" w:sz="8" w:color="E5E5E5"/>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Effective Tax Rate</w:t>
            </w:r>
          </w:p>
        </w:tc>
        <w:tc>
          <w:tcPr>
            <w:tcW w:w="40" w:type="dxa"/>
            <w:vAlign w:val="bottom"/>
          </w:tcPr>
          <w:p>
            <w:pPr>
              <w:spacing w:after="0"/>
              <w:rPr>
                <w:sz w:val="11"/>
                <w:szCs w:val="11"/>
                <w:color w:val="auto"/>
              </w:rPr>
            </w:pPr>
          </w:p>
        </w:tc>
      </w:tr>
      <w:tr>
        <w:trPr>
          <w:trHeight w:val="179"/>
        </w:trPr>
        <w:tc>
          <w:tcPr>
            <w:tcW w:w="40" w:type="dxa"/>
            <w:vAlign w:val="bottom"/>
          </w:tcPr>
          <w:p>
            <w:pPr>
              <w:spacing w:after="0"/>
              <w:rPr>
                <w:sz w:val="15"/>
                <w:szCs w:val="15"/>
                <w:color w:val="auto"/>
              </w:rPr>
            </w:pPr>
          </w:p>
        </w:tc>
        <w:tc>
          <w:tcPr>
            <w:tcW w:w="3980" w:type="dxa"/>
            <w:vAlign w:val="bottom"/>
            <w:gridSpan w:val="3"/>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40" w:type="dxa"/>
            <w:vAlign w:val="bottom"/>
            <w:gridSpan w:val="2"/>
            <w:shd w:val="clear" w:color="auto" w:fill="E5E5E5"/>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822</w:t>
            </w:r>
          </w:p>
        </w:tc>
        <w:tc>
          <w:tcPr>
            <w:tcW w:w="120" w:type="dxa"/>
            <w:vAlign w:val="bottom"/>
            <w:shd w:val="clear" w:color="auto" w:fill="E5E5E5"/>
          </w:tcPr>
          <w:p>
            <w:pPr>
              <w:spacing w:after="0"/>
              <w:rPr>
                <w:sz w:val="15"/>
                <w:szCs w:val="15"/>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179</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21.8%</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549</w:t>
            </w: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247</w:t>
            </w:r>
          </w:p>
        </w:tc>
        <w:tc>
          <w:tcPr>
            <w:tcW w:w="20" w:type="dxa"/>
            <w:vAlign w:val="bottom"/>
            <w:shd w:val="clear" w:color="auto" w:fill="E5E5E5"/>
          </w:tcPr>
          <w:p>
            <w:pPr>
              <w:spacing w:after="0"/>
              <w:rPr>
                <w:sz w:val="15"/>
                <w:szCs w:val="15"/>
                <w:color w:val="auto"/>
              </w:rPr>
            </w:pPr>
          </w:p>
        </w:tc>
        <w:tc>
          <w:tcPr>
            <w:tcW w:w="1220" w:type="dxa"/>
            <w:vAlign w:val="bottom"/>
            <w:gridSpan w:val="3"/>
            <w:shd w:val="clear" w:color="auto" w:fill="E5E5E5"/>
          </w:tcPr>
          <w:p>
            <w:pPr>
              <w:jc w:val="right"/>
              <w:spacing w:after="0"/>
              <w:rPr>
                <w:sz w:val="20"/>
                <w:szCs w:val="20"/>
                <w:color w:val="auto"/>
              </w:rPr>
            </w:pPr>
            <w:r>
              <w:rPr>
                <w:rFonts w:ascii="Arial" w:cs="Arial" w:eastAsia="Arial" w:hAnsi="Arial"/>
                <w:sz w:val="10"/>
                <w:szCs w:val="10"/>
                <w:color w:val="auto"/>
              </w:rPr>
              <w:t>45.0%</w:t>
            </w:r>
          </w:p>
        </w:tc>
        <w:tc>
          <w:tcPr>
            <w:tcW w:w="40" w:type="dxa"/>
            <w:vAlign w:val="bottom"/>
          </w:tcPr>
          <w:p>
            <w:pPr>
              <w:spacing w:after="0"/>
              <w:rPr>
                <w:sz w:val="15"/>
                <w:szCs w:val="15"/>
                <w:color w:val="auto"/>
              </w:rPr>
            </w:pPr>
          </w:p>
        </w:tc>
      </w:tr>
      <w:tr>
        <w:trPr>
          <w:trHeight w:val="194"/>
        </w:trPr>
        <w:tc>
          <w:tcPr>
            <w:tcW w:w="40" w:type="dxa"/>
            <w:vAlign w:val="bottom"/>
          </w:tcPr>
          <w:p>
            <w:pPr>
              <w:spacing w:after="0"/>
              <w:rPr>
                <w:sz w:val="16"/>
                <w:szCs w:val="16"/>
                <w:color w:val="auto"/>
              </w:rPr>
            </w:pPr>
          </w:p>
        </w:tc>
        <w:tc>
          <w:tcPr>
            <w:tcW w:w="3980" w:type="dxa"/>
            <w:vAlign w:val="bottom"/>
            <w:gridSpan w:val="3"/>
          </w:tcPr>
          <w:p>
            <w:pPr>
              <w:ind w:left="20"/>
              <w:spacing w:after="0"/>
              <w:rPr>
                <w:sz w:val="20"/>
                <w:szCs w:val="20"/>
                <w:color w:val="auto"/>
              </w:rPr>
            </w:pPr>
            <w:r>
              <w:rPr>
                <w:rFonts w:ascii="Arial" w:cs="Arial" w:eastAsia="Arial" w:hAnsi="Arial"/>
                <w:sz w:val="10"/>
                <w:szCs w:val="10"/>
                <w:color w:val="auto"/>
              </w:rPr>
              <w:t>Non-GAAP Adjustments</w:t>
            </w:r>
            <w:r>
              <w:rPr>
                <w:rFonts w:ascii="Arial" w:cs="Arial" w:eastAsia="Arial" w:hAnsi="Arial"/>
                <w:sz w:val="12"/>
                <w:szCs w:val="12"/>
                <w:color w:val="auto"/>
                <w:vertAlign w:val="superscript"/>
              </w:rPr>
              <w:t>(2)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0"/>
                <w:szCs w:val="10"/>
                <w:color w:val="auto"/>
              </w:rPr>
              <w:t>292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0"/>
                <w:szCs w:val="10"/>
                <w:color w:val="auto"/>
              </w:rPr>
              <w:t>77</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466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0" w:type="dxa"/>
            <w:vAlign w:val="bottom"/>
          </w:tcPr>
          <w:p>
            <w:pPr>
              <w:spacing w:after="0"/>
              <w:rPr>
                <w:sz w:val="16"/>
                <w:szCs w:val="16"/>
                <w:color w:val="auto"/>
              </w:rPr>
            </w:pPr>
          </w:p>
        </w:tc>
        <w:tc>
          <w:tcPr>
            <w:tcW w:w="3980" w:type="dxa"/>
            <w:vAlign w:val="bottom"/>
            <w:gridSpan w:val="3"/>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20" w:type="dxa"/>
            <w:vAlign w:val="bottom"/>
            <w:shd w:val="clear" w:color="auto" w:fill="E5E5E5"/>
          </w:tcPr>
          <w:p>
            <w:pPr>
              <w:spacing w:after="0"/>
              <w:rPr>
                <w:sz w:val="16"/>
                <w:szCs w:val="16"/>
                <w:color w:val="auto"/>
              </w:rPr>
            </w:pPr>
          </w:p>
        </w:tc>
        <w:tc>
          <w:tcPr>
            <w:tcW w:w="22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120" w:type="dxa"/>
            <w:vAlign w:val="bottom"/>
            <w:shd w:val="clear" w:color="auto" w:fill="E5E5E5"/>
          </w:tcPr>
          <w:p>
            <w:pPr>
              <w:spacing w:after="0"/>
              <w:rPr>
                <w:sz w:val="16"/>
                <w:szCs w:val="16"/>
                <w:color w:val="auto"/>
              </w:rPr>
            </w:pPr>
          </w:p>
        </w:tc>
        <w:tc>
          <w:tcPr>
            <w:tcW w:w="80" w:type="dxa"/>
            <w:vAlign w:val="bottom"/>
            <w:tcBorders>
              <w:bottom w:val="single" w:sz="8" w:color="auto"/>
            </w:tcBorders>
            <w:shd w:val="clear" w:color="auto" w:fill="E5E5E5"/>
          </w:tcPr>
          <w:p>
            <w:pPr>
              <w:spacing w:after="0"/>
              <w:rPr>
                <w:sz w:val="16"/>
                <w:szCs w:val="16"/>
                <w:color w:val="auto"/>
              </w:rPr>
            </w:pPr>
          </w:p>
        </w:tc>
        <w:tc>
          <w:tcPr>
            <w:tcW w:w="10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35</w:t>
            </w: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spacing w:after="0"/>
              <w:rPr>
                <w:sz w:val="16"/>
                <w:szCs w:val="16"/>
                <w:color w:val="auto"/>
              </w:rPr>
            </w:pPr>
          </w:p>
        </w:tc>
        <w:tc>
          <w:tcPr>
            <w:tcW w:w="10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100" w:type="dxa"/>
            <w:vAlign w:val="bottom"/>
            <w:shd w:val="clear" w:color="auto" w:fill="E5E5E5"/>
          </w:tcPr>
          <w:p>
            <w:pPr>
              <w:spacing w:after="0"/>
              <w:rPr>
                <w:sz w:val="16"/>
                <w:szCs w:val="16"/>
                <w:color w:val="auto"/>
              </w:rPr>
            </w:pPr>
          </w:p>
        </w:tc>
        <w:tc>
          <w:tcPr>
            <w:tcW w:w="20" w:type="dxa"/>
            <w:vAlign w:val="bottom"/>
            <w:tcBorders>
              <w:bottom w:val="single" w:sz="8" w:color="auto"/>
            </w:tcBorders>
            <w:shd w:val="clear" w:color="auto" w:fill="E5E5E5"/>
          </w:tcPr>
          <w:p>
            <w:pPr>
              <w:spacing w:after="0"/>
              <w:rPr>
                <w:sz w:val="16"/>
                <w:szCs w:val="16"/>
                <w:color w:val="auto"/>
              </w:rPr>
            </w:pPr>
          </w:p>
        </w:tc>
        <w:tc>
          <w:tcPr>
            <w:tcW w:w="60" w:type="dxa"/>
            <w:vAlign w:val="bottom"/>
            <w:tcBorders>
              <w:bottom w:val="single" w:sz="8" w:color="auto"/>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(89)</w:t>
            </w: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3980" w:type="dxa"/>
            <w:vAlign w:val="bottom"/>
            <w:gridSpan w:val="3"/>
          </w:tcPr>
          <w:p>
            <w:pPr>
              <w:ind w:left="20"/>
              <w:spacing w:after="0"/>
              <w:rPr>
                <w:sz w:val="20"/>
                <w:szCs w:val="20"/>
                <w:color w:val="auto"/>
              </w:rPr>
            </w:pPr>
            <w:r>
              <w:rPr>
                <w:rFonts w:ascii="Arial" w:cs="Arial" w:eastAsia="Arial" w:hAnsi="Arial"/>
                <w:sz w:val="10"/>
                <w:szCs w:val="10"/>
                <w:b w:val="1"/>
                <w:bCs w:val="1"/>
                <w:color w:val="auto"/>
              </w:rPr>
              <w:t>Adjusted</w:t>
            </w:r>
            <w:r>
              <w:rPr>
                <w:rFonts w:ascii="Arial" w:cs="Arial" w:eastAsia="Arial" w:hAnsi="Arial"/>
                <w:sz w:val="12"/>
                <w:szCs w:val="12"/>
                <w:b w:val="1"/>
                <w:bCs w:val="1"/>
                <w:color w:val="auto"/>
                <w:vertAlign w:val="superscript"/>
              </w:rPr>
              <w:t>(3)</w:t>
            </w: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68"/>
              <w:spacing w:after="0"/>
              <w:rPr>
                <w:sz w:val="20"/>
                <w:szCs w:val="20"/>
                <w:color w:val="auto"/>
              </w:rPr>
            </w:pPr>
            <w:r>
              <w:rPr>
                <w:rFonts w:ascii="Arial" w:cs="Arial" w:eastAsia="Arial" w:hAnsi="Arial"/>
                <w:sz w:val="10"/>
                <w:szCs w:val="10"/>
                <w:color w:val="auto"/>
              </w:rPr>
              <w:t>1,114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68"/>
              <w:spacing w:after="0"/>
              <w:rPr>
                <w:sz w:val="20"/>
                <w:szCs w:val="20"/>
                <w:color w:val="auto"/>
              </w:rPr>
            </w:pPr>
            <w:r>
              <w:rPr>
                <w:rFonts w:ascii="Arial" w:cs="Arial" w:eastAsia="Arial" w:hAnsi="Arial"/>
                <w:sz w:val="10"/>
                <w:szCs w:val="10"/>
                <w:color w:val="auto"/>
              </w:rPr>
              <w:t>291</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26.1%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274</w:t>
            </w:r>
          </w:p>
        </w:tc>
        <w:tc>
          <w:tcPr>
            <w:tcW w:w="2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0"/>
                <w:szCs w:val="10"/>
                <w:color w:val="auto"/>
              </w:rPr>
              <w:t>27.0%</w:t>
            </w:r>
          </w:p>
        </w:tc>
        <w:tc>
          <w:tcPr>
            <w:tcW w:w="40" w:type="dxa"/>
            <w:vAlign w:val="bottom"/>
          </w:tcPr>
          <w:p>
            <w:pPr>
              <w:spacing w:after="0"/>
              <w:rPr>
                <w:sz w:val="15"/>
                <w:szCs w:val="15"/>
                <w:color w:val="auto"/>
              </w:rPr>
            </w:pPr>
          </w:p>
        </w:tc>
      </w:tr>
      <w:tr>
        <w:trPr>
          <w:trHeight w:val="90"/>
        </w:trPr>
        <w:tc>
          <w:tcPr>
            <w:tcW w:w="3900" w:type="dxa"/>
            <w:vAlign w:val="bottom"/>
            <w:gridSpan w:val="2"/>
          </w:tcPr>
          <w:p>
            <w:pPr>
              <w:spacing w:after="0" w:line="90" w:lineRule="exact"/>
              <w:rPr>
                <w:sz w:val="20"/>
                <w:szCs w:val="20"/>
                <w:color w:val="auto"/>
              </w:rPr>
            </w:pPr>
            <w:r>
              <w:rPr>
                <w:rFonts w:ascii="Arial" w:cs="Arial" w:eastAsia="Arial" w:hAnsi="Arial"/>
                <w:sz w:val="8"/>
                <w:szCs w:val="8"/>
                <w:color w:val="auto"/>
              </w:rPr>
              <w:t>____________________________</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96" w:lineRule="exact"/>
        <w:rPr>
          <w:sz w:val="20"/>
          <w:szCs w:val="20"/>
          <w:color w:val="auto"/>
        </w:rPr>
      </w:pPr>
    </w:p>
    <w:p>
      <w:pPr>
        <w:ind w:left="102" w:hanging="102"/>
        <w:spacing w:after="0"/>
        <w:tabs>
          <w:tab w:leader="none" w:pos="102" w:val="left"/>
        </w:tabs>
        <w:numPr>
          <w:ilvl w:val="0"/>
          <w:numId w:val="35"/>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Pre-tax income and income tax expense from continuing operations.</w:t>
      </w:r>
    </w:p>
    <w:p>
      <w:pPr>
        <w:ind w:left="102" w:hanging="102"/>
        <w:spacing w:after="0" w:line="202" w:lineRule="auto"/>
        <w:tabs>
          <w:tab w:leader="none" w:pos="102" w:val="left"/>
        </w:tabs>
        <w:numPr>
          <w:ilvl w:val="0"/>
          <w:numId w:val="35"/>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Refer to Net Income and EPS reconciliation for details.</w:t>
      </w:r>
    </w:p>
    <w:p>
      <w:pPr>
        <w:ind w:left="102" w:hanging="102"/>
        <w:spacing w:after="0" w:line="215" w:lineRule="auto"/>
        <w:tabs>
          <w:tab w:leader="none" w:pos="102" w:val="left"/>
        </w:tabs>
        <w:numPr>
          <w:ilvl w:val="0"/>
          <w:numId w:val="35"/>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The tax impact on Adjusted Pre-Tax Income from continuing operations is calculated under the same accounting principles applied to the Reported Pre-Tax Income under ASC 740, which employs an annual effective tax rate method to the results.</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82"/>
          </w:cols>
          <w:pgMar w:left="218" w:top="523" w:right="199" w:bottom="1440" w:gutter="0" w:footer="0" w:header="0"/>
        </w:sectPr>
      </w:pPr>
    </w:p>
    <w:bookmarkStart w:id="32" w:name="page33"/>
    <w:bookmarkEnd w:id="32"/>
    <w:p>
      <w:pPr>
        <w:ind w:left="2"/>
        <w:spacing w:after="0"/>
        <w:rPr>
          <w:sz w:val="20"/>
          <w:szCs w:val="20"/>
          <w:color w:val="auto"/>
        </w:rPr>
      </w:pPr>
      <w:r>
        <w:rPr>
          <w:rFonts w:ascii="Arial" w:cs="Arial" w:eastAsia="Arial" w:hAnsi="Arial"/>
          <w:sz w:val="13"/>
          <w:szCs w:val="13"/>
          <w:i w:val="1"/>
          <w:iCs w:val="1"/>
          <w:u w:val="single" w:color="auto"/>
          <w:color w:val="auto"/>
        </w:rPr>
        <w:t>Operating Income / Margin reconciliation</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right="28"/>
              <w:spacing w:after="0"/>
              <w:rPr>
                <w:sz w:val="20"/>
                <w:szCs w:val="20"/>
                <w:color w:val="auto"/>
              </w:rPr>
            </w:pPr>
            <w:r>
              <w:rPr>
                <w:rFonts w:ascii="Arial" w:cs="Arial" w:eastAsia="Arial" w:hAnsi="Arial"/>
                <w:sz w:val="10"/>
                <w:szCs w:val="10"/>
                <w:color w:val="auto"/>
              </w:rPr>
              <w:t>Three Months Ended</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0"/>
                <w:szCs w:val="10"/>
                <w:color w:val="auto"/>
              </w:rPr>
              <w:t>Three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color w:val="auto"/>
              </w:rPr>
              <w:t>December 31, 2018</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184"/>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color w:val="auto"/>
              </w:rPr>
              <w:t>Revenue</w:t>
            </w:r>
          </w:p>
        </w:tc>
        <w:tc>
          <w:tcPr>
            <w:tcW w:w="120" w:type="dxa"/>
            <w:vAlign w:val="bottom"/>
            <w:tcBorders>
              <w:bottom w:val="single" w:sz="8" w:color="E5E5E5"/>
            </w:tcBorders>
          </w:tcPr>
          <w:p>
            <w:pPr>
              <w:spacing w:after="0"/>
              <w:rPr>
                <w:sz w:val="16"/>
                <w:szCs w:val="16"/>
                <w:color w:val="auto"/>
              </w:rPr>
            </w:pPr>
          </w:p>
        </w:tc>
        <w:tc>
          <w:tcPr>
            <w:tcW w:w="1180" w:type="dxa"/>
            <w:vAlign w:val="bottom"/>
            <w:tcBorders>
              <w:bottom w:val="single" w:sz="8" w:color="auto"/>
            </w:tcBorders>
            <w:gridSpan w:val="2"/>
          </w:tcPr>
          <w:p>
            <w:pPr>
              <w:ind w:left="420"/>
              <w:spacing w:after="0"/>
              <w:rPr>
                <w:sz w:val="20"/>
                <w:szCs w:val="20"/>
                <w:color w:val="auto"/>
              </w:rPr>
            </w:pPr>
            <w:r>
              <w:rPr>
                <w:rFonts w:ascii="Arial" w:cs="Arial" w:eastAsia="Arial" w:hAnsi="Arial"/>
                <w:sz w:val="10"/>
                <w:szCs w:val="10"/>
                <w:color w:val="auto"/>
              </w:rPr>
              <w:t>Margin</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color w:val="auto"/>
              </w:rPr>
              <w:t>Revenue</w:t>
            </w: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color w:val="auto"/>
              </w:rPr>
              <w:t>Margin</w:t>
            </w:r>
          </w:p>
        </w:tc>
      </w:tr>
      <w:tr>
        <w:trPr>
          <w:trHeight w:val="179"/>
        </w:trPr>
        <w:tc>
          <w:tcPr>
            <w:tcW w:w="4020" w:type="dxa"/>
            <w:vAlign w:val="bottom"/>
            <w:gridSpan w:val="4"/>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80" w:type="dxa"/>
            <w:vAlign w:val="bottom"/>
            <w:gridSpan w:val="2"/>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336</w:t>
            </w:r>
          </w:p>
        </w:tc>
        <w:tc>
          <w:tcPr>
            <w:tcW w:w="120" w:type="dxa"/>
            <w:vAlign w:val="bottom"/>
            <w:shd w:val="clear" w:color="auto" w:fill="E5E5E5"/>
          </w:tcPr>
          <w:p>
            <w:pPr>
              <w:spacing w:after="0"/>
              <w:rPr>
                <w:sz w:val="15"/>
                <w:szCs w:val="15"/>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2,444</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13.7%</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124</w:t>
            </w: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0"/>
                <w:szCs w:val="10"/>
                <w:color w:val="auto"/>
              </w:rPr>
              <w:t>2,498</w:t>
            </w:r>
          </w:p>
        </w:tc>
        <w:tc>
          <w:tcPr>
            <w:tcW w:w="20" w:type="dxa"/>
            <w:vAlign w:val="bottom"/>
            <w:shd w:val="clear" w:color="auto" w:fill="E5E5E5"/>
          </w:tcPr>
          <w:p>
            <w:pPr>
              <w:spacing w:after="0"/>
              <w:rPr>
                <w:sz w:val="15"/>
                <w:szCs w:val="15"/>
                <w:color w:val="auto"/>
              </w:rPr>
            </w:pPr>
          </w:p>
        </w:tc>
        <w:tc>
          <w:tcPr>
            <w:tcW w:w="1260" w:type="dxa"/>
            <w:vAlign w:val="bottom"/>
            <w:gridSpan w:val="4"/>
            <w:shd w:val="clear" w:color="auto" w:fill="E5E5E5"/>
          </w:tcPr>
          <w:p>
            <w:pPr>
              <w:jc w:val="right"/>
              <w:ind w:right="40"/>
              <w:spacing w:after="0"/>
              <w:rPr>
                <w:sz w:val="20"/>
                <w:szCs w:val="20"/>
                <w:color w:val="auto"/>
              </w:rPr>
            </w:pPr>
            <w:r>
              <w:rPr>
                <w:rFonts w:ascii="Arial" w:cs="Arial" w:eastAsia="Arial" w:hAnsi="Arial"/>
                <w:sz w:val="10"/>
                <w:szCs w:val="10"/>
                <w:color w:val="auto"/>
              </w:rPr>
              <w:t>5.0%</w:t>
            </w:r>
          </w:p>
        </w:tc>
      </w:tr>
      <w:tr>
        <w:trPr>
          <w:trHeight w:val="190"/>
        </w:trPr>
        <w:tc>
          <w:tcPr>
            <w:tcW w:w="4020" w:type="dxa"/>
            <w:vAlign w:val="bottom"/>
            <w:gridSpan w:val="4"/>
          </w:tcPr>
          <w:p>
            <w:pPr>
              <w:ind w:left="20"/>
              <w:spacing w:after="0"/>
              <w:rPr>
                <w:sz w:val="20"/>
                <w:szCs w:val="20"/>
                <w:color w:val="auto"/>
              </w:rPr>
            </w:pPr>
            <w:r>
              <w:rPr>
                <w:rFonts w:ascii="Arial" w:cs="Arial" w:eastAsia="Arial" w:hAnsi="Arial"/>
                <w:sz w:val="10"/>
                <w:szCs w:val="10"/>
                <w:b w:val="1"/>
                <w:bCs w:val="1"/>
                <w:color w:val="auto"/>
              </w:rPr>
              <w:t>Adjustments: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4020" w:type="dxa"/>
            <w:vAlign w:val="bottom"/>
            <w:gridSpan w:val="4"/>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53</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67</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r>
      <w:tr>
        <w:trPr>
          <w:trHeight w:val="190"/>
        </w:trPr>
        <w:tc>
          <w:tcPr>
            <w:tcW w:w="4020" w:type="dxa"/>
            <w:vAlign w:val="bottom"/>
            <w:gridSpan w:val="4"/>
          </w:tcPr>
          <w:p>
            <w:pPr>
              <w:ind w:left="20"/>
              <w:spacing w:after="0"/>
              <w:rPr>
                <w:sz w:val="20"/>
                <w:szCs w:val="20"/>
                <w:color w:val="auto"/>
              </w:rPr>
            </w:pPr>
            <w:r>
              <w:rPr>
                <w:rFonts w:ascii="Arial" w:cs="Arial" w:eastAsia="Arial" w:hAnsi="Arial"/>
                <w:sz w:val="10"/>
                <w:szCs w:val="10"/>
                <w:color w:val="auto"/>
              </w:rPr>
              <w:t>Amortization of intangible assets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4020" w:type="dxa"/>
            <w:vAlign w:val="bottom"/>
            <w:gridSpan w:val="4"/>
            <w:shd w:val="clear" w:color="auto" w:fill="E5E5E5"/>
          </w:tcPr>
          <w:p>
            <w:pPr>
              <w:ind w:left="20"/>
              <w:spacing w:after="0"/>
              <w:rPr>
                <w:sz w:val="20"/>
                <w:szCs w:val="20"/>
                <w:color w:val="auto"/>
              </w:rPr>
            </w:pPr>
            <w:r>
              <w:rPr>
                <w:rFonts w:ascii="Arial" w:cs="Arial" w:eastAsia="Arial" w:hAnsi="Arial"/>
                <w:sz w:val="10"/>
                <w:szCs w:val="10"/>
                <w:color w:val="auto"/>
              </w:rPr>
              <w:t>Transaction and related costs, net</w:t>
            </w: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5</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r>
      <w:tr>
        <w:trPr>
          <w:trHeight w:val="190"/>
        </w:trPr>
        <w:tc>
          <w:tcPr>
            <w:tcW w:w="4020" w:type="dxa"/>
            <w:vAlign w:val="bottom"/>
            <w:tcBorders>
              <w:bottom w:val="single" w:sz="8" w:color="E5E5E5"/>
            </w:tcBorders>
            <w:gridSpan w:val="4"/>
          </w:tcPr>
          <w:p>
            <w:pPr>
              <w:ind w:left="20"/>
              <w:spacing w:after="0"/>
              <w:rPr>
                <w:sz w:val="20"/>
                <w:szCs w:val="20"/>
                <w:color w:val="auto"/>
              </w:rPr>
            </w:pPr>
            <w:r>
              <w:rPr>
                <w:rFonts w:ascii="Arial" w:cs="Arial" w:eastAsia="Arial" w:hAnsi="Arial"/>
                <w:sz w:val="10"/>
                <w:szCs w:val="10"/>
                <w:color w:val="auto"/>
              </w:rPr>
              <w:t>Other expenses, net</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E5E5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144</w:t>
            </w:r>
          </w:p>
        </w:tc>
        <w:tc>
          <w:tcPr>
            <w:tcW w:w="1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120" w:type="dxa"/>
            <w:vAlign w:val="bottom"/>
            <w:tcBorders>
              <w:bottom w:val="single" w:sz="8" w:color="E5E5E5"/>
            </w:tcBorders>
          </w:tcPr>
          <w:p>
            <w:pPr>
              <w:spacing w:after="0"/>
              <w:rPr>
                <w:sz w:val="16"/>
                <w:szCs w:val="16"/>
                <w:color w:val="auto"/>
              </w:rPr>
            </w:pPr>
          </w:p>
        </w:tc>
        <w:tc>
          <w:tcPr>
            <w:tcW w:w="40" w:type="dxa"/>
            <w:vAlign w:val="bottom"/>
            <w:tcBorders>
              <w:bottom w:val="single" w:sz="8" w:color="E5E5E5"/>
            </w:tcBorders>
          </w:tcPr>
          <w:p>
            <w:pPr>
              <w:spacing w:after="0"/>
              <w:rPr>
                <w:sz w:val="16"/>
                <w:szCs w:val="16"/>
                <w:color w:val="auto"/>
              </w:rPr>
            </w:pPr>
          </w:p>
        </w:tc>
      </w:tr>
      <w:tr>
        <w:trPr>
          <w:trHeight w:val="178"/>
        </w:trPr>
        <w:tc>
          <w:tcPr>
            <w:tcW w:w="4020" w:type="dxa"/>
            <w:vAlign w:val="bottom"/>
            <w:tcBorders>
              <w:bottom w:val="single" w:sz="8" w:color="E5E5E5"/>
            </w:tcBorders>
            <w:gridSpan w:val="4"/>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280" w:type="dxa"/>
            <w:vAlign w:val="bottom"/>
            <w:tcBorders>
              <w:bottom w:val="single" w:sz="8" w:color="auto"/>
            </w:tcBorders>
            <w:gridSpan w:val="2"/>
            <w:shd w:val="clear" w:color="auto" w:fill="E5E5E5"/>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411</w:t>
            </w:r>
          </w:p>
        </w:tc>
        <w:tc>
          <w:tcPr>
            <w:tcW w:w="120" w:type="dxa"/>
            <w:vAlign w:val="bottom"/>
            <w:tcBorders>
              <w:bottom w:val="single" w:sz="8" w:color="E5E5E5"/>
            </w:tcBorders>
            <w:shd w:val="clear" w:color="auto" w:fill="E5E5E5"/>
          </w:tcPr>
          <w:p>
            <w:pPr>
              <w:spacing w:after="0"/>
              <w:rPr>
                <w:sz w:val="15"/>
                <w:szCs w:val="15"/>
                <w:color w:val="auto"/>
              </w:rPr>
            </w:pPr>
          </w:p>
        </w:tc>
        <w:tc>
          <w:tcPr>
            <w:tcW w:w="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2,444</w:t>
            </w:r>
          </w:p>
        </w:tc>
        <w:tc>
          <w:tcPr>
            <w:tcW w:w="128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0"/>
                <w:szCs w:val="10"/>
                <w:color w:val="auto"/>
              </w:rPr>
              <w:t>16.8%</w:t>
            </w:r>
          </w:p>
        </w:tc>
        <w:tc>
          <w:tcPr>
            <w:tcW w:w="2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352</w:t>
            </w:r>
          </w:p>
        </w:tc>
        <w:tc>
          <w:tcPr>
            <w:tcW w:w="100" w:type="dxa"/>
            <w:vAlign w:val="bottom"/>
            <w:tcBorders>
              <w:bottom w:val="single" w:sz="8" w:color="E5E5E5"/>
            </w:tcBorders>
            <w:shd w:val="clear" w:color="auto" w:fill="E5E5E5"/>
          </w:tcPr>
          <w:p>
            <w:pPr>
              <w:spacing w:after="0"/>
              <w:rPr>
                <w:sz w:val="15"/>
                <w:szCs w:val="15"/>
                <w:color w:val="auto"/>
              </w:rPr>
            </w:pPr>
          </w:p>
        </w:tc>
        <w:tc>
          <w:tcPr>
            <w:tcW w:w="20" w:type="dxa"/>
            <w:vAlign w:val="bottom"/>
            <w:tcBorders>
              <w:bottom w:val="single" w:sz="8" w:color="E5E5E5"/>
            </w:tcBorders>
            <w:shd w:val="clear" w:color="auto" w:fill="E5E5E5"/>
          </w:tcPr>
          <w:p>
            <w:pPr>
              <w:spacing w:after="0"/>
              <w:rPr>
                <w:sz w:val="15"/>
                <w:szCs w:val="15"/>
                <w:color w:val="auto"/>
              </w:rPr>
            </w:pPr>
          </w:p>
        </w:tc>
        <w:tc>
          <w:tcPr>
            <w:tcW w:w="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2,498</w:t>
            </w:r>
          </w:p>
        </w:tc>
        <w:tc>
          <w:tcPr>
            <w:tcW w:w="20" w:type="dxa"/>
            <w:vAlign w:val="bottom"/>
            <w:tcBorders>
              <w:bottom w:val="single" w:sz="8" w:color="auto"/>
            </w:tcBorders>
            <w:shd w:val="clear" w:color="auto" w:fill="E5E5E5"/>
          </w:tcPr>
          <w:p>
            <w:pPr>
              <w:spacing w:after="0"/>
              <w:rPr>
                <w:sz w:val="15"/>
                <w:szCs w:val="15"/>
                <w:color w:val="auto"/>
              </w:rPr>
            </w:pPr>
          </w:p>
        </w:tc>
        <w:tc>
          <w:tcPr>
            <w:tcW w:w="1260" w:type="dxa"/>
            <w:vAlign w:val="bottom"/>
            <w:tcBorders>
              <w:bottom w:val="single" w:sz="8" w:color="E5E5E5"/>
            </w:tcBorders>
            <w:gridSpan w:val="4"/>
            <w:shd w:val="clear" w:color="auto" w:fill="E5E5E5"/>
          </w:tcPr>
          <w:p>
            <w:pPr>
              <w:jc w:val="right"/>
              <w:ind w:right="40"/>
              <w:spacing w:after="0"/>
              <w:rPr>
                <w:sz w:val="20"/>
                <w:szCs w:val="20"/>
                <w:color w:val="auto"/>
              </w:rPr>
            </w:pPr>
            <w:r>
              <w:rPr>
                <w:rFonts w:ascii="Arial" w:cs="Arial" w:eastAsia="Arial" w:hAnsi="Arial"/>
                <w:sz w:val="10"/>
                <w:szCs w:val="10"/>
                <w:color w:val="auto"/>
              </w:rPr>
              <w:t>14.1%</w:t>
            </w:r>
          </w:p>
        </w:tc>
      </w:tr>
      <w:tr>
        <w:trPr>
          <w:trHeight w:val="392"/>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28"/>
              <w:spacing w:after="0"/>
              <w:rPr>
                <w:sz w:val="20"/>
                <w:szCs w:val="20"/>
                <w:color w:val="auto"/>
              </w:rPr>
            </w:pPr>
            <w:r>
              <w:rPr>
                <w:rFonts w:ascii="Arial" w:cs="Arial" w:eastAsia="Arial" w:hAnsi="Arial"/>
                <w:sz w:val="10"/>
                <w:szCs w:val="10"/>
                <w:color w:val="auto"/>
              </w:rPr>
              <w:t>Year Ended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0"/>
                <w:szCs w:val="10"/>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December 31, 2019</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color w:val="auto"/>
              </w:rPr>
              <w:t>December 31, 2018</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color w:val="auto"/>
              </w:rPr>
              <w:t>(in millions)</w:t>
            </w:r>
          </w:p>
        </w:tc>
        <w:tc>
          <w:tcPr>
            <w:tcW w:w="1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color w:val="auto"/>
              </w:rPr>
              <w:t>Revenue</w:t>
            </w:r>
          </w:p>
        </w:tc>
        <w:tc>
          <w:tcPr>
            <w:tcW w:w="120" w:type="dxa"/>
            <w:vAlign w:val="bottom"/>
            <w:tcBorders>
              <w:bottom w:val="single" w:sz="8" w:color="E5E5E5"/>
            </w:tcBorders>
          </w:tcPr>
          <w:p>
            <w:pPr>
              <w:spacing w:after="0"/>
              <w:rPr>
                <w:sz w:val="16"/>
                <w:szCs w:val="16"/>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Margin</w:t>
            </w:r>
          </w:p>
        </w:tc>
        <w:tc>
          <w:tcPr>
            <w:tcW w:w="120" w:type="dxa"/>
            <w:vAlign w:val="bottom"/>
            <w:tcBorders>
              <w:bottom w:val="single" w:sz="8" w:color="E5E5E5"/>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Profit</w:t>
            </w:r>
          </w:p>
        </w:tc>
        <w:tc>
          <w:tcPr>
            <w:tcW w:w="100" w:type="dxa"/>
            <w:vAlign w:val="bottom"/>
            <w:tcBorders>
              <w:bottom w:val="single" w:sz="8" w:color="E5E5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Revenue</w:t>
            </w: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Margin</w:t>
            </w:r>
          </w:p>
        </w:tc>
        <w:tc>
          <w:tcPr>
            <w:tcW w:w="40" w:type="dxa"/>
            <w:vAlign w:val="bottom"/>
          </w:tcPr>
          <w:p>
            <w:pPr>
              <w:spacing w:after="0"/>
              <w:rPr>
                <w:sz w:val="16"/>
                <w:szCs w:val="16"/>
                <w:color w:val="auto"/>
              </w:rPr>
            </w:pPr>
          </w:p>
        </w:tc>
      </w:tr>
      <w:tr>
        <w:trPr>
          <w:trHeight w:val="179"/>
        </w:trPr>
        <w:tc>
          <w:tcPr>
            <w:tcW w:w="40" w:type="dxa"/>
            <w:vAlign w:val="bottom"/>
          </w:tcPr>
          <w:p>
            <w:pPr>
              <w:spacing w:after="0"/>
              <w:rPr>
                <w:sz w:val="15"/>
                <w:szCs w:val="15"/>
                <w:color w:val="auto"/>
              </w:rPr>
            </w:pPr>
          </w:p>
        </w:tc>
        <w:tc>
          <w:tcPr>
            <w:tcW w:w="3980" w:type="dxa"/>
            <w:vAlign w:val="bottom"/>
            <w:gridSpan w:val="3"/>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80" w:type="dxa"/>
            <w:vAlign w:val="bottom"/>
            <w:gridSpan w:val="2"/>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822</w:t>
            </w:r>
          </w:p>
        </w:tc>
        <w:tc>
          <w:tcPr>
            <w:tcW w:w="120" w:type="dxa"/>
            <w:vAlign w:val="bottom"/>
            <w:shd w:val="clear" w:color="auto" w:fill="E5E5E5"/>
          </w:tcPr>
          <w:p>
            <w:pPr>
              <w:spacing w:after="0"/>
              <w:rPr>
                <w:sz w:val="15"/>
                <w:szCs w:val="15"/>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9,066</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9.1%</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549</w:t>
            </w: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9,662</w:t>
            </w:r>
          </w:p>
        </w:tc>
        <w:tc>
          <w:tcPr>
            <w:tcW w:w="20" w:type="dxa"/>
            <w:vAlign w:val="bottom"/>
            <w:shd w:val="clear" w:color="auto" w:fill="E5E5E5"/>
          </w:tcPr>
          <w:p>
            <w:pPr>
              <w:spacing w:after="0"/>
              <w:rPr>
                <w:sz w:val="15"/>
                <w:szCs w:val="15"/>
                <w:color w:val="auto"/>
              </w:rPr>
            </w:pPr>
          </w:p>
        </w:tc>
        <w:tc>
          <w:tcPr>
            <w:tcW w:w="1220" w:type="dxa"/>
            <w:vAlign w:val="bottom"/>
            <w:gridSpan w:val="3"/>
            <w:shd w:val="clear" w:color="auto" w:fill="E5E5E5"/>
          </w:tcPr>
          <w:p>
            <w:pPr>
              <w:jc w:val="right"/>
              <w:spacing w:after="0"/>
              <w:rPr>
                <w:sz w:val="20"/>
                <w:szCs w:val="20"/>
                <w:color w:val="auto"/>
              </w:rPr>
            </w:pPr>
            <w:r>
              <w:rPr>
                <w:rFonts w:ascii="Arial" w:cs="Arial" w:eastAsia="Arial" w:hAnsi="Arial"/>
                <w:sz w:val="10"/>
                <w:szCs w:val="10"/>
                <w:color w:val="auto"/>
              </w:rPr>
              <w:t>5.7%</w:t>
            </w:r>
          </w:p>
        </w:tc>
        <w:tc>
          <w:tcPr>
            <w:tcW w:w="40" w:type="dxa"/>
            <w:vAlign w:val="bottom"/>
          </w:tcPr>
          <w:p>
            <w:pPr>
              <w:spacing w:after="0"/>
              <w:rPr>
                <w:sz w:val="15"/>
                <w:szCs w:val="15"/>
                <w:color w:val="auto"/>
              </w:rPr>
            </w:pPr>
          </w:p>
        </w:tc>
      </w:tr>
      <w:tr>
        <w:trPr>
          <w:trHeight w:val="190"/>
        </w:trPr>
        <w:tc>
          <w:tcPr>
            <w:tcW w:w="40" w:type="dxa"/>
            <w:vAlign w:val="bottom"/>
          </w:tcPr>
          <w:p>
            <w:pPr>
              <w:spacing w:after="0"/>
              <w:rPr>
                <w:sz w:val="16"/>
                <w:szCs w:val="16"/>
                <w:color w:val="auto"/>
              </w:rPr>
            </w:pPr>
          </w:p>
        </w:tc>
        <w:tc>
          <w:tcPr>
            <w:tcW w:w="3980" w:type="dxa"/>
            <w:vAlign w:val="bottom"/>
            <w:gridSpan w:val="3"/>
          </w:tcPr>
          <w:p>
            <w:pPr>
              <w:ind w:left="20"/>
              <w:spacing w:after="0"/>
              <w:rPr>
                <w:sz w:val="20"/>
                <w:szCs w:val="20"/>
                <w:color w:val="auto"/>
              </w:rPr>
            </w:pPr>
            <w:r>
              <w:rPr>
                <w:rFonts w:ascii="Arial" w:cs="Arial" w:eastAsia="Arial" w:hAnsi="Arial"/>
                <w:sz w:val="10"/>
                <w:szCs w:val="10"/>
                <w:b w:val="1"/>
                <w:bCs w:val="1"/>
                <w:color w:val="auto"/>
              </w:rPr>
              <w:t>Adjustments: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3980" w:type="dxa"/>
            <w:vAlign w:val="bottom"/>
            <w:gridSpan w:val="3"/>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229</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157</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r>
      <w:tr>
        <w:trPr>
          <w:trHeight w:val="190"/>
        </w:trPr>
        <w:tc>
          <w:tcPr>
            <w:tcW w:w="40" w:type="dxa"/>
            <w:vAlign w:val="bottom"/>
          </w:tcPr>
          <w:p>
            <w:pPr>
              <w:spacing w:after="0"/>
              <w:rPr>
                <w:sz w:val="16"/>
                <w:szCs w:val="16"/>
                <w:color w:val="auto"/>
              </w:rPr>
            </w:pPr>
          </w:p>
        </w:tc>
        <w:tc>
          <w:tcPr>
            <w:tcW w:w="3980" w:type="dxa"/>
            <w:vAlign w:val="bottom"/>
            <w:gridSpan w:val="3"/>
          </w:tcPr>
          <w:p>
            <w:pPr>
              <w:ind w:left="20"/>
              <w:spacing w:after="0"/>
              <w:rPr>
                <w:sz w:val="20"/>
                <w:szCs w:val="20"/>
                <w:color w:val="auto"/>
              </w:rPr>
            </w:pPr>
            <w:r>
              <w:rPr>
                <w:rFonts w:ascii="Arial" w:cs="Arial" w:eastAsia="Arial" w:hAnsi="Arial"/>
                <w:sz w:val="10"/>
                <w:szCs w:val="10"/>
                <w:color w:val="auto"/>
              </w:rPr>
              <w:t>Amortization of intangible assets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3980" w:type="dxa"/>
            <w:vAlign w:val="bottom"/>
            <w:gridSpan w:val="3"/>
            <w:shd w:val="clear" w:color="auto" w:fill="E5E5E5"/>
          </w:tcPr>
          <w:p>
            <w:pPr>
              <w:ind w:left="20"/>
              <w:spacing w:after="0"/>
              <w:rPr>
                <w:sz w:val="20"/>
                <w:szCs w:val="20"/>
                <w:color w:val="auto"/>
              </w:rPr>
            </w:pPr>
            <w:r>
              <w:rPr>
                <w:rFonts w:ascii="Arial" w:cs="Arial" w:eastAsia="Arial" w:hAnsi="Arial"/>
                <w:sz w:val="10"/>
                <w:szCs w:val="10"/>
                <w:color w:val="auto"/>
              </w:rPr>
              <w:t>Transaction and related costs, net</w:t>
            </w: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12</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68</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r>
      <w:tr>
        <w:trPr>
          <w:trHeight w:val="190"/>
        </w:trPr>
        <w:tc>
          <w:tcPr>
            <w:tcW w:w="40" w:type="dxa"/>
            <w:vAlign w:val="bottom"/>
          </w:tcPr>
          <w:p>
            <w:pPr>
              <w:spacing w:after="0"/>
              <w:rPr>
                <w:sz w:val="16"/>
                <w:szCs w:val="16"/>
                <w:color w:val="auto"/>
              </w:rPr>
            </w:pPr>
          </w:p>
        </w:tc>
        <w:tc>
          <w:tcPr>
            <w:tcW w:w="3980" w:type="dxa"/>
            <w:vAlign w:val="bottom"/>
            <w:tcBorders>
              <w:bottom w:val="single" w:sz="8" w:color="E5E5E5"/>
            </w:tcBorders>
            <w:gridSpan w:val="3"/>
          </w:tcPr>
          <w:p>
            <w:pPr>
              <w:ind w:left="20"/>
              <w:spacing w:after="0"/>
              <w:rPr>
                <w:sz w:val="20"/>
                <w:szCs w:val="20"/>
                <w:color w:val="auto"/>
              </w:rPr>
            </w:pPr>
            <w:r>
              <w:rPr>
                <w:rFonts w:ascii="Arial" w:cs="Arial" w:eastAsia="Arial" w:hAnsi="Arial"/>
                <w:sz w:val="10"/>
                <w:szCs w:val="10"/>
                <w:color w:val="auto"/>
              </w:rPr>
              <w:t>Other expenses, net</w:t>
            </w:r>
          </w:p>
        </w:tc>
        <w:tc>
          <w:tcPr>
            <w:tcW w:w="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84</w:t>
            </w:r>
          </w:p>
        </w:tc>
        <w:tc>
          <w:tcPr>
            <w:tcW w:w="120" w:type="dxa"/>
            <w:vAlign w:val="bottom"/>
            <w:tcBorders>
              <w:bottom w:val="single" w:sz="8" w:color="E5E5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271</w:t>
            </w:r>
          </w:p>
        </w:tc>
        <w:tc>
          <w:tcPr>
            <w:tcW w:w="100" w:type="dxa"/>
            <w:vAlign w:val="bottom"/>
            <w:tcBorders>
              <w:bottom w:val="single" w:sz="8" w:color="E5E5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120" w:type="dxa"/>
            <w:vAlign w:val="bottom"/>
            <w:tcBorders>
              <w:bottom w:val="single" w:sz="8" w:color="E5E5E5"/>
            </w:tcBorders>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3980" w:type="dxa"/>
            <w:vAlign w:val="bottom"/>
            <w:tcBorders>
              <w:bottom w:val="single" w:sz="8" w:color="E5E5E5"/>
            </w:tcBorders>
            <w:gridSpan w:val="3"/>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20" w:type="dxa"/>
            <w:vAlign w:val="bottom"/>
            <w:tcBorders>
              <w:bottom w:val="single" w:sz="8" w:color="E5E5E5"/>
            </w:tcBorders>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1,192</w:t>
            </w:r>
          </w:p>
        </w:tc>
        <w:tc>
          <w:tcPr>
            <w:tcW w:w="120" w:type="dxa"/>
            <w:vAlign w:val="bottom"/>
            <w:tcBorders>
              <w:bottom w:val="single" w:sz="8" w:color="E5E5E5"/>
            </w:tcBorders>
            <w:shd w:val="clear" w:color="auto" w:fill="E5E5E5"/>
          </w:tcPr>
          <w:p>
            <w:pPr>
              <w:spacing w:after="0"/>
              <w:rPr>
                <w:sz w:val="16"/>
                <w:szCs w:val="16"/>
                <w:color w:val="auto"/>
              </w:rPr>
            </w:pPr>
          </w:p>
        </w:tc>
        <w:tc>
          <w:tcPr>
            <w:tcW w:w="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9,066</w:t>
            </w:r>
          </w:p>
        </w:tc>
        <w:tc>
          <w:tcPr>
            <w:tcW w:w="128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0"/>
                <w:szCs w:val="10"/>
                <w:color w:val="auto"/>
              </w:rPr>
              <w:t>13.1%</w:t>
            </w:r>
          </w:p>
        </w:tc>
        <w:tc>
          <w:tcPr>
            <w:tcW w:w="2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1,093</w:t>
            </w:r>
          </w:p>
        </w:tc>
        <w:tc>
          <w:tcPr>
            <w:tcW w:w="100" w:type="dxa"/>
            <w:vAlign w:val="bottom"/>
            <w:tcBorders>
              <w:bottom w:val="single" w:sz="8" w:color="E5E5E5"/>
            </w:tcBorders>
            <w:shd w:val="clear" w:color="auto" w:fill="E5E5E5"/>
          </w:tcPr>
          <w:p>
            <w:pPr>
              <w:spacing w:after="0"/>
              <w:rPr>
                <w:sz w:val="16"/>
                <w:szCs w:val="16"/>
                <w:color w:val="auto"/>
              </w:rPr>
            </w:pPr>
          </w:p>
        </w:tc>
        <w:tc>
          <w:tcPr>
            <w:tcW w:w="20" w:type="dxa"/>
            <w:vAlign w:val="bottom"/>
            <w:tcBorders>
              <w:bottom w:val="single" w:sz="8" w:color="auto"/>
            </w:tcBorders>
            <w:shd w:val="clear" w:color="auto" w:fill="E5E5E5"/>
          </w:tcPr>
          <w:p>
            <w:pPr>
              <w:spacing w:after="0"/>
              <w:rPr>
                <w:sz w:val="16"/>
                <w:szCs w:val="16"/>
                <w:color w:val="auto"/>
              </w:rPr>
            </w:pPr>
          </w:p>
        </w:tc>
        <w:tc>
          <w:tcPr>
            <w:tcW w:w="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9,662</w:t>
            </w:r>
          </w:p>
        </w:tc>
        <w:tc>
          <w:tcPr>
            <w:tcW w:w="20" w:type="dxa"/>
            <w:vAlign w:val="bottom"/>
            <w:tcBorders>
              <w:bottom w:val="single" w:sz="8" w:color="E5E5E5"/>
            </w:tcBorders>
            <w:shd w:val="clear" w:color="auto" w:fill="E5E5E5"/>
          </w:tcPr>
          <w:p>
            <w:pPr>
              <w:spacing w:after="0"/>
              <w:rPr>
                <w:sz w:val="16"/>
                <w:szCs w:val="16"/>
                <w:color w:val="auto"/>
              </w:rPr>
            </w:pPr>
          </w:p>
        </w:tc>
        <w:tc>
          <w:tcPr>
            <w:tcW w:w="1220" w:type="dxa"/>
            <w:vAlign w:val="bottom"/>
            <w:tcBorders>
              <w:bottom w:val="single" w:sz="8" w:color="E5E5E5"/>
            </w:tcBorders>
            <w:gridSpan w:val="3"/>
            <w:shd w:val="clear" w:color="auto" w:fill="E5E5E5"/>
          </w:tcPr>
          <w:p>
            <w:pPr>
              <w:jc w:val="right"/>
              <w:spacing w:after="0"/>
              <w:rPr>
                <w:sz w:val="20"/>
                <w:szCs w:val="20"/>
                <w:color w:val="auto"/>
              </w:rPr>
            </w:pPr>
            <w:r>
              <w:rPr>
                <w:rFonts w:ascii="Arial" w:cs="Arial" w:eastAsia="Arial" w:hAnsi="Arial"/>
                <w:sz w:val="10"/>
                <w:szCs w:val="10"/>
                <w:color w:val="auto"/>
              </w:rPr>
              <w:t>11.3%</w:t>
            </w:r>
          </w:p>
        </w:tc>
        <w:tc>
          <w:tcPr>
            <w:tcW w:w="40" w:type="dxa"/>
            <w:vAlign w:val="bottom"/>
          </w:tcPr>
          <w:p>
            <w:pPr>
              <w:spacing w:after="0"/>
              <w:rPr>
                <w:sz w:val="16"/>
                <w:szCs w:val="16"/>
                <w:color w:val="auto"/>
              </w:rPr>
            </w:pPr>
          </w:p>
        </w:tc>
      </w:tr>
      <w:tr>
        <w:trPr>
          <w:trHeight w:val="76"/>
        </w:trPr>
        <w:tc>
          <w:tcPr>
            <w:tcW w:w="3900" w:type="dxa"/>
            <w:vAlign w:val="bottom"/>
            <w:gridSpan w:val="2"/>
          </w:tcPr>
          <w:p>
            <w:pPr>
              <w:spacing w:after="0" w:line="77" w:lineRule="exact"/>
              <w:rPr>
                <w:sz w:val="20"/>
                <w:szCs w:val="20"/>
                <w:color w:val="auto"/>
              </w:rPr>
            </w:pPr>
            <w:r>
              <w:rPr>
                <w:rFonts w:ascii="Arial" w:cs="Arial" w:eastAsia="Arial" w:hAnsi="Arial"/>
                <w:sz w:val="8"/>
                <w:szCs w:val="8"/>
                <w:color w:val="auto"/>
              </w:rPr>
              <w:t>____________________________</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r>
    </w:tbl>
    <w:p>
      <w:pPr>
        <w:ind w:left="242" w:hanging="242"/>
        <w:spacing w:after="0" w:line="204" w:lineRule="auto"/>
        <w:tabs>
          <w:tab w:leader="none" w:pos="242" w:val="left"/>
        </w:tabs>
        <w:numPr>
          <w:ilvl w:val="0"/>
          <w:numId w:val="36"/>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Pre-Tax Income and revenue from continuing operations.</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Free Cash Flow reconciliation</w:t>
      </w:r>
    </w:p>
    <w:p>
      <w:pPr>
        <w:spacing w:after="0" w:line="179" w:lineRule="exact"/>
        <w:rPr>
          <w:sz w:val="20"/>
          <w:szCs w:val="20"/>
          <w:color w:val="auto"/>
        </w:rPr>
      </w:pPr>
    </w:p>
    <w:tbl>
      <w:tblPr>
        <w:tblLayout w:type="fixed"/>
        <w:tblInd w:w="62" w:type="dxa"/>
        <w:tblCellMar>
          <w:top w:w="0" w:type="dxa"/>
          <w:left w:w="0" w:type="dxa"/>
          <w:bottom w:w="0" w:type="dxa"/>
          <w:right w:w="0" w:type="dxa"/>
        </w:tblCellMar>
      </w:tblPr>
      <w:tr>
        <w:trPr>
          <w:trHeight w:val="117"/>
        </w:trPr>
        <w:tc>
          <w:tcPr>
            <w:tcW w:w="6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3"/>
          </w:tcPr>
          <w:p>
            <w:pPr>
              <w:jc w:val="right"/>
              <w:ind w:right="88"/>
              <w:spacing w:after="0"/>
              <w:rPr>
                <w:sz w:val="20"/>
                <w:szCs w:val="20"/>
                <w:color w:val="auto"/>
              </w:rPr>
            </w:pPr>
            <w:r>
              <w:rPr>
                <w:rFonts w:ascii="Arial" w:cs="Arial" w:eastAsia="Arial" w:hAnsi="Arial"/>
                <w:sz w:val="10"/>
                <w:szCs w:val="10"/>
                <w:color w:val="auto"/>
              </w:rPr>
              <w:t>Year Ended</w:t>
            </w:r>
          </w:p>
        </w:tc>
        <w:tc>
          <w:tcPr>
            <w:tcW w:w="760" w:type="dxa"/>
            <w:vAlign w:val="bottom"/>
          </w:tcPr>
          <w:p>
            <w:pPr>
              <w:spacing w:after="0"/>
              <w:rPr>
                <w:sz w:val="10"/>
                <w:szCs w:val="10"/>
                <w:color w:val="auto"/>
              </w:rPr>
            </w:pPr>
          </w:p>
        </w:tc>
      </w:tr>
      <w:tr>
        <w:trPr>
          <w:trHeight w:val="128"/>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0"/>
                <w:szCs w:val="10"/>
                <w:color w:val="auto"/>
              </w:rPr>
              <w:t>December 31,</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December 31,</w:t>
            </w:r>
          </w:p>
        </w:tc>
        <w:tc>
          <w:tcPr>
            <w:tcW w:w="760" w:type="dxa"/>
            <w:vAlign w:val="bottom"/>
            <w:tcBorders>
              <w:bottom w:val="single" w:sz="8" w:color="auto"/>
            </w:tcBorders>
          </w:tcPr>
          <w:p>
            <w:pPr>
              <w:spacing w:after="0"/>
              <w:rPr>
                <w:sz w:val="11"/>
                <w:szCs w:val="11"/>
                <w:color w:val="auto"/>
              </w:rPr>
            </w:pPr>
          </w:p>
        </w:tc>
      </w:tr>
      <w:tr>
        <w:trPr>
          <w:trHeight w:val="184"/>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w w:val="98"/>
              </w:rPr>
              <w:t>2018</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rPr>
              <w:t>2018</w:t>
            </w:r>
          </w:p>
        </w:tc>
      </w:tr>
      <w:tr>
        <w:trPr>
          <w:trHeight w:val="179"/>
        </w:trPr>
        <w:tc>
          <w:tcPr>
            <w:tcW w:w="648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398</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384</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1,082</w:t>
            </w:r>
          </w:p>
        </w:tc>
      </w:tr>
      <w:tr>
        <w:trPr>
          <w:trHeight w:val="190"/>
        </w:trPr>
        <w:tc>
          <w:tcPr>
            <w:tcW w:w="648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Capital Expenditures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(65)</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(90)</w:t>
            </w:r>
          </w:p>
        </w:tc>
      </w:tr>
      <w:tr>
        <w:trPr>
          <w:trHeight w:val="169"/>
        </w:trPr>
        <w:tc>
          <w:tcPr>
            <w:tcW w:w="64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Free Cash Flow</w:t>
            </w: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381</w:t>
            </w:r>
          </w:p>
        </w:tc>
        <w:tc>
          <w:tcPr>
            <w:tcW w:w="120" w:type="dxa"/>
            <w:vAlign w:val="bottom"/>
            <w:tcBorders>
              <w:bottom w:val="single" w:sz="8" w:color="E5E5E5"/>
            </w:tcBorders>
            <w:shd w:val="clear" w:color="auto" w:fill="E5E5E5"/>
          </w:tcPr>
          <w:p>
            <w:pPr>
              <w:spacing w:after="0"/>
              <w:rPr>
                <w:sz w:val="14"/>
                <w:szCs w:val="14"/>
                <w:color w:val="auto"/>
              </w:rPr>
            </w:pPr>
          </w:p>
        </w:tc>
        <w:tc>
          <w:tcPr>
            <w:tcW w:w="44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367</w:t>
            </w:r>
          </w:p>
        </w:tc>
        <w:tc>
          <w:tcPr>
            <w:tcW w:w="120" w:type="dxa"/>
            <w:vAlign w:val="bottom"/>
            <w:tcBorders>
              <w:bottom w:val="single" w:sz="8" w:color="E5E5E5"/>
            </w:tcBorders>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1,179</w:t>
            </w:r>
          </w:p>
        </w:tc>
        <w:tc>
          <w:tcPr>
            <w:tcW w:w="100" w:type="dxa"/>
            <w:vAlign w:val="bottom"/>
            <w:tcBorders>
              <w:bottom w:val="single" w:sz="8" w:color="E5E5E5"/>
            </w:tcBorders>
            <w:shd w:val="clear" w:color="auto" w:fill="E5E5E5"/>
          </w:tcPr>
          <w:p>
            <w:pPr>
              <w:spacing w:after="0"/>
              <w:rPr>
                <w:sz w:val="14"/>
                <w:szCs w:val="14"/>
                <w:color w:val="auto"/>
              </w:rPr>
            </w:pPr>
          </w:p>
        </w:tc>
        <w:tc>
          <w:tcPr>
            <w:tcW w:w="36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6350</wp:posOffset>
            </wp:positionV>
            <wp:extent cx="30905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90545" cy="6350"/>
                    </a:xfrm>
                    <a:prstGeom prst="rect">
                      <a:avLst/>
                    </a:prstGeom>
                    <a:noFill/>
                  </pic:spPr>
                </pic:pic>
              </a:graphicData>
            </a:graphic>
          </wp:anchor>
        </w:drawing>
      </w:r>
    </w:p>
    <w:p>
      <w:pPr>
        <w:ind w:left="2"/>
        <w:spacing w:after="0"/>
        <w:rPr>
          <w:sz w:val="20"/>
          <w:szCs w:val="20"/>
          <w:color w:val="auto"/>
        </w:rPr>
      </w:pPr>
      <w:r>
        <w:rPr>
          <w:rFonts w:ascii="Arial" w:cs="Arial" w:eastAsia="Arial" w:hAnsi="Arial"/>
          <w:sz w:val="8"/>
          <w:szCs w:val="8"/>
          <w:color w:val="auto"/>
        </w:rPr>
        <w:t>____________________________</w:t>
      </w:r>
    </w:p>
    <w:p>
      <w:pPr>
        <w:spacing w:after="0" w:line="14" w:lineRule="exact"/>
        <w:rPr>
          <w:sz w:val="20"/>
          <w:szCs w:val="20"/>
          <w:color w:val="auto"/>
        </w:rPr>
      </w:pPr>
    </w:p>
    <w:p>
      <w:pPr>
        <w:ind w:left="242" w:hanging="242"/>
        <w:spacing w:after="0"/>
        <w:tabs>
          <w:tab w:leader="none" w:pos="242" w:val="left"/>
        </w:tabs>
        <w:numPr>
          <w:ilvl w:val="0"/>
          <w:numId w:val="3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Net cash provided by operating activities from continuing operations.</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3"/>
          <w:szCs w:val="13"/>
          <w:b w:val="1"/>
          <w:bCs w:val="1"/>
          <w:u w:val="single" w:color="auto"/>
          <w:color w:val="auto"/>
        </w:rPr>
        <w:t>Guidance</w:t>
      </w:r>
    </w:p>
    <w:p>
      <w:pPr>
        <w:spacing w:after="0" w:line="125"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Earnings per Share</w:t>
      </w:r>
    </w:p>
    <w:p>
      <w:pPr>
        <w:spacing w:after="0" w:line="179" w:lineRule="exact"/>
        <w:rPr>
          <w:sz w:val="20"/>
          <w:szCs w:val="20"/>
          <w:color w:val="auto"/>
        </w:rPr>
      </w:pPr>
    </w:p>
    <w:tbl>
      <w:tblPr>
        <w:tblLayout w:type="fixed"/>
        <w:tblInd w:w="2" w:type="dxa"/>
        <w:tblCellMar>
          <w:top w:w="0" w:type="dxa"/>
          <w:left w:w="0" w:type="dxa"/>
          <w:bottom w:w="0" w:type="dxa"/>
          <w:right w:w="0" w:type="dxa"/>
        </w:tblCellMar>
      </w:tblPr>
      <w:tr>
        <w:trPr>
          <w:trHeight w:val="128"/>
        </w:trPr>
        <w:tc>
          <w:tcPr>
            <w:tcW w:w="8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1000"/>
              <w:spacing w:after="0"/>
              <w:rPr>
                <w:sz w:val="20"/>
                <w:szCs w:val="20"/>
                <w:color w:val="auto"/>
              </w:rPr>
            </w:pPr>
            <w:r>
              <w:rPr>
                <w:rFonts w:ascii="Arial" w:cs="Arial" w:eastAsia="Arial" w:hAnsi="Arial"/>
                <w:sz w:val="10"/>
                <w:szCs w:val="10"/>
                <w:color w:val="auto"/>
              </w:rPr>
              <w:t>FY 2020</w:t>
            </w:r>
          </w:p>
        </w:tc>
        <w:tc>
          <w:tcPr>
            <w:tcW w:w="1020" w:type="dxa"/>
            <w:vAlign w:val="bottom"/>
            <w:tcBorders>
              <w:bottom w:val="single" w:sz="8" w:color="auto"/>
            </w:tcBorders>
          </w:tcPr>
          <w:p>
            <w:pPr>
              <w:spacing w:after="0"/>
              <w:rPr>
                <w:sz w:val="11"/>
                <w:szCs w:val="11"/>
                <w:color w:val="auto"/>
              </w:rPr>
            </w:pPr>
          </w:p>
        </w:tc>
      </w:tr>
      <w:tr>
        <w:trPr>
          <w:trHeight w:val="184"/>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 share amounts)</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Net Income</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color w:val="auto"/>
              </w:rPr>
              <w:t>EPS</w:t>
            </w:r>
          </w:p>
        </w:tc>
      </w:tr>
      <w:tr>
        <w:trPr>
          <w:trHeight w:val="179"/>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Estimated</w:t>
            </w:r>
            <w:r>
              <w:rPr>
                <w:rFonts w:ascii="Arial" w:cs="Arial" w:eastAsia="Arial" w:hAnsi="Arial"/>
                <w:sz w:val="12"/>
                <w:szCs w:val="12"/>
                <w:b w:val="1"/>
                <w:bCs w:val="1"/>
                <w:color w:val="auto"/>
                <w:vertAlign w:val="superscript"/>
              </w:rPr>
              <w:t>(1)</w:t>
            </w:r>
          </w:p>
        </w:tc>
        <w:tc>
          <w:tcPr>
            <w:tcW w:w="260" w:type="dxa"/>
            <w:vAlign w:val="bottom"/>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625</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0"/>
                <w:szCs w:val="10"/>
                <w:color w:val="auto"/>
              </w:rPr>
              <w:t>~ $2.80 - $2.90</w:t>
            </w:r>
          </w:p>
        </w:tc>
      </w:tr>
      <w:tr>
        <w:trPr>
          <w:trHeight w:val="190"/>
        </w:trPr>
        <w:tc>
          <w:tcPr>
            <w:tcW w:w="860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2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175</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r>
      <w:tr>
        <w:trPr>
          <w:trHeight w:val="190"/>
        </w:trPr>
        <w:tc>
          <w:tcPr>
            <w:tcW w:w="860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2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Non-service retirement-related costs</w:t>
            </w:r>
          </w:p>
        </w:tc>
        <w:tc>
          <w:tcPr>
            <w:tcW w:w="2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35</w:t>
            </w:r>
          </w:p>
        </w:tc>
        <w:tc>
          <w:tcPr>
            <w:tcW w:w="1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r>
      <w:tr>
        <w:trPr>
          <w:trHeight w:val="190"/>
        </w:trPr>
        <w:tc>
          <w:tcPr>
            <w:tcW w:w="860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Income tax on adjustments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(70)</w:t>
            </w: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8"/>
        </w:trPr>
        <w:tc>
          <w:tcPr>
            <w:tcW w:w="86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26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800</w:t>
            </w:r>
          </w:p>
        </w:tc>
        <w:tc>
          <w:tcPr>
            <w:tcW w:w="100" w:type="dxa"/>
            <w:vAlign w:val="bottom"/>
            <w:tcBorders>
              <w:bottom w:val="single" w:sz="8" w:color="E5E5E5"/>
            </w:tcBorders>
            <w:shd w:val="clear" w:color="auto" w:fill="E5E5E5"/>
          </w:tcPr>
          <w:p>
            <w:pPr>
              <w:spacing w:after="0"/>
              <w:rPr>
                <w:sz w:val="15"/>
                <w:szCs w:val="15"/>
                <w:color w:val="auto"/>
              </w:rPr>
            </w:pPr>
          </w:p>
        </w:tc>
        <w:tc>
          <w:tcPr>
            <w:tcW w:w="360" w:type="dxa"/>
            <w:vAlign w:val="bottom"/>
            <w:tcBorders>
              <w:bottom w:val="single" w:sz="8" w:color="auto"/>
            </w:tcBorders>
            <w:shd w:val="clear" w:color="auto" w:fill="E5E5E5"/>
          </w:tcPr>
          <w:p>
            <w:pPr>
              <w:spacing w:after="0"/>
              <w:rPr>
                <w:sz w:val="15"/>
                <w:szCs w:val="15"/>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 $3.60 - $3.70</w:t>
            </w:r>
          </w:p>
        </w:tc>
      </w:tr>
      <w:tr>
        <w:trPr>
          <w:trHeight w:val="204"/>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4"/>
        </w:trPr>
        <w:tc>
          <w:tcPr>
            <w:tcW w:w="8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Estimated Full Year 2020 weighted average shares for GAAP and adjusted EPS</w:t>
            </w:r>
          </w:p>
        </w:tc>
        <w:tc>
          <w:tcPr>
            <w:tcW w:w="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220</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r>
      <w:tr>
        <w:trPr>
          <w:trHeight w:val="92"/>
        </w:trPr>
        <w:tc>
          <w:tcPr>
            <w:tcW w:w="8480" w:type="dxa"/>
            <w:vAlign w:val="bottom"/>
          </w:tcPr>
          <w:p>
            <w:pPr>
              <w:spacing w:after="0"/>
              <w:rPr>
                <w:sz w:val="20"/>
                <w:szCs w:val="20"/>
                <w:color w:val="auto"/>
              </w:rPr>
            </w:pPr>
            <w:r>
              <w:rPr>
                <w:rFonts w:ascii="Arial" w:cs="Arial" w:eastAsia="Arial" w:hAnsi="Arial"/>
                <w:sz w:val="8"/>
                <w:szCs w:val="8"/>
                <w:color w:val="auto"/>
              </w:rPr>
              <w:t>____________________________</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2" w:lineRule="exact"/>
        <w:rPr>
          <w:sz w:val="20"/>
          <w:szCs w:val="20"/>
          <w:color w:val="auto"/>
        </w:rPr>
      </w:pPr>
    </w:p>
    <w:p>
      <w:pPr>
        <w:ind w:left="242" w:hanging="242"/>
        <w:spacing w:after="0"/>
        <w:tabs>
          <w:tab w:leader="none" w:pos="242" w:val="left"/>
        </w:tabs>
        <w:numPr>
          <w:ilvl w:val="0"/>
          <w:numId w:val="3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Net Income and EPS from continuing operations attributable to Xerox Holdings.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82"/>
          </w:cols>
          <w:pgMar w:left="218" w:top="640" w:right="199" w:bottom="1440" w:gutter="0" w:footer="0" w:header="0"/>
        </w:sectPr>
      </w:pPr>
    </w:p>
    <w:bookmarkStart w:id="33" w:name="page34"/>
    <w:bookmarkEnd w:id="33"/>
    <w:p>
      <w:pPr>
        <w:ind w:left="2"/>
        <w:spacing w:after="0"/>
        <w:rPr>
          <w:sz w:val="20"/>
          <w:szCs w:val="20"/>
          <w:color w:val="auto"/>
        </w:rPr>
      </w:pPr>
      <w:r>
        <w:rPr>
          <w:rFonts w:ascii="Arial" w:cs="Arial" w:eastAsia="Arial" w:hAnsi="Arial"/>
          <w:sz w:val="13"/>
          <w:szCs w:val="13"/>
          <w:i w:val="1"/>
          <w:iCs w:val="1"/>
          <w:u w:val="single" w:color="auto"/>
          <w:color w:val="auto"/>
        </w:rPr>
        <w:t>Operating Income / Margin</w:t>
      </w:r>
    </w:p>
    <w:p>
      <w:pPr>
        <w:spacing w:after="0" w:line="179" w:lineRule="exact"/>
        <w:rPr>
          <w:sz w:val="20"/>
          <w:szCs w:val="20"/>
          <w:color w:val="auto"/>
        </w:rPr>
      </w:pPr>
    </w:p>
    <w:tbl>
      <w:tblPr>
        <w:tblLayout w:type="fixed"/>
        <w:tblInd w:w="42" w:type="dxa"/>
        <w:tblCellMar>
          <w:top w:w="0" w:type="dxa"/>
          <w:left w:w="0" w:type="dxa"/>
          <w:bottom w:w="0" w:type="dxa"/>
          <w:right w:w="0" w:type="dxa"/>
        </w:tblCellMar>
      </w:tblPr>
      <w:tr>
        <w:trPr>
          <w:trHeight w:val="128"/>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rPr>
              <w:t>FY 2020</w:t>
            </w: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r>
      <w:tr>
        <w:trPr>
          <w:trHeight w:val="18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rPr>
              <w:t>Revenue</w:t>
            </w:r>
            <w:r>
              <w:rPr>
                <w:rFonts w:ascii="Arial" w:cs="Arial" w:eastAsia="Arial" w:hAnsi="Arial"/>
                <w:sz w:val="12"/>
                <w:szCs w:val="12"/>
                <w:b w:val="1"/>
                <w:bCs w:val="1"/>
                <w:color w:val="auto"/>
                <w:vertAlign w:val="superscript"/>
              </w:rPr>
              <w:t>(2)</w:t>
            </w:r>
          </w:p>
        </w:tc>
        <w:tc>
          <w:tcPr>
            <w:tcW w:w="100" w:type="dxa"/>
            <w:vAlign w:val="bottom"/>
            <w:tcBorders>
              <w:bottom w:val="single" w:sz="8" w:color="E5E5E5"/>
            </w:tcBorders>
          </w:tcPr>
          <w:p>
            <w:pPr>
              <w:spacing w:after="0"/>
              <w:rPr>
                <w:sz w:val="16"/>
                <w:szCs w:val="16"/>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Margin</w:t>
            </w:r>
          </w:p>
        </w:tc>
      </w:tr>
      <w:tr>
        <w:trPr>
          <w:trHeight w:val="174"/>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Estimated</w:t>
            </w:r>
            <w:r>
              <w:rPr>
                <w:rFonts w:ascii="Arial" w:cs="Arial" w:eastAsia="Arial" w:hAnsi="Arial"/>
                <w:sz w:val="12"/>
                <w:szCs w:val="12"/>
                <w:b w:val="1"/>
                <w:bCs w:val="1"/>
                <w:color w:val="auto"/>
                <w:vertAlign w:val="superscript"/>
              </w:rPr>
              <w:t>(1)</w:t>
            </w:r>
          </w:p>
        </w:tc>
        <w:tc>
          <w:tcPr>
            <w:tcW w:w="460" w:type="dxa"/>
            <w:vAlign w:val="bottom"/>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845</w:t>
            </w:r>
          </w:p>
        </w:tc>
        <w:tc>
          <w:tcPr>
            <w:tcW w:w="120" w:type="dxa"/>
            <w:vAlign w:val="bottom"/>
            <w:shd w:val="clear" w:color="auto" w:fill="E5E5E5"/>
          </w:tcPr>
          <w:p>
            <w:pPr>
              <w:spacing w:after="0"/>
              <w:rPr>
                <w:sz w:val="15"/>
                <w:szCs w:val="15"/>
                <w:color w:val="auto"/>
              </w:rPr>
            </w:pPr>
          </w:p>
        </w:tc>
        <w:tc>
          <w:tcPr>
            <w:tcW w:w="400" w:type="dxa"/>
            <w:vAlign w:val="bottom"/>
            <w:shd w:val="clear" w:color="auto" w:fill="E5E5E5"/>
          </w:tcPr>
          <w:p>
            <w:pPr>
              <w:jc w:val="right"/>
              <w:ind w:right="268"/>
              <w:spacing w:after="0"/>
              <w:rPr>
                <w:sz w:val="20"/>
                <w:szCs w:val="20"/>
                <w:color w:val="auto"/>
              </w:rPr>
            </w:pPr>
            <w:r>
              <w:rPr>
                <w:rFonts w:ascii="Arial" w:cs="Arial" w:eastAsia="Arial" w:hAnsi="Arial"/>
                <w:sz w:val="10"/>
                <w:szCs w:val="10"/>
                <w:color w:val="auto"/>
              </w:rPr>
              <w:t>$</w:t>
            </w:r>
          </w:p>
        </w:tc>
        <w:tc>
          <w:tcPr>
            <w:tcW w:w="152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8,625</w:t>
            </w:r>
          </w:p>
        </w:tc>
        <w:tc>
          <w:tcPr>
            <w:tcW w:w="2040" w:type="dxa"/>
            <w:vAlign w:val="bottom"/>
            <w:gridSpan w:val="2"/>
            <w:shd w:val="clear" w:color="auto" w:fill="E5E5E5"/>
          </w:tcPr>
          <w:p>
            <w:pPr>
              <w:ind w:left="920"/>
              <w:spacing w:after="0"/>
              <w:rPr>
                <w:sz w:val="20"/>
                <w:szCs w:val="20"/>
                <w:color w:val="auto"/>
              </w:rPr>
            </w:pPr>
            <w:r>
              <w:rPr>
                <w:rFonts w:ascii="Arial" w:cs="Arial" w:eastAsia="Arial" w:hAnsi="Arial"/>
                <w:sz w:val="10"/>
                <w:szCs w:val="10"/>
                <w:color w:val="auto"/>
              </w:rPr>
              <w:t>~ 10%</w:t>
            </w:r>
          </w:p>
        </w:tc>
      </w:tr>
      <w:tr>
        <w:trPr>
          <w:trHeight w:val="190"/>
        </w:trPr>
        <w:tc>
          <w:tcPr>
            <w:tcW w:w="536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9"/>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46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175</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940" w:type="dxa"/>
            <w:vAlign w:val="bottom"/>
            <w:shd w:val="clear" w:color="auto" w:fill="E5E5E5"/>
          </w:tcPr>
          <w:p>
            <w:pPr>
              <w:spacing w:after="0"/>
              <w:rPr>
                <w:sz w:val="17"/>
                <w:szCs w:val="17"/>
                <w:color w:val="auto"/>
              </w:rPr>
            </w:pPr>
          </w:p>
        </w:tc>
      </w:tr>
      <w:tr>
        <w:trPr>
          <w:trHeight w:val="190"/>
        </w:trPr>
        <w:tc>
          <w:tcPr>
            <w:tcW w:w="536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46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9"/>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Non-service retirement-related costs</w:t>
            </w:r>
          </w:p>
        </w:tc>
        <w:tc>
          <w:tcPr>
            <w:tcW w:w="46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35</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940" w:type="dxa"/>
            <w:vAlign w:val="bottom"/>
            <w:shd w:val="clear" w:color="auto" w:fill="E5E5E5"/>
          </w:tcPr>
          <w:p>
            <w:pPr>
              <w:spacing w:after="0"/>
              <w:rPr>
                <w:sz w:val="17"/>
                <w:szCs w:val="17"/>
                <w:color w:val="auto"/>
              </w:rPr>
            </w:pPr>
          </w:p>
        </w:tc>
      </w:tr>
      <w:tr>
        <w:trPr>
          <w:trHeight w:val="190"/>
        </w:trPr>
        <w:tc>
          <w:tcPr>
            <w:tcW w:w="53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expenses, net</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40</w:t>
            </w:r>
          </w:p>
        </w:tc>
        <w:tc>
          <w:tcPr>
            <w:tcW w:w="12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r>
      <w:tr>
        <w:trPr>
          <w:trHeight w:val="169"/>
        </w:trPr>
        <w:tc>
          <w:tcPr>
            <w:tcW w:w="53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46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1,130</w:t>
            </w:r>
          </w:p>
        </w:tc>
        <w:tc>
          <w:tcPr>
            <w:tcW w:w="120" w:type="dxa"/>
            <w:vAlign w:val="bottom"/>
            <w:tcBorders>
              <w:bottom w:val="single" w:sz="8" w:color="E5E5E5"/>
            </w:tcBorders>
            <w:shd w:val="clear" w:color="auto" w:fill="E5E5E5"/>
          </w:tcPr>
          <w:p>
            <w:pPr>
              <w:spacing w:after="0"/>
              <w:rPr>
                <w:sz w:val="14"/>
                <w:szCs w:val="14"/>
                <w:color w:val="auto"/>
              </w:rPr>
            </w:pPr>
          </w:p>
        </w:tc>
        <w:tc>
          <w:tcPr>
            <w:tcW w:w="40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8,625</w:t>
            </w:r>
          </w:p>
        </w:tc>
        <w:tc>
          <w:tcPr>
            <w:tcW w:w="2040" w:type="dxa"/>
            <w:vAlign w:val="bottom"/>
            <w:tcBorders>
              <w:bottom w:val="single" w:sz="8" w:color="E5E5E5"/>
            </w:tcBorders>
            <w:gridSpan w:val="2"/>
            <w:shd w:val="clear" w:color="auto" w:fill="E5E5E5"/>
          </w:tcPr>
          <w:p>
            <w:pPr>
              <w:ind w:left="920"/>
              <w:spacing w:after="0"/>
              <w:rPr>
                <w:sz w:val="20"/>
                <w:szCs w:val="20"/>
                <w:color w:val="auto"/>
              </w:rPr>
            </w:pPr>
            <w:r>
              <w:rPr>
                <w:rFonts w:ascii="Arial" w:cs="Arial" w:eastAsia="Arial" w:hAnsi="Arial"/>
                <w:sz w:val="10"/>
                <w:szCs w:val="10"/>
                <w:color w:val="auto"/>
              </w:rPr>
              <w:t>~ 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6350</wp:posOffset>
            </wp:positionV>
            <wp:extent cx="25292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205" cy="6350"/>
                    </a:xfrm>
                    <a:prstGeom prst="rect">
                      <a:avLst/>
                    </a:prstGeom>
                    <a:noFill/>
                  </pic:spPr>
                </pic:pic>
              </a:graphicData>
            </a:graphic>
          </wp:anchor>
        </w:drawing>
      </w:r>
    </w:p>
    <w:p>
      <w:pPr>
        <w:ind w:left="2"/>
        <w:spacing w:after="0"/>
        <w:rPr>
          <w:sz w:val="20"/>
          <w:szCs w:val="20"/>
          <w:color w:val="auto"/>
        </w:rPr>
      </w:pPr>
      <w:r>
        <w:rPr>
          <w:rFonts w:ascii="Arial" w:cs="Arial" w:eastAsia="Arial" w:hAnsi="Arial"/>
          <w:sz w:val="8"/>
          <w:szCs w:val="8"/>
          <w:color w:val="auto"/>
        </w:rPr>
        <w:t>____________________________</w:t>
      </w:r>
    </w:p>
    <w:p>
      <w:pPr>
        <w:spacing w:after="0" w:line="14" w:lineRule="exact"/>
        <w:rPr>
          <w:sz w:val="20"/>
          <w:szCs w:val="20"/>
          <w:color w:val="auto"/>
        </w:rPr>
      </w:pPr>
    </w:p>
    <w:p>
      <w:pPr>
        <w:ind w:left="242" w:hanging="242"/>
        <w:spacing w:after="0"/>
        <w:tabs>
          <w:tab w:leader="none" w:pos="242" w:val="left"/>
        </w:tabs>
        <w:numPr>
          <w:ilvl w:val="0"/>
          <w:numId w:val="39"/>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Pre-Tax Income and revenue from continuing operations.</w:t>
      </w:r>
    </w:p>
    <w:p>
      <w:pPr>
        <w:spacing w:after="0" w:line="31" w:lineRule="exact"/>
        <w:rPr>
          <w:rFonts w:ascii="Arial" w:cs="Arial" w:eastAsia="Arial" w:hAnsi="Arial"/>
          <w:sz w:val="13"/>
          <w:szCs w:val="13"/>
          <w:i w:val="1"/>
          <w:iCs w:val="1"/>
          <w:color w:val="auto"/>
          <w:vertAlign w:val="superscript"/>
        </w:rPr>
      </w:pPr>
    </w:p>
    <w:p>
      <w:pPr>
        <w:ind w:left="242" w:hanging="242"/>
        <w:spacing w:after="0" w:line="218" w:lineRule="auto"/>
        <w:tabs>
          <w:tab w:leader="none" w:pos="242" w:val="left"/>
        </w:tabs>
        <w:numPr>
          <w:ilvl w:val="0"/>
          <w:numId w:val="39"/>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Full year 2020 revenue reflects an estimated revenue decline at actual currency of approximately 4.9% from FY 2019, or a decline of approximately 4% excluding the impact of the upfront OEM license fee of $77M in 2019. Impact from translation currency is de minimis.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3"/>
          <w:szCs w:val="13"/>
          <w:i w:val="1"/>
          <w:iCs w:val="1"/>
          <w:u w:val="single" w:color="auto"/>
          <w:color w:val="auto"/>
        </w:rPr>
        <w:t>Free Cash Flow</w:t>
      </w:r>
    </w:p>
    <w:p>
      <w:pPr>
        <w:sectPr>
          <w:pgSz w:w="11900" w:h="16838" w:orient="portrait"/>
          <w:cols w:equalWidth="0" w:num="1">
            <w:col w:w="11422"/>
          </w:cols>
          <w:pgMar w:left="218" w:top="445" w:right="259" w:bottom="1440" w:gutter="0" w:footer="0" w:header="0"/>
        </w:sectPr>
      </w:pPr>
    </w:p>
    <w:p>
      <w:pPr>
        <w:spacing w:after="0" w:line="191" w:lineRule="exact"/>
        <w:rPr>
          <w:sz w:val="20"/>
          <w:szCs w:val="20"/>
          <w:color w:val="auto"/>
        </w:rPr>
      </w:pPr>
    </w:p>
    <w:p>
      <w:pPr>
        <w:ind w:left="142"/>
        <w:spacing w:after="0"/>
        <w:rPr>
          <w:sz w:val="20"/>
          <w:szCs w:val="20"/>
          <w:color w:val="auto"/>
        </w:rPr>
      </w:pPr>
      <w:r>
        <w:rPr>
          <w:rFonts w:ascii="Arial" w:cs="Arial" w:eastAsia="Arial" w:hAnsi="Arial"/>
          <w:sz w:val="9"/>
          <w:szCs w:val="9"/>
          <w:color w:val="auto"/>
        </w:rPr>
        <w:t>(in millions)</w:t>
      </w:r>
    </w:p>
    <w:p>
      <w:pPr>
        <w:spacing w:after="0" w:line="67" w:lineRule="exact"/>
        <w:rPr>
          <w:sz w:val="20"/>
          <w:szCs w:val="20"/>
          <w:color w:val="auto"/>
        </w:rPr>
      </w:pPr>
    </w:p>
    <w:p>
      <w:pPr>
        <w:ind w:left="142"/>
        <w:spacing w:after="0"/>
        <w:rPr>
          <w:sz w:val="20"/>
          <w:szCs w:val="20"/>
          <w:color w:val="auto"/>
        </w:rPr>
      </w:pPr>
      <w:r>
        <w:rPr>
          <w:rFonts w:ascii="Arial" w:cs="Arial" w:eastAsia="Arial" w:hAnsi="Arial"/>
          <w:sz w:val="10"/>
          <w:szCs w:val="10"/>
          <w:b w:val="1"/>
          <w:bCs w:val="1"/>
          <w:color w:val="auto"/>
        </w:rPr>
        <w:t>Operating Cash Flow</w:t>
      </w:r>
      <w:r>
        <w:rPr>
          <w:rFonts w:ascii="Arial" w:cs="Arial" w:eastAsia="Arial" w:hAnsi="Arial"/>
          <w:sz w:val="12"/>
          <w:szCs w:val="12"/>
          <w:b w:val="1"/>
          <w:bCs w:val="1"/>
          <w:color w:val="auto"/>
          <w:vertAlign w:val="superscript"/>
        </w:rPr>
        <w:t>(1)</w:t>
      </w:r>
    </w:p>
    <w:p>
      <w:pPr>
        <w:spacing w:after="0" w:line="80" w:lineRule="exact"/>
        <w:rPr>
          <w:sz w:val="20"/>
          <w:szCs w:val="20"/>
          <w:color w:val="auto"/>
        </w:rPr>
      </w:pPr>
    </w:p>
    <w:p>
      <w:pPr>
        <w:ind w:left="142"/>
        <w:spacing w:after="0"/>
        <w:rPr>
          <w:sz w:val="20"/>
          <w:szCs w:val="20"/>
          <w:color w:val="auto"/>
        </w:rPr>
      </w:pPr>
      <w:r>
        <w:rPr>
          <w:rFonts w:ascii="Arial" w:cs="Arial" w:eastAsia="Arial" w:hAnsi="Arial"/>
          <w:sz w:val="9"/>
          <w:szCs w:val="9"/>
          <w:color w:val="auto"/>
        </w:rPr>
        <w:t>Less: capital expenditures</w:t>
      </w:r>
    </w:p>
    <w:p>
      <w:pPr>
        <w:spacing w:after="0" w:line="67" w:lineRule="exact"/>
        <w:rPr>
          <w:sz w:val="20"/>
          <w:szCs w:val="20"/>
          <w:color w:val="auto"/>
        </w:rPr>
      </w:pPr>
    </w:p>
    <w:p>
      <w:pPr>
        <w:ind w:left="142"/>
        <w:spacing w:after="0"/>
        <w:rPr>
          <w:sz w:val="20"/>
          <w:szCs w:val="20"/>
          <w:color w:val="auto"/>
        </w:rPr>
      </w:pPr>
      <w:r>
        <w:rPr>
          <w:rFonts w:ascii="Arial" w:cs="Arial" w:eastAsia="Arial" w:hAnsi="Arial"/>
          <w:sz w:val="10"/>
          <w:szCs w:val="10"/>
          <w:b w:val="1"/>
          <w:bCs w:val="1"/>
          <w:color w:val="auto"/>
        </w:rPr>
        <w:t>Free Cash Flow</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FY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11430</wp:posOffset>
            </wp:positionV>
            <wp:extent cx="7124700" cy="123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4700" cy="123190"/>
                    </a:xfrm>
                    <a:prstGeom prst="rect">
                      <a:avLst/>
                    </a:prstGeom>
                    <a:noFill/>
                  </pic:spPr>
                </pic:pic>
              </a:graphicData>
            </a:graphic>
          </wp:anchor>
        </w:drawing>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0"/>
          <w:szCs w:val="10"/>
          <w:color w:val="auto"/>
        </w:rPr>
        <w:t>~ $1,300</w:t>
      </w:r>
    </w:p>
    <w:p>
      <w:pPr>
        <w:spacing w:after="0" w:line="79" w:lineRule="exact"/>
        <w:rPr>
          <w:sz w:val="20"/>
          <w:szCs w:val="20"/>
          <w:color w:val="auto"/>
        </w:rPr>
      </w:pPr>
    </w:p>
    <w:p>
      <w:pPr>
        <w:jc w:val="right"/>
        <w:ind w:right="140"/>
        <w:spacing w:after="0"/>
        <w:rPr>
          <w:sz w:val="20"/>
          <w:szCs w:val="20"/>
          <w:color w:val="auto"/>
        </w:rPr>
      </w:pPr>
      <w:r>
        <w:rPr>
          <w:rFonts w:ascii="Arial" w:cs="Arial" w:eastAsia="Arial" w:hAnsi="Arial"/>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11430</wp:posOffset>
            </wp:positionV>
            <wp:extent cx="7124700" cy="123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4700" cy="123190"/>
                    </a:xfrm>
                    <a:prstGeom prst="rect">
                      <a:avLst/>
                    </a:prstGeom>
                    <a:noFill/>
                  </pic:spPr>
                </pic:pic>
              </a:graphicData>
            </a:graphic>
          </wp:anchor>
        </w:drawing>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0"/>
          <w:szCs w:val="10"/>
          <w:color w:val="auto"/>
        </w:rPr>
        <w:t>~ $1,200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23495</wp:posOffset>
            </wp:positionV>
            <wp:extent cx="16344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4490" cy="635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9142" w:space="720"/>
            <w:col w:w="1560"/>
          </w:cols>
          <w:pgMar w:left="218" w:top="445" w:right="259" w:bottom="1440" w:gutter="0" w:footer="0" w:header="0"/>
          <w:type w:val="continuous"/>
        </w:sectPr>
      </w:pPr>
    </w:p>
    <w:p>
      <w:pPr>
        <w:ind w:left="2"/>
        <w:spacing w:after="0"/>
        <w:rPr>
          <w:sz w:val="20"/>
          <w:szCs w:val="20"/>
          <w:color w:val="auto"/>
        </w:rPr>
      </w:pPr>
      <w:r>
        <w:rPr>
          <w:rFonts w:ascii="Arial" w:cs="Arial" w:eastAsia="Arial" w:hAnsi="Arial"/>
          <w:sz w:val="8"/>
          <w:szCs w:val="8"/>
          <w:color w:val="auto"/>
        </w:rPr>
        <w:t>____________________________</w:t>
      </w:r>
    </w:p>
    <w:p>
      <w:pPr>
        <w:spacing w:after="0" w:line="14" w:lineRule="exact"/>
        <w:rPr>
          <w:sz w:val="20"/>
          <w:szCs w:val="20"/>
          <w:color w:val="auto"/>
        </w:rPr>
      </w:pPr>
    </w:p>
    <w:p>
      <w:pPr>
        <w:ind w:left="242" w:hanging="242"/>
        <w:spacing w:after="0"/>
        <w:tabs>
          <w:tab w:leader="none" w:pos="242" w:val="left"/>
        </w:tabs>
        <w:numPr>
          <w:ilvl w:val="0"/>
          <w:numId w:val="40"/>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Net cash provided by operating activities from continuing operations.</w:t>
      </w:r>
    </w:p>
    <w:p>
      <w:pPr>
        <w:spacing w:after="0" w:line="144" w:lineRule="exact"/>
        <w:rPr>
          <w:sz w:val="20"/>
          <w:szCs w:val="20"/>
          <w:color w:val="auto"/>
        </w:rPr>
      </w:pPr>
    </w:p>
    <w:p>
      <w:pPr>
        <w:jc w:val="center"/>
        <w:ind w:right="-41"/>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22"/>
          </w:cols>
          <w:pgMar w:left="218" w:top="445" w:right="25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DA2031"/>
        </w:rPr>
        <w:t>APPENDIX I</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DA2031"/>
        </w:rPr>
        <w:t>Xerox Holdings Corporation</w:t>
      </w:r>
    </w:p>
    <w:p>
      <w:pPr>
        <w:spacing w:after="0" w:line="19"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DA2031"/>
        </w:rPr>
        <w:t>Earnings per Common Share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20" w:type="dxa"/>
            <w:vAlign w:val="bottom"/>
            <w:gridSpan w:val="3"/>
          </w:tcPr>
          <w:p>
            <w:pPr>
              <w:jc w:val="right"/>
              <w:ind w:right="468"/>
              <w:spacing w:after="0"/>
              <w:rPr>
                <w:sz w:val="20"/>
                <w:szCs w:val="20"/>
                <w:color w:val="auto"/>
              </w:rPr>
            </w:pPr>
            <w:r>
              <w:rPr>
                <w:rFonts w:ascii="Arial" w:cs="Arial" w:eastAsia="Arial" w:hAnsi="Arial"/>
                <w:sz w:val="10"/>
                <w:szCs w:val="10"/>
                <w:color w:val="auto"/>
              </w:rPr>
              <w:t>Three Months Ended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gridSpan w:val="3"/>
          </w:tcPr>
          <w:p>
            <w:pPr>
              <w:jc w:val="right"/>
              <w:ind w:right="188"/>
              <w:spacing w:after="0"/>
              <w:rPr>
                <w:sz w:val="20"/>
                <w:szCs w:val="20"/>
                <w:color w:val="auto"/>
              </w:rPr>
            </w:pPr>
            <w:r>
              <w:rPr>
                <w:rFonts w:ascii="Arial" w:cs="Arial" w:eastAsia="Arial" w:hAnsi="Arial"/>
                <w:sz w:val="10"/>
                <w:szCs w:val="10"/>
                <w:color w:val="auto"/>
              </w:rPr>
              <w:t>Year Ended</w:t>
            </w:r>
          </w:p>
        </w:tc>
        <w:tc>
          <w:tcPr>
            <w:tcW w:w="1040" w:type="dxa"/>
            <w:vAlign w:val="bottom"/>
          </w:tcPr>
          <w:p>
            <w:pPr>
              <w:spacing w:after="0"/>
              <w:rPr>
                <w:sz w:val="10"/>
                <w:szCs w:val="10"/>
                <w:color w:val="auto"/>
              </w:rPr>
            </w:pPr>
          </w:p>
        </w:tc>
      </w:tr>
      <w:tr>
        <w:trPr>
          <w:trHeight w:val="128"/>
        </w:trPr>
        <w:tc>
          <w:tcPr>
            <w:tcW w:w="5160" w:type="dxa"/>
            <w:vAlign w:val="bottom"/>
            <w:gridSpan w:val="2"/>
          </w:tcPr>
          <w:p>
            <w:pPr>
              <w:ind w:left="20"/>
              <w:spacing w:after="0"/>
              <w:rPr>
                <w:sz w:val="20"/>
                <w:szCs w:val="20"/>
                <w:color w:val="auto"/>
              </w:rPr>
            </w:pPr>
            <w:r>
              <w:rPr>
                <w:rFonts w:ascii="Arial" w:cs="Arial" w:eastAsia="Arial" w:hAnsi="Arial"/>
                <w:sz w:val="9"/>
                <w:szCs w:val="9"/>
                <w:color w:val="auto"/>
              </w:rPr>
              <w:t>(in millions, except per-share data, shares in thousands)</w:t>
            </w:r>
          </w:p>
        </w:tc>
        <w:tc>
          <w:tcPr>
            <w:tcW w:w="940" w:type="dxa"/>
            <w:vAlign w:val="bottom"/>
          </w:tcPr>
          <w:p>
            <w:pPr>
              <w:spacing w:after="0"/>
              <w:rPr>
                <w:sz w:val="11"/>
                <w:szCs w:val="11"/>
                <w:color w:val="auto"/>
              </w:rPr>
            </w:pPr>
          </w:p>
        </w:tc>
        <w:tc>
          <w:tcPr>
            <w:tcW w:w="1620" w:type="dxa"/>
            <w:vAlign w:val="bottom"/>
            <w:gridSpan w:val="3"/>
          </w:tcPr>
          <w:p>
            <w:pPr>
              <w:jc w:val="right"/>
              <w:ind w:right="608"/>
              <w:spacing w:after="0"/>
              <w:rPr>
                <w:sz w:val="20"/>
                <w:szCs w:val="20"/>
                <w:color w:val="auto"/>
              </w:rPr>
            </w:pPr>
            <w:r>
              <w:rPr>
                <w:rFonts w:ascii="Arial" w:cs="Arial" w:eastAsia="Arial" w:hAnsi="Arial"/>
                <w:sz w:val="10"/>
                <w:szCs w:val="10"/>
                <w:color w:val="auto"/>
              </w:rPr>
              <w:t>December 31,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3"/>
          </w:tcPr>
          <w:p>
            <w:pPr>
              <w:jc w:val="right"/>
              <w:ind w:right="128"/>
              <w:spacing w:after="0"/>
              <w:rPr>
                <w:sz w:val="20"/>
                <w:szCs w:val="20"/>
                <w:color w:val="auto"/>
              </w:rPr>
            </w:pPr>
            <w:r>
              <w:rPr>
                <w:rFonts w:ascii="Arial" w:cs="Arial" w:eastAsia="Arial" w:hAnsi="Arial"/>
                <w:sz w:val="10"/>
                <w:szCs w:val="10"/>
                <w:color w:val="auto"/>
              </w:rPr>
              <w:t>December 31,</w:t>
            </w:r>
          </w:p>
        </w:tc>
        <w:tc>
          <w:tcPr>
            <w:tcW w:w="1040" w:type="dxa"/>
            <w:vAlign w:val="bottom"/>
          </w:tcPr>
          <w:p>
            <w:pPr>
              <w:spacing w:after="0"/>
              <w:rPr>
                <w:sz w:val="11"/>
                <w:szCs w:val="11"/>
                <w:color w:val="auto"/>
              </w:rPr>
            </w:pPr>
          </w:p>
        </w:tc>
      </w:tr>
      <w:tr>
        <w:trPr>
          <w:trHeight w:val="184"/>
        </w:trPr>
        <w:tc>
          <w:tcPr>
            <w:tcW w:w="5040" w:type="dxa"/>
            <w:vAlign w:val="bottom"/>
            <w:tcBorders>
              <w:top w:val="single" w:sz="8" w:color="auto"/>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2019</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2018</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2019</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0"/>
                <w:szCs w:val="10"/>
                <w:color w:val="auto"/>
              </w:rPr>
              <w:t>2018</w:t>
            </w:r>
          </w:p>
        </w:tc>
      </w:tr>
      <w:tr>
        <w:trPr>
          <w:trHeight w:val="188"/>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9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Net Income from continuing operations attributable to Xerox Holdings</w:t>
            </w: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tcPr>
          <w:p>
            <w:pPr>
              <w:spacing w:after="0"/>
              <w:rPr>
                <w:sz w:val="16"/>
                <w:szCs w:val="16"/>
                <w:color w:val="auto"/>
              </w:rPr>
            </w:pP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91</w:t>
            </w:r>
          </w:p>
        </w:tc>
        <w:tc>
          <w:tcPr>
            <w:tcW w:w="120" w:type="dxa"/>
            <w:vAlign w:val="bottom"/>
          </w:tcPr>
          <w:p>
            <w:pPr>
              <w:spacing w:after="0"/>
              <w:rPr>
                <w:sz w:val="16"/>
                <w:szCs w:val="16"/>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648</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306</w:t>
            </w: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dividends on preferred stock</w:t>
            </w:r>
          </w:p>
        </w:tc>
        <w:tc>
          <w:tcPr>
            <w:tcW w:w="94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(14)</w:t>
            </w:r>
          </w:p>
        </w:tc>
        <w:tc>
          <w:tcPr>
            <w:tcW w:w="120" w:type="dxa"/>
            <w:vAlign w:val="bottom"/>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0"/>
                <w:szCs w:val="10"/>
                <w:color w:val="auto"/>
              </w:rPr>
              <w:t>(14)</w:t>
            </w:r>
          </w:p>
        </w:tc>
      </w:tr>
      <w:tr>
        <w:trPr>
          <w:trHeight w:val="174"/>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Adjusted net income from continuing operations available to common shareholders</w:t>
            </w: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263</w:t>
            </w:r>
          </w:p>
        </w:tc>
        <w:tc>
          <w:tcPr>
            <w:tcW w:w="120" w:type="dxa"/>
            <w:vAlign w:val="bottom"/>
          </w:tcPr>
          <w:p>
            <w:pPr>
              <w:spacing w:after="0"/>
              <w:rPr>
                <w:sz w:val="15"/>
                <w:szCs w:val="15"/>
                <w:color w:val="auto"/>
              </w:rPr>
            </w:pP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88</w:t>
            </w:r>
          </w:p>
        </w:tc>
        <w:tc>
          <w:tcPr>
            <w:tcW w:w="120" w:type="dxa"/>
            <w:vAlign w:val="bottom"/>
          </w:tcPr>
          <w:p>
            <w:pPr>
              <w:spacing w:after="0"/>
              <w:rPr>
                <w:sz w:val="15"/>
                <w:szCs w:val="15"/>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634</w:t>
            </w:r>
          </w:p>
        </w:tc>
        <w:tc>
          <w:tcPr>
            <w:tcW w:w="120" w:type="dxa"/>
            <w:vAlign w:val="bottom"/>
          </w:tcPr>
          <w:p>
            <w:pPr>
              <w:spacing w:after="0"/>
              <w:rPr>
                <w:sz w:val="15"/>
                <w:szCs w:val="15"/>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292</w:t>
            </w: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income from discontinued operations attributable to Xerox Holdings, net of tax</w:t>
            </w:r>
          </w:p>
        </w:tc>
        <w:tc>
          <w:tcPr>
            <w:tcW w:w="94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552</w:t>
            </w:r>
          </w:p>
        </w:tc>
        <w:tc>
          <w:tcPr>
            <w:tcW w:w="120" w:type="dxa"/>
            <w:vAlign w:val="bottom"/>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46</w:t>
            </w:r>
          </w:p>
        </w:tc>
        <w:tc>
          <w:tcPr>
            <w:tcW w:w="120" w:type="dxa"/>
            <w:vAlign w:val="bottom"/>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705</w:t>
            </w:r>
          </w:p>
        </w:tc>
        <w:tc>
          <w:tcPr>
            <w:tcW w:w="120" w:type="dxa"/>
            <w:vAlign w:val="bottom"/>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55</w:t>
            </w:r>
          </w:p>
        </w:tc>
      </w:tr>
      <w:tr>
        <w:trPr>
          <w:trHeight w:val="178"/>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Adjusted net income available to common shareholders</w:t>
            </w: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815</w:t>
            </w:r>
          </w:p>
        </w:tc>
        <w:tc>
          <w:tcPr>
            <w:tcW w:w="120" w:type="dxa"/>
            <w:vAlign w:val="bottom"/>
            <w:tcBorders>
              <w:bottom w:val="single" w:sz="8" w:color="E5E5E5"/>
            </w:tcBorders>
          </w:tcPr>
          <w:p>
            <w:pPr>
              <w:spacing w:after="0"/>
              <w:rPr>
                <w:sz w:val="15"/>
                <w:szCs w:val="15"/>
                <w:color w:val="auto"/>
              </w:rPr>
            </w:pP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134</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1,339</w:t>
            </w:r>
          </w:p>
        </w:tc>
        <w:tc>
          <w:tcPr>
            <w:tcW w:w="12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347</w:t>
            </w:r>
          </w:p>
        </w:tc>
      </w:tr>
      <w:tr>
        <w:trPr>
          <w:trHeight w:val="175"/>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Weighted average common shares outstanding</w:t>
            </w:r>
          </w:p>
        </w:tc>
        <w:tc>
          <w:tcPr>
            <w:tcW w:w="940" w:type="dxa"/>
            <w:vAlign w:val="bottom"/>
            <w:shd w:val="clear" w:color="auto" w:fill="E5E5E5"/>
          </w:tcPr>
          <w:p>
            <w:pPr>
              <w:spacing w:after="0"/>
              <w:rPr>
                <w:sz w:val="15"/>
                <w:szCs w:val="15"/>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215,499</w:t>
            </w:r>
          </w:p>
        </w:tc>
        <w:tc>
          <w:tcPr>
            <w:tcW w:w="12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236,190</w:t>
            </w: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221,969</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248,707</w:t>
            </w:r>
          </w:p>
        </w:tc>
      </w:tr>
      <w:tr>
        <w:trPr>
          <w:trHeight w:val="204"/>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9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Continuing operations</w:t>
            </w: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6"/>
                <w:szCs w:val="16"/>
                <w:color w:val="auto"/>
              </w:rPr>
            </w:pP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0.37</w:t>
            </w:r>
          </w:p>
        </w:tc>
        <w:tc>
          <w:tcPr>
            <w:tcW w:w="120" w:type="dxa"/>
            <w:vAlign w:val="bottom"/>
          </w:tcPr>
          <w:p>
            <w:pPr>
              <w:spacing w:after="0"/>
              <w:rPr>
                <w:sz w:val="16"/>
                <w:szCs w:val="16"/>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2.86</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1.17</w:t>
            </w: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Discontinued operations</w:t>
            </w:r>
          </w:p>
        </w:tc>
        <w:tc>
          <w:tcPr>
            <w:tcW w:w="94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2.56</w:t>
            </w:r>
          </w:p>
        </w:tc>
        <w:tc>
          <w:tcPr>
            <w:tcW w:w="120" w:type="dxa"/>
            <w:vAlign w:val="bottom"/>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0.19</w:t>
            </w:r>
          </w:p>
        </w:tc>
        <w:tc>
          <w:tcPr>
            <w:tcW w:w="120" w:type="dxa"/>
            <w:vAlign w:val="bottom"/>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3.17</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0.23</w:t>
            </w:r>
          </w:p>
        </w:tc>
      </w:tr>
      <w:tr>
        <w:trPr>
          <w:trHeight w:val="174"/>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3.78</w:t>
            </w:r>
          </w:p>
        </w:tc>
        <w:tc>
          <w:tcPr>
            <w:tcW w:w="120" w:type="dxa"/>
            <w:vAlign w:val="bottom"/>
            <w:tcBorders>
              <w:bottom w:val="single" w:sz="8" w:color="E5E5E5"/>
            </w:tcBorders>
          </w:tcPr>
          <w:p>
            <w:pPr>
              <w:spacing w:after="0"/>
              <w:rPr>
                <w:sz w:val="15"/>
                <w:szCs w:val="15"/>
                <w:color w:val="auto"/>
              </w:rPr>
            </w:pP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0.56</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6.03</w:t>
            </w:r>
          </w:p>
        </w:tc>
        <w:tc>
          <w:tcPr>
            <w:tcW w:w="12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1.40</w:t>
            </w:r>
          </w:p>
        </w:tc>
      </w:tr>
      <w:tr>
        <w:trPr>
          <w:trHeight w:val="204"/>
        </w:trPr>
        <w:tc>
          <w:tcPr>
            <w:tcW w:w="50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Income from continuing operations attributable to Xerox Holdings</w:t>
            </w:r>
          </w:p>
        </w:tc>
        <w:tc>
          <w:tcPr>
            <w:tcW w:w="940" w:type="dxa"/>
            <w:vAlign w:val="bottom"/>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91</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648</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306</w:t>
            </w: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Accrued dividends on preferred stock</w:t>
            </w:r>
          </w:p>
        </w:tc>
        <w:tc>
          <w:tcPr>
            <w:tcW w:w="9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0"/>
                <w:szCs w:val="10"/>
                <w:color w:val="auto"/>
              </w:rPr>
              <w:t>(14)</w:t>
            </w:r>
          </w:p>
        </w:tc>
      </w:tr>
      <w:tr>
        <w:trPr>
          <w:trHeight w:val="179"/>
        </w:trPr>
        <w:tc>
          <w:tcPr>
            <w:tcW w:w="516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Adjusted net income from continuing operations available to common shareholders</w:t>
            </w:r>
          </w:p>
        </w:tc>
        <w:tc>
          <w:tcPr>
            <w:tcW w:w="940" w:type="dxa"/>
            <w:vAlign w:val="bottom"/>
            <w:tcBorders>
              <w:top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266</w:t>
            </w:r>
          </w:p>
        </w:tc>
        <w:tc>
          <w:tcPr>
            <w:tcW w:w="120" w:type="dxa"/>
            <w:vAlign w:val="bottom"/>
            <w:tcBorders>
              <w:top w:val="single" w:sz="8" w:color="E5E5E5"/>
            </w:tcBorders>
            <w:shd w:val="clear" w:color="auto" w:fill="E5E5E5"/>
          </w:tcPr>
          <w:p>
            <w:pPr>
              <w:spacing w:after="0"/>
              <w:rPr>
                <w:sz w:val="15"/>
                <w:szCs w:val="15"/>
                <w:color w:val="auto"/>
              </w:rPr>
            </w:pPr>
          </w:p>
        </w:tc>
        <w:tc>
          <w:tcPr>
            <w:tcW w:w="940" w:type="dxa"/>
            <w:vAlign w:val="bottom"/>
            <w:tcBorders>
              <w:top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88</w:t>
            </w:r>
          </w:p>
        </w:tc>
        <w:tc>
          <w:tcPr>
            <w:tcW w:w="120" w:type="dxa"/>
            <w:vAlign w:val="bottom"/>
            <w:tcBorders>
              <w:top w:val="single" w:sz="8" w:color="E5E5E5"/>
            </w:tcBorders>
            <w:shd w:val="clear" w:color="auto" w:fill="E5E5E5"/>
          </w:tcPr>
          <w:p>
            <w:pPr>
              <w:spacing w:after="0"/>
              <w:rPr>
                <w:sz w:val="15"/>
                <w:szCs w:val="15"/>
                <w:color w:val="auto"/>
              </w:rPr>
            </w:pPr>
          </w:p>
        </w:tc>
        <w:tc>
          <w:tcPr>
            <w:tcW w:w="920" w:type="dxa"/>
            <w:vAlign w:val="bottom"/>
            <w:tcBorders>
              <w:top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648</w:t>
            </w:r>
          </w:p>
        </w:tc>
        <w:tc>
          <w:tcPr>
            <w:tcW w:w="120" w:type="dxa"/>
            <w:vAlign w:val="bottom"/>
            <w:tcBorders>
              <w:top w:val="single" w:sz="8" w:color="E5E5E5"/>
            </w:tcBorders>
            <w:shd w:val="clear" w:color="auto" w:fill="E5E5E5"/>
          </w:tcPr>
          <w:p>
            <w:pPr>
              <w:spacing w:after="0"/>
              <w:rPr>
                <w:sz w:val="15"/>
                <w:szCs w:val="15"/>
                <w:color w:val="auto"/>
              </w:rPr>
            </w:pPr>
          </w:p>
        </w:tc>
        <w:tc>
          <w:tcPr>
            <w:tcW w:w="440" w:type="dxa"/>
            <w:vAlign w:val="bottom"/>
            <w:tcBorders>
              <w:top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292</w:t>
            </w:r>
          </w:p>
        </w:tc>
      </w:tr>
      <w:tr>
        <w:trPr>
          <w:trHeight w:val="190"/>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Net income from discontinued operations attributable to Xerox Holdings, net of tax</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552</w:t>
            </w:r>
          </w:p>
        </w:tc>
        <w:tc>
          <w:tcPr>
            <w:tcW w:w="120" w:type="dxa"/>
            <w:vAlign w:val="bottom"/>
            <w:tcBorders>
              <w:bottom w:val="single" w:sz="8" w:color="E5E5E5"/>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46</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705</w:t>
            </w:r>
          </w:p>
        </w:tc>
        <w:tc>
          <w:tcPr>
            <w:tcW w:w="1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55</w:t>
            </w:r>
          </w:p>
        </w:tc>
      </w:tr>
      <w:tr>
        <w:trPr>
          <w:trHeight w:val="178"/>
        </w:trPr>
        <w:tc>
          <w:tcPr>
            <w:tcW w:w="51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Adjusted net income available to common shareholders</w:t>
            </w:r>
          </w:p>
        </w:tc>
        <w:tc>
          <w:tcPr>
            <w:tcW w:w="940" w:type="dxa"/>
            <w:vAlign w:val="bottom"/>
            <w:tcBorders>
              <w:bottom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818</w:t>
            </w:r>
          </w:p>
        </w:tc>
        <w:tc>
          <w:tcPr>
            <w:tcW w:w="120" w:type="dxa"/>
            <w:vAlign w:val="bottom"/>
            <w:tcBorders>
              <w:bottom w:val="single" w:sz="8" w:color="E5E5E5"/>
            </w:tcBorders>
            <w:shd w:val="clear" w:color="auto" w:fill="E5E5E5"/>
          </w:tcPr>
          <w:p>
            <w:pPr>
              <w:spacing w:after="0"/>
              <w:rPr>
                <w:sz w:val="15"/>
                <w:szCs w:val="15"/>
                <w:color w:val="auto"/>
              </w:rPr>
            </w:pPr>
          </w:p>
        </w:tc>
        <w:tc>
          <w:tcPr>
            <w:tcW w:w="940" w:type="dxa"/>
            <w:vAlign w:val="bottom"/>
            <w:tcBorders>
              <w:bottom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134</w:t>
            </w:r>
          </w:p>
        </w:tc>
        <w:tc>
          <w:tcPr>
            <w:tcW w:w="120" w:type="dxa"/>
            <w:vAlign w:val="bottom"/>
            <w:tcBorders>
              <w:bottom w:val="single" w:sz="8" w:color="E5E5E5"/>
            </w:tcBorders>
            <w:shd w:val="clear" w:color="auto" w:fill="E5E5E5"/>
          </w:tcPr>
          <w:p>
            <w:pPr>
              <w:spacing w:after="0"/>
              <w:rPr>
                <w:sz w:val="15"/>
                <w:szCs w:val="15"/>
                <w:color w:val="auto"/>
              </w:rPr>
            </w:pPr>
          </w:p>
        </w:tc>
        <w:tc>
          <w:tcPr>
            <w:tcW w:w="920" w:type="dxa"/>
            <w:vAlign w:val="bottom"/>
            <w:tcBorders>
              <w:bottom w:val="single" w:sz="8" w:color="auto"/>
            </w:tcBorders>
            <w:shd w:val="clear" w:color="auto" w:fill="E5E5E5"/>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1,353</w:t>
            </w:r>
          </w:p>
        </w:tc>
        <w:tc>
          <w:tcPr>
            <w:tcW w:w="120" w:type="dxa"/>
            <w:vAlign w:val="bottom"/>
            <w:tcBorders>
              <w:bottom w:val="single" w:sz="8" w:color="E5E5E5"/>
            </w:tcBorders>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347</w:t>
            </w:r>
          </w:p>
        </w:tc>
      </w:tr>
      <w:tr>
        <w:trPr>
          <w:trHeight w:val="17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Weighted average common shares outstanding</w:t>
            </w:r>
          </w:p>
        </w:tc>
        <w:tc>
          <w:tcPr>
            <w:tcW w:w="9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215,499</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236,190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221,969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248,707</w:t>
            </w: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Common shares issuable with respect to:</w:t>
            </w: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190"/>
        </w:trPr>
        <w:tc>
          <w:tcPr>
            <w:tcW w:w="5160" w:type="dxa"/>
            <w:vAlign w:val="bottom"/>
            <w:gridSpan w:val="2"/>
          </w:tcPr>
          <w:p>
            <w:pPr>
              <w:ind w:left="120"/>
              <w:spacing w:after="0"/>
              <w:rPr>
                <w:sz w:val="20"/>
                <w:szCs w:val="20"/>
                <w:color w:val="auto"/>
              </w:rPr>
            </w:pPr>
            <w:r>
              <w:rPr>
                <w:rFonts w:ascii="Arial" w:cs="Arial" w:eastAsia="Arial" w:hAnsi="Arial"/>
                <w:sz w:val="10"/>
                <w:szCs w:val="10"/>
                <w:color w:val="auto"/>
              </w:rPr>
              <w:t>Stock Options</w:t>
            </w:r>
          </w:p>
        </w:tc>
        <w:tc>
          <w:tcPr>
            <w:tcW w:w="9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111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w:t>
            </w:r>
          </w:p>
        </w:tc>
      </w:tr>
      <w:tr>
        <w:trPr>
          <w:trHeight w:val="199"/>
        </w:trPr>
        <w:tc>
          <w:tcPr>
            <w:tcW w:w="5160" w:type="dxa"/>
            <w:vAlign w:val="bottom"/>
            <w:gridSpan w:val="2"/>
            <w:shd w:val="clear" w:color="auto" w:fill="E5E5E5"/>
          </w:tcPr>
          <w:p>
            <w:pPr>
              <w:ind w:left="120"/>
              <w:spacing w:after="0"/>
              <w:rPr>
                <w:sz w:val="20"/>
                <w:szCs w:val="20"/>
                <w:color w:val="auto"/>
              </w:rPr>
            </w:pPr>
            <w:r>
              <w:rPr>
                <w:rFonts w:ascii="Arial" w:cs="Arial" w:eastAsia="Arial" w:hAnsi="Arial"/>
                <w:sz w:val="10"/>
                <w:szCs w:val="10"/>
                <w:color w:val="auto"/>
              </w:rPr>
              <w:t>Restricted stock and performance shares</w:t>
            </w: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4,326</w:t>
            </w: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3,188</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4,403</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2,953</w:t>
            </w:r>
          </w:p>
        </w:tc>
      </w:tr>
      <w:tr>
        <w:trPr>
          <w:trHeight w:val="190"/>
        </w:trPr>
        <w:tc>
          <w:tcPr>
            <w:tcW w:w="5160" w:type="dxa"/>
            <w:vAlign w:val="bottom"/>
            <w:gridSpan w:val="2"/>
          </w:tcPr>
          <w:p>
            <w:pPr>
              <w:ind w:left="120"/>
              <w:spacing w:after="0"/>
              <w:rPr>
                <w:sz w:val="20"/>
                <w:szCs w:val="20"/>
                <w:color w:val="auto"/>
              </w:rPr>
            </w:pPr>
            <w:r>
              <w:rPr>
                <w:rFonts w:ascii="Arial" w:cs="Arial" w:eastAsia="Arial" w:hAnsi="Arial"/>
                <w:sz w:val="10"/>
                <w:szCs w:val="10"/>
                <w:color w:val="auto"/>
              </w:rPr>
              <w:t>Convertible preferred stock</w:t>
            </w:r>
          </w:p>
        </w:tc>
        <w:tc>
          <w:tcPr>
            <w:tcW w:w="9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6,742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6,742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w:t>
            </w:r>
          </w:p>
        </w:tc>
      </w:tr>
      <w:tr>
        <w:trPr>
          <w:trHeight w:val="178"/>
        </w:trPr>
        <w:tc>
          <w:tcPr>
            <w:tcW w:w="516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Adjusted weighted average common shares outstanding</w:t>
            </w:r>
          </w:p>
        </w:tc>
        <w:tc>
          <w:tcPr>
            <w:tcW w:w="940" w:type="dxa"/>
            <w:vAlign w:val="bottom"/>
            <w:tcBorders>
              <w:top w:val="single" w:sz="8" w:color="auto"/>
              <w:bottom w:val="single" w:sz="8" w:color="auto"/>
            </w:tcBorders>
            <w:shd w:val="clear" w:color="auto" w:fill="E5E5E5"/>
          </w:tcPr>
          <w:p>
            <w:pPr>
              <w:spacing w:after="0"/>
              <w:rPr>
                <w:sz w:val="15"/>
                <w:szCs w:val="15"/>
                <w:color w:val="auto"/>
              </w:rPr>
            </w:pPr>
          </w:p>
        </w:tc>
        <w:tc>
          <w:tcPr>
            <w:tcW w:w="56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226,678</w:t>
            </w:r>
          </w:p>
        </w:tc>
        <w:tc>
          <w:tcPr>
            <w:tcW w:w="120" w:type="dxa"/>
            <w:vAlign w:val="bottom"/>
            <w:tcBorders>
              <w:top w:val="single" w:sz="8" w:color="E5E5E5"/>
              <w:bottom w:val="single" w:sz="8" w:color="E5E5E5"/>
            </w:tcBorders>
            <w:shd w:val="clear" w:color="auto" w:fill="E5E5E5"/>
          </w:tcPr>
          <w:p>
            <w:pPr>
              <w:spacing w:after="0"/>
              <w:rPr>
                <w:sz w:val="15"/>
                <w:szCs w:val="15"/>
                <w:color w:val="auto"/>
              </w:rPr>
            </w:pPr>
          </w:p>
        </w:tc>
        <w:tc>
          <w:tcPr>
            <w:tcW w:w="940" w:type="dxa"/>
            <w:vAlign w:val="bottom"/>
            <w:tcBorders>
              <w:top w:val="single" w:sz="8" w:color="auto"/>
              <w:bottom w:val="single" w:sz="8" w:color="auto"/>
            </w:tcBorders>
            <w:shd w:val="clear" w:color="auto" w:fill="E5E5E5"/>
          </w:tcPr>
          <w:p>
            <w:pPr>
              <w:spacing w:after="0"/>
              <w:rPr>
                <w:sz w:val="15"/>
                <w:szCs w:val="15"/>
                <w:color w:val="auto"/>
              </w:rPr>
            </w:pPr>
          </w:p>
        </w:tc>
        <w:tc>
          <w:tcPr>
            <w:tcW w:w="56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239,378</w:t>
            </w:r>
          </w:p>
        </w:tc>
        <w:tc>
          <w:tcPr>
            <w:tcW w:w="120" w:type="dxa"/>
            <w:vAlign w:val="bottom"/>
            <w:tcBorders>
              <w:top w:val="single" w:sz="8" w:color="E5E5E5"/>
              <w:bottom w:val="single" w:sz="8" w:color="E5E5E5"/>
            </w:tcBorders>
            <w:shd w:val="clear" w:color="auto" w:fill="E5E5E5"/>
          </w:tcPr>
          <w:p>
            <w:pPr>
              <w:spacing w:after="0"/>
              <w:rPr>
                <w:sz w:val="15"/>
                <w:szCs w:val="15"/>
                <w:color w:val="auto"/>
              </w:rPr>
            </w:pP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56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233,169</w:t>
            </w:r>
          </w:p>
        </w:tc>
        <w:tc>
          <w:tcPr>
            <w:tcW w:w="120" w:type="dxa"/>
            <w:vAlign w:val="bottom"/>
            <w:tcBorders>
              <w:top w:val="single" w:sz="8" w:color="E5E5E5"/>
              <w:bottom w:val="single" w:sz="8" w:color="E5E5E5"/>
            </w:tcBorders>
            <w:shd w:val="clear" w:color="auto" w:fill="E5E5E5"/>
          </w:tcPr>
          <w:p>
            <w:pPr>
              <w:spacing w:after="0"/>
              <w:rPr>
                <w:sz w:val="15"/>
                <w:szCs w:val="15"/>
                <w:color w:val="auto"/>
              </w:rPr>
            </w:pPr>
          </w:p>
        </w:tc>
        <w:tc>
          <w:tcPr>
            <w:tcW w:w="440" w:type="dxa"/>
            <w:vAlign w:val="bottom"/>
            <w:tcBorders>
              <w:top w:val="single" w:sz="8" w:color="auto"/>
              <w:bottom w:val="single" w:sz="8" w:color="auto"/>
            </w:tcBorders>
            <w:shd w:val="clear" w:color="auto" w:fill="E5E5E5"/>
          </w:tcPr>
          <w:p>
            <w:pPr>
              <w:spacing w:after="0"/>
              <w:rPr>
                <w:sz w:val="15"/>
                <w:szCs w:val="15"/>
                <w:color w:val="auto"/>
              </w:rPr>
            </w:pPr>
          </w:p>
        </w:tc>
        <w:tc>
          <w:tcPr>
            <w:tcW w:w="10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251,660</w:t>
            </w:r>
          </w:p>
        </w:tc>
      </w:t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w:t>
            </w: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Continuing operations</w:t>
            </w: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1.17</w:t>
            </w:r>
          </w:p>
        </w:tc>
        <w:tc>
          <w:tcPr>
            <w:tcW w:w="120" w:type="dxa"/>
            <w:vAlign w:val="bottom"/>
          </w:tcPr>
          <w:p>
            <w:pPr>
              <w:spacing w:after="0"/>
              <w:rPr>
                <w:sz w:val="16"/>
                <w:szCs w:val="16"/>
                <w:color w:val="auto"/>
              </w:rPr>
            </w:pPr>
          </w:p>
        </w:tc>
        <w:tc>
          <w:tcPr>
            <w:tcW w:w="940" w:type="dxa"/>
            <w:vAlign w:val="bottom"/>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0.37</w:t>
            </w:r>
          </w:p>
        </w:tc>
        <w:tc>
          <w:tcPr>
            <w:tcW w:w="120" w:type="dxa"/>
            <w:vAlign w:val="bottom"/>
          </w:tcPr>
          <w:p>
            <w:pPr>
              <w:spacing w:after="0"/>
              <w:rPr>
                <w:sz w:val="16"/>
                <w:szCs w:val="16"/>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2.78</w:t>
            </w:r>
          </w:p>
        </w:tc>
        <w:tc>
          <w:tcPr>
            <w:tcW w:w="120" w:type="dxa"/>
            <w:vAlign w:val="bottom"/>
          </w:tcPr>
          <w:p>
            <w:pPr>
              <w:spacing w:after="0"/>
              <w:rPr>
                <w:sz w:val="16"/>
                <w:szCs w:val="16"/>
                <w:color w:val="auto"/>
              </w:rPr>
            </w:pPr>
          </w:p>
        </w:tc>
        <w:tc>
          <w:tcPr>
            <w:tcW w:w="44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1.16</w:t>
            </w: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Discontinued operations</w:t>
            </w:r>
          </w:p>
        </w:tc>
        <w:tc>
          <w:tcPr>
            <w:tcW w:w="94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2.44</w:t>
            </w:r>
          </w:p>
        </w:tc>
        <w:tc>
          <w:tcPr>
            <w:tcW w:w="120" w:type="dxa"/>
            <w:vAlign w:val="bottom"/>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0.19</w:t>
            </w:r>
          </w:p>
        </w:tc>
        <w:tc>
          <w:tcPr>
            <w:tcW w:w="120" w:type="dxa"/>
            <w:vAlign w:val="bottom"/>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3.02</w:t>
            </w:r>
          </w:p>
        </w:tc>
        <w:tc>
          <w:tcPr>
            <w:tcW w:w="120" w:type="dxa"/>
            <w:vAlign w:val="bottom"/>
            <w:shd w:val="clear" w:color="auto" w:fill="E5E5E5"/>
          </w:tcPr>
          <w:p>
            <w:pPr>
              <w:spacing w:after="0"/>
              <w:rPr>
                <w:sz w:val="17"/>
                <w:szCs w:val="17"/>
                <w:color w:val="auto"/>
              </w:rPr>
            </w:pPr>
          </w:p>
        </w:tc>
        <w:tc>
          <w:tcPr>
            <w:tcW w:w="440" w:type="dxa"/>
            <w:vAlign w:val="bottom"/>
            <w:tcBorders>
              <w:bottom w:val="single" w:sz="8" w:color="auto"/>
            </w:tcBorders>
            <w:shd w:val="clear" w:color="auto" w:fill="E5E5E5"/>
          </w:tcPr>
          <w:p>
            <w:pPr>
              <w:spacing w:after="0"/>
              <w:rPr>
                <w:sz w:val="17"/>
                <w:szCs w:val="17"/>
                <w:color w:val="auto"/>
              </w:rPr>
            </w:pP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0.22</w:t>
            </w:r>
          </w:p>
        </w:tc>
      </w:tr>
      <w:tr>
        <w:trPr>
          <w:trHeight w:val="174"/>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3.61</w:t>
            </w:r>
          </w:p>
        </w:tc>
        <w:tc>
          <w:tcPr>
            <w:tcW w:w="120" w:type="dxa"/>
            <w:vAlign w:val="bottom"/>
            <w:tcBorders>
              <w:bottom w:val="single" w:sz="8" w:color="E5E5E5"/>
            </w:tcBorders>
          </w:tcPr>
          <w:p>
            <w:pPr>
              <w:spacing w:after="0"/>
              <w:rPr>
                <w:sz w:val="15"/>
                <w:szCs w:val="15"/>
                <w:color w:val="auto"/>
              </w:rPr>
            </w:pP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0.56</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5.80</w:t>
            </w:r>
          </w:p>
        </w:tc>
        <w:tc>
          <w:tcPr>
            <w:tcW w:w="12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1.38</w:t>
            </w:r>
          </w:p>
        </w:tc>
      </w:tr>
      <w:tr>
        <w:trPr>
          <w:trHeight w:val="204"/>
        </w:trPr>
        <w:tc>
          <w:tcPr>
            <w:tcW w:w="50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151"/>
        </w:trPr>
        <w:tc>
          <w:tcPr>
            <w:tcW w:w="9320" w:type="dxa"/>
            <w:vAlign w:val="bottom"/>
            <w:gridSpan w:val="9"/>
          </w:tcPr>
          <w:p>
            <w:pPr>
              <w:ind w:left="20"/>
              <w:spacing w:after="0"/>
              <w:rPr>
                <w:sz w:val="20"/>
                <w:szCs w:val="20"/>
                <w:color w:val="auto"/>
              </w:rPr>
            </w:pPr>
            <w:r>
              <w:rPr>
                <w:rFonts w:ascii="Arial" w:cs="Arial" w:eastAsia="Arial" w:hAnsi="Arial"/>
                <w:sz w:val="10"/>
                <w:szCs w:val="10"/>
                <w:color w:val="auto"/>
              </w:rPr>
              <w:t>The following securities were not included in the computation of diluted earnings per share as they were either contingently issuable shares or shares that if included would have been anti-dilutive: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9"/>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Stock options</w:t>
            </w: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750</w:t>
            </w: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1,022</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rPr>
              <w:t>805</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1,022</w:t>
            </w:r>
          </w:p>
        </w:tc>
      </w:tr>
      <w:tr>
        <w:trPr>
          <w:trHeight w:val="190"/>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Restricted stock and performance shares</w:t>
            </w:r>
          </w:p>
        </w:tc>
        <w:tc>
          <w:tcPr>
            <w:tcW w:w="9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1,350</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2,833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0"/>
                <w:szCs w:val="10"/>
                <w:color w:val="auto"/>
              </w:rPr>
              <w:t>1,272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3,068</w:t>
            </w:r>
          </w:p>
        </w:tc>
      </w:tr>
      <w:tr>
        <w:trPr>
          <w:trHeight w:val="19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Convertible preferred stock</w:t>
            </w:r>
          </w:p>
        </w:tc>
        <w:tc>
          <w:tcPr>
            <w:tcW w:w="9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940" w:type="dxa"/>
            <w:vAlign w:val="bottom"/>
            <w:shd w:val="clear" w:color="auto" w:fill="E5E5E5"/>
          </w:tcPr>
          <w:p>
            <w:pPr>
              <w:spacing w:after="0"/>
              <w:rPr>
                <w:sz w:val="16"/>
                <w:szCs w:val="16"/>
                <w:color w:val="auto"/>
              </w:rPr>
            </w:pPr>
          </w:p>
        </w:tc>
        <w:tc>
          <w:tcPr>
            <w:tcW w:w="56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6,742</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0"/>
                <w:szCs w:val="10"/>
                <w:color w:val="auto"/>
              </w:rPr>
              <w:t>6,742</w:t>
            </w:r>
          </w:p>
        </w:tc>
      </w:tr>
      <w:tr>
        <w:trPr>
          <w:trHeight w:val="178"/>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Total Anti-Dilutive Securities</w:t>
            </w:r>
          </w:p>
        </w:tc>
        <w:tc>
          <w:tcPr>
            <w:tcW w:w="9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2,100</w:t>
            </w:r>
          </w:p>
        </w:tc>
        <w:tc>
          <w:tcPr>
            <w:tcW w:w="120" w:type="dxa"/>
            <w:vAlign w:val="bottom"/>
            <w:tcBorders>
              <w:bottom w:val="single" w:sz="8" w:color="E5E5E5"/>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10,597</w:t>
            </w:r>
          </w:p>
        </w:tc>
        <w:tc>
          <w:tcPr>
            <w:tcW w:w="120" w:type="dxa"/>
            <w:vAlign w:val="bottom"/>
            <w:tcBorders>
              <w:bottom w:val="single" w:sz="8" w:color="E5E5E5"/>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2,077</w:t>
            </w:r>
          </w:p>
        </w:tc>
        <w:tc>
          <w:tcPr>
            <w:tcW w:w="120" w:type="dxa"/>
            <w:vAlign w:val="bottom"/>
            <w:tcBorders>
              <w:bottom w:val="single" w:sz="8" w:color="E5E5E5"/>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10,832</w:t>
            </w:r>
          </w:p>
        </w:tc>
      </w:tr>
      <w:tr>
        <w:trPr>
          <w:trHeight w:val="204"/>
        </w:trPr>
        <w:tc>
          <w:tcPr>
            <w:tcW w:w="50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194"/>
        </w:trPr>
        <w:tc>
          <w:tcPr>
            <w:tcW w:w="5160" w:type="dxa"/>
            <w:vAlign w:val="bottom"/>
            <w:gridSpan w:val="2"/>
          </w:tcPr>
          <w:p>
            <w:pPr>
              <w:ind w:left="20"/>
              <w:spacing w:after="0"/>
              <w:rPr>
                <w:sz w:val="20"/>
                <w:szCs w:val="20"/>
                <w:color w:val="auto"/>
              </w:rPr>
            </w:pPr>
            <w:r>
              <w:rPr>
                <w:rFonts w:ascii="Arial" w:cs="Arial" w:eastAsia="Arial" w:hAnsi="Arial"/>
                <w:sz w:val="10"/>
                <w:szCs w:val="10"/>
                <w:b w:val="1"/>
                <w:bCs w:val="1"/>
                <w:color w:val="auto"/>
              </w:rPr>
              <w:t>Dividends per Common Share</w:t>
            </w: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0.25</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0.25</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1.00</w:t>
            </w: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80"/>
          </w:cols>
          <w:pgMar w:left="220" w:top="439" w:right="1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DA2031"/>
        </w:rPr>
        <w:t>APPENDIX II</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DA2031"/>
        </w:rPr>
        <w:t>Xerox Holdings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DA2031"/>
        </w:rPr>
        <w:t>Geographic Sales Channels and Product/Offering Definitions</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Our business is aligned to a geographic focus and is primarily organized on the basis of go-to-market sales channels, which are structured to serve a range of customers for our products and services.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In 2019 we changed our geographic structure to create a more streamlined, flatter and more effective organization, as follows:</w:t>
      </w:r>
    </w:p>
    <w:p>
      <w:pPr>
        <w:spacing w:after="0" w:line="84" w:lineRule="exact"/>
        <w:rPr>
          <w:sz w:val="20"/>
          <w:szCs w:val="20"/>
          <w:color w:val="auto"/>
        </w:rPr>
      </w:pPr>
    </w:p>
    <w:p>
      <w:pPr>
        <w:ind w:left="460" w:hanging="229"/>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Americas, which includes our sales channels in the U.S. and Canada, as well as Mexico, and Central and South America.</w:t>
      </w:r>
    </w:p>
    <w:p>
      <w:pPr>
        <w:spacing w:after="0" w:line="5" w:lineRule="exact"/>
        <w:rPr>
          <w:rFonts w:ascii="Arial" w:cs="Arial" w:eastAsia="Arial" w:hAnsi="Arial"/>
          <w:sz w:val="13"/>
          <w:szCs w:val="13"/>
          <w:color w:val="auto"/>
        </w:rPr>
      </w:pPr>
    </w:p>
    <w:p>
      <w:pPr>
        <w:ind w:left="460" w:hanging="229"/>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EMEA, which includes our sales channels in Europe, the Middle East, Africa and India.</w:t>
      </w:r>
    </w:p>
    <w:p>
      <w:pPr>
        <w:spacing w:after="0" w:line="5" w:lineRule="exact"/>
        <w:rPr>
          <w:rFonts w:ascii="Arial" w:cs="Arial" w:eastAsia="Arial" w:hAnsi="Arial"/>
          <w:sz w:val="13"/>
          <w:szCs w:val="13"/>
          <w:color w:val="auto"/>
        </w:rPr>
      </w:pPr>
    </w:p>
    <w:p>
      <w:pPr>
        <w:ind w:left="460" w:hanging="229"/>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Other, primarily includes sales to and royalties from Fuji Xerox, and our licensing revenue.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Our products and offerings include:</w:t>
      </w:r>
    </w:p>
    <w:p>
      <w:pPr>
        <w:spacing w:after="0" w:line="84" w:lineRule="exact"/>
        <w:rPr>
          <w:sz w:val="20"/>
          <w:szCs w:val="20"/>
          <w:color w:val="auto"/>
        </w:rPr>
      </w:pPr>
    </w:p>
    <w:p>
      <w:pPr>
        <w:ind w:left="460" w:hanging="229"/>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“Entry”, which includes A4 devices and desktop printers. Prices in this product group can range from approximately $150 to $3,000.</w:t>
      </w:r>
    </w:p>
    <w:p>
      <w:pPr>
        <w:spacing w:after="0" w:line="5" w:lineRule="exact"/>
        <w:rPr>
          <w:rFonts w:ascii="Arial" w:cs="Arial" w:eastAsia="Arial" w:hAnsi="Arial"/>
          <w:sz w:val="13"/>
          <w:szCs w:val="13"/>
          <w:color w:val="auto"/>
        </w:rPr>
      </w:pPr>
    </w:p>
    <w:p>
      <w:pPr>
        <w:ind w:left="460" w:right="400" w:hanging="229"/>
        <w:spacing w:after="0" w:line="249"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“Mid-Range”, which includes A3 Office and Light Production devices that generally serve workgroup environments in mid to large enterprises. Prices in this product group can range from approximately $2,000 to $75,000+.</w:t>
      </w:r>
    </w:p>
    <w:p>
      <w:pPr>
        <w:ind w:left="460" w:right="80" w:hanging="229"/>
        <w:spacing w:after="0" w:line="249"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“High-End”, which includes production printing and publishing systems that generally serve the graphic communications marketplace and large enterprises. Prices for these systems can range from approximately $30,000 to $1,000,000+.</w:t>
      </w:r>
    </w:p>
    <w:p>
      <w:pPr>
        <w:ind w:left="460" w:hanging="229"/>
        <w:spacing w:after="0" w:line="254"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Xerox Services, formerly known as Managed Document Services (MDS), which includes solutions and services that span from managing print to automating processes to managing content. Our primary offerings are Intelligent Workplace Services (IWS), which is our rebranded Managed Print Services, as well as Digital and Cloud Print Services (including centralized print services). Xerox Services also includes Communication and Marketing Solutions that were previously excluded from our former MDS definition.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60"/>
          </w:cols>
          <w:pgMar w:left="220" w:top="439" w:right="219" w:bottom="1440" w:gutter="0" w:footer="0" w:header="0"/>
        </w:sectPr>
      </w:pPr>
    </w:p>
    <w:bookmarkStart w:id="36" w:name="page37"/>
    <w:bookmarkEnd w:id="36"/>
    <w:p>
      <w:pPr>
        <w:jc w:val="center"/>
        <w:ind w:right="-1"/>
        <w:spacing w:after="0"/>
        <w:rPr>
          <w:sz w:val="20"/>
          <w:szCs w:val="20"/>
          <w:color w:val="auto"/>
        </w:rPr>
      </w:pPr>
      <w:r>
        <w:rPr>
          <w:rFonts w:ascii="Arial" w:cs="Arial" w:eastAsia="Arial" w:hAnsi="Arial"/>
          <w:sz w:val="18"/>
          <w:szCs w:val="18"/>
          <w:b w:val="1"/>
          <w:bCs w:val="1"/>
          <w:color w:val="DA2031"/>
        </w:rPr>
        <w:t>APPENDIX III</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DA2031"/>
        </w:rPr>
        <w:t>Change in Presentation</w:t>
      </w:r>
    </w:p>
    <w:p>
      <w:pPr>
        <w:spacing w:after="0" w:line="324" w:lineRule="exact"/>
        <w:rPr>
          <w:sz w:val="20"/>
          <w:szCs w:val="20"/>
          <w:color w:val="auto"/>
        </w:rPr>
      </w:pPr>
    </w:p>
    <w:p>
      <w:pPr>
        <w:ind w:left="2"/>
        <w:spacing w:after="0" w:line="252" w:lineRule="auto"/>
        <w:rPr>
          <w:sz w:val="20"/>
          <w:szCs w:val="20"/>
          <w:color w:val="auto"/>
        </w:rPr>
      </w:pPr>
      <w:r>
        <w:rPr>
          <w:rFonts w:ascii="Arial" w:cs="Arial" w:eastAsia="Arial" w:hAnsi="Arial"/>
          <w:sz w:val="13"/>
          <w:szCs w:val="13"/>
          <w:color w:val="auto"/>
        </w:rPr>
        <w:t>During first quarter 2019, we realigned portions of our business to support our new revenue strategy. This realignment included the combination and consolidation of certain sales units to better service customers consistently across the company. In connection with that realignment, we changed the classification of revenues and those related costs from certain service arrangements to consistently conform the presentation of those amounts among our various business units. Prior year amounts were also revised as follows to conform with the 2019 presentation. The revised presentation does not impact total revenues, total expenses or net income.</w:t>
      </w:r>
    </w:p>
    <w:p>
      <w:pPr>
        <w:spacing w:after="0" w:line="114" w:lineRule="exact"/>
        <w:rPr>
          <w:sz w:val="20"/>
          <w:szCs w:val="20"/>
          <w:color w:val="auto"/>
        </w:rPr>
      </w:pPr>
    </w:p>
    <w:tbl>
      <w:tblPr>
        <w:tblLayout w:type="fixed"/>
        <w:tblInd w:w="42" w:type="dxa"/>
        <w:tblCellMar>
          <w:top w:w="0" w:type="dxa"/>
          <w:left w:w="0" w:type="dxa"/>
          <w:bottom w:w="0" w:type="dxa"/>
          <w:right w:w="0" w:type="dxa"/>
        </w:tblCellMar>
      </w:tblPr>
      <w:tr>
        <w:trPr>
          <w:trHeight w:val="117"/>
        </w:trPr>
        <w:tc>
          <w:tcPr>
            <w:tcW w:w="6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0"/>
                <w:szCs w:val="10"/>
                <w:color w:val="auto"/>
              </w:rPr>
              <w:t>Three Months Ended</w:t>
            </w: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8"/>
        </w:trPr>
        <w:tc>
          <w:tcPr>
            <w:tcW w:w="63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color w:val="auto"/>
              </w:rPr>
              <w:t>December 31, 2018</w:t>
            </w: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88"/>
        </w:trPr>
        <w:tc>
          <w:tcPr>
            <w:tcW w:w="6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As Reported</w:t>
            </w:r>
            <w:r>
              <w:rPr>
                <w:rFonts w:ascii="Arial" w:cs="Arial" w:eastAsia="Arial" w:hAnsi="Arial"/>
                <w:sz w:val="12"/>
                <w:szCs w:val="12"/>
                <w:color w:val="auto"/>
                <w:vertAlign w:val="superscript"/>
              </w:rPr>
              <w:t>(1)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420"/>
              <w:spacing w:after="0"/>
              <w:rPr>
                <w:sz w:val="20"/>
                <w:szCs w:val="20"/>
                <w:color w:val="auto"/>
              </w:rPr>
            </w:pPr>
            <w:r>
              <w:rPr>
                <w:rFonts w:ascii="Arial" w:cs="Arial" w:eastAsia="Arial" w:hAnsi="Arial"/>
                <w:sz w:val="10"/>
                <w:szCs w:val="10"/>
                <w:color w:val="auto"/>
              </w:rPr>
              <w:t>Change</w:t>
            </w:r>
          </w:p>
        </w:tc>
        <w:tc>
          <w:tcPr>
            <w:tcW w:w="300" w:type="dxa"/>
            <w:vAlign w:val="bottom"/>
          </w:tcPr>
          <w:p>
            <w:pPr>
              <w:spacing w:after="0"/>
              <w:rPr>
                <w:sz w:val="16"/>
                <w:szCs w:val="16"/>
                <w:color w:val="auto"/>
              </w:rPr>
            </w:pPr>
          </w:p>
        </w:tc>
        <w:tc>
          <w:tcPr>
            <w:tcW w:w="1280" w:type="dxa"/>
            <w:vAlign w:val="bottom"/>
          </w:tcPr>
          <w:p>
            <w:pPr>
              <w:jc w:val="right"/>
              <w:ind w:right="468"/>
              <w:spacing w:after="0"/>
              <w:rPr>
                <w:sz w:val="20"/>
                <w:szCs w:val="20"/>
                <w:color w:val="auto"/>
              </w:rPr>
            </w:pPr>
            <w:r>
              <w:rPr>
                <w:rFonts w:ascii="Arial" w:cs="Arial" w:eastAsia="Arial" w:hAnsi="Arial"/>
                <w:sz w:val="10"/>
                <w:szCs w:val="10"/>
                <w:color w:val="auto"/>
              </w:rPr>
              <w:t>As Revised</w:t>
            </w:r>
          </w:p>
        </w:tc>
      </w:tr>
      <w:tr>
        <w:trPr>
          <w:trHeight w:val="174"/>
        </w:trPr>
        <w:tc>
          <w:tcPr>
            <w:tcW w:w="6380" w:type="dxa"/>
            <w:vAlign w:val="bottom"/>
            <w:tcBorders>
              <w:top w:val="single" w:sz="8" w:color="E5E5E5"/>
            </w:tcBorders>
            <w:shd w:val="clear" w:color="auto" w:fill="E5E5E5"/>
          </w:tcPr>
          <w:p>
            <w:pPr>
              <w:ind w:left="180"/>
              <w:spacing w:after="0"/>
              <w:rPr>
                <w:sz w:val="20"/>
                <w:szCs w:val="20"/>
                <w:color w:val="auto"/>
              </w:rPr>
            </w:pPr>
            <w:r>
              <w:rPr>
                <w:rFonts w:ascii="Arial" w:cs="Arial" w:eastAsia="Arial" w:hAnsi="Arial"/>
                <w:sz w:val="10"/>
                <w:szCs w:val="10"/>
                <w:color w:val="auto"/>
              </w:rPr>
              <w:t>Sales</w:t>
            </w:r>
          </w:p>
        </w:tc>
        <w:tc>
          <w:tcPr>
            <w:tcW w:w="1180" w:type="dxa"/>
            <w:vAlign w:val="bottom"/>
            <w:tcBorders>
              <w:top w:val="single" w:sz="8" w:color="auto"/>
            </w:tcBorders>
            <w:shd w:val="clear" w:color="auto" w:fill="E5E5E5"/>
          </w:tcPr>
          <w:p>
            <w:pPr>
              <w:jc w:val="right"/>
              <w:ind w:right="1048"/>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1,044</w:t>
            </w:r>
          </w:p>
        </w:tc>
        <w:tc>
          <w:tcPr>
            <w:tcW w:w="100" w:type="dxa"/>
            <w:vAlign w:val="bottom"/>
            <w:tcBorders>
              <w:top w:val="single" w:sz="8" w:color="E5E5E5"/>
            </w:tcBorders>
            <w:shd w:val="clear" w:color="auto" w:fill="E5E5E5"/>
          </w:tcPr>
          <w:p>
            <w:pPr>
              <w:spacing w:after="0"/>
              <w:rPr>
                <w:sz w:val="15"/>
                <w:szCs w:val="15"/>
                <w:color w:val="auto"/>
              </w:rPr>
            </w:pPr>
          </w:p>
        </w:tc>
        <w:tc>
          <w:tcPr>
            <w:tcW w:w="20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w:t>
            </w:r>
          </w:p>
        </w:tc>
        <w:tc>
          <w:tcPr>
            <w:tcW w:w="142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0"/>
                <w:szCs w:val="10"/>
                <w:color w:val="auto"/>
              </w:rPr>
              <w:t>(86)</w:t>
            </w:r>
          </w:p>
        </w:tc>
        <w:tc>
          <w:tcPr>
            <w:tcW w:w="100" w:type="dxa"/>
            <w:vAlign w:val="bottom"/>
            <w:tcBorders>
              <w:top w:val="single" w:sz="8" w:color="E5E5E5"/>
            </w:tcBorders>
            <w:shd w:val="clear" w:color="auto" w:fill="E5E5E5"/>
          </w:tcPr>
          <w:p>
            <w:pPr>
              <w:spacing w:after="0"/>
              <w:rPr>
                <w:sz w:val="15"/>
                <w:szCs w:val="15"/>
                <w:color w:val="auto"/>
              </w:rPr>
            </w:pPr>
          </w:p>
        </w:tc>
        <w:tc>
          <w:tcPr>
            <w:tcW w:w="300" w:type="dxa"/>
            <w:vAlign w:val="bottom"/>
            <w:tcBorders>
              <w:top w:val="single" w:sz="8" w:color="auto"/>
            </w:tcBorders>
            <w:shd w:val="clear" w:color="auto" w:fill="E5E5E5"/>
          </w:tcPr>
          <w:p>
            <w:pPr>
              <w:jc w:val="right"/>
              <w:ind w:right="168"/>
              <w:spacing w:after="0"/>
              <w:rPr>
                <w:sz w:val="20"/>
                <w:szCs w:val="20"/>
                <w:color w:val="auto"/>
              </w:rPr>
            </w:pPr>
            <w:r>
              <w:rPr>
                <w:rFonts w:ascii="Arial" w:cs="Arial" w:eastAsia="Arial" w:hAnsi="Arial"/>
                <w:sz w:val="10"/>
                <w:szCs w:val="10"/>
                <w:color w:val="auto"/>
              </w:rPr>
              <w:t>$</w:t>
            </w:r>
          </w:p>
        </w:tc>
        <w:tc>
          <w:tcPr>
            <w:tcW w:w="128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0"/>
                <w:szCs w:val="10"/>
                <w:color w:val="auto"/>
              </w:rPr>
              <w:t>958</w:t>
            </w:r>
          </w:p>
        </w:tc>
      </w:tr>
      <w:tr>
        <w:trPr>
          <w:trHeight w:val="190"/>
        </w:trPr>
        <w:tc>
          <w:tcPr>
            <w:tcW w:w="6380" w:type="dxa"/>
            <w:vAlign w:val="bottom"/>
          </w:tcPr>
          <w:p>
            <w:pPr>
              <w:ind w:left="180"/>
              <w:spacing w:after="0"/>
              <w:rPr>
                <w:sz w:val="20"/>
                <w:szCs w:val="20"/>
                <w:color w:val="auto"/>
              </w:rPr>
            </w:pPr>
            <w:r>
              <w:rPr>
                <w:rFonts w:ascii="Arial" w:cs="Arial" w:eastAsia="Arial" w:hAnsi="Arial"/>
                <w:sz w:val="10"/>
                <w:szCs w:val="10"/>
                <w:color w:val="auto"/>
              </w:rPr>
              <w:t>Services, maintenance and rentals</w:t>
            </w:r>
          </w:p>
        </w:tc>
        <w:tc>
          <w:tcPr>
            <w:tcW w:w="118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1,390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0"/>
                <w:szCs w:val="10"/>
                <w:color w:val="auto"/>
              </w:rPr>
              <w:t>1,476</w:t>
            </w:r>
          </w:p>
        </w:tc>
      </w:tr>
      <w:tr>
        <w:trPr>
          <w:trHeight w:val="208"/>
        </w:trPr>
        <w:tc>
          <w:tcPr>
            <w:tcW w:w="638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r>
      <w:tr>
        <w:trPr>
          <w:trHeight w:val="185"/>
        </w:trPr>
        <w:tc>
          <w:tcPr>
            <w:tcW w:w="6380" w:type="dxa"/>
            <w:vAlign w:val="bottom"/>
          </w:tcPr>
          <w:p>
            <w:pPr>
              <w:ind w:left="180"/>
              <w:spacing w:after="0"/>
              <w:rPr>
                <w:sz w:val="20"/>
                <w:szCs w:val="20"/>
                <w:color w:val="auto"/>
              </w:rPr>
            </w:pPr>
            <w:r>
              <w:rPr>
                <w:rFonts w:ascii="Arial" w:cs="Arial" w:eastAsia="Arial" w:hAnsi="Arial"/>
                <w:sz w:val="10"/>
                <w:szCs w:val="10"/>
                <w:color w:val="auto"/>
              </w:rPr>
              <w:t>Cost of sales</w:t>
            </w:r>
          </w:p>
        </w:tc>
        <w:tc>
          <w:tcPr>
            <w:tcW w:w="1180" w:type="dxa"/>
            <w:vAlign w:val="bottom"/>
          </w:tcPr>
          <w:p>
            <w:pPr>
              <w:jc w:val="right"/>
              <w:ind w:right="1048"/>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639</w:t>
            </w:r>
          </w:p>
        </w:tc>
        <w:tc>
          <w:tcPr>
            <w:tcW w:w="100" w:type="dxa"/>
            <w:vAlign w:val="bottom"/>
          </w:tcPr>
          <w:p>
            <w:pPr>
              <w:spacing w:after="0"/>
              <w:rPr>
                <w:sz w:val="16"/>
                <w:szCs w:val="16"/>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420" w:type="dxa"/>
            <w:vAlign w:val="bottom"/>
          </w:tcPr>
          <w:p>
            <w:pPr>
              <w:jc w:val="right"/>
              <w:ind w:right="48"/>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6"/>
                <w:szCs w:val="16"/>
                <w:color w:val="auto"/>
              </w:rPr>
            </w:pPr>
          </w:p>
        </w:tc>
        <w:tc>
          <w:tcPr>
            <w:tcW w:w="300" w:type="dxa"/>
            <w:vAlign w:val="bottom"/>
          </w:tcPr>
          <w:p>
            <w:pPr>
              <w:jc w:val="right"/>
              <w:ind w:right="168"/>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68"/>
              <w:spacing w:after="0"/>
              <w:rPr>
                <w:sz w:val="20"/>
                <w:szCs w:val="20"/>
                <w:color w:val="auto"/>
              </w:rPr>
            </w:pPr>
            <w:r>
              <w:rPr>
                <w:rFonts w:ascii="Arial" w:cs="Arial" w:eastAsia="Arial" w:hAnsi="Arial"/>
                <w:sz w:val="10"/>
                <w:szCs w:val="10"/>
                <w:color w:val="auto"/>
              </w:rPr>
              <w:t>613</w:t>
            </w:r>
          </w:p>
        </w:tc>
      </w:tr>
      <w:tr>
        <w:trPr>
          <w:trHeight w:val="194"/>
        </w:trPr>
        <w:tc>
          <w:tcPr>
            <w:tcW w:w="6380" w:type="dxa"/>
            <w:vAlign w:val="bottom"/>
          </w:tcPr>
          <w:p>
            <w:pPr>
              <w:ind w:left="180"/>
              <w:spacing w:after="0"/>
              <w:rPr>
                <w:sz w:val="20"/>
                <w:szCs w:val="20"/>
                <w:color w:val="auto"/>
              </w:rPr>
            </w:pPr>
            <w:r>
              <w:rPr>
                <w:rFonts w:ascii="Arial" w:cs="Arial" w:eastAsia="Arial" w:hAnsi="Arial"/>
                <w:sz w:val="10"/>
                <w:szCs w:val="10"/>
                <w:color w:val="auto"/>
              </w:rPr>
              <w:t>Cost of services, maintenance and rentals</w:t>
            </w:r>
          </w:p>
        </w:tc>
        <w:tc>
          <w:tcPr>
            <w:tcW w:w="118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829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0"/>
                <w:szCs w:val="10"/>
                <w:color w:val="auto"/>
              </w:rPr>
              <w:t>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-116840</wp:posOffset>
            </wp:positionV>
            <wp:extent cx="7242175" cy="123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123190"/>
                    </a:xfrm>
                    <a:prstGeom prst="rect">
                      <a:avLst/>
                    </a:prstGeom>
                    <a:noFill/>
                  </pic:spPr>
                </pic:pic>
              </a:graphicData>
            </a:graphic>
          </wp:anchor>
        </w:drawing>
      </w:r>
    </w:p>
    <w:p>
      <w:pPr>
        <w:ind w:left="2"/>
        <w:spacing w:after="0"/>
        <w:rPr>
          <w:sz w:val="20"/>
          <w:szCs w:val="20"/>
          <w:color w:val="auto"/>
        </w:rPr>
      </w:pPr>
      <w:r>
        <w:rPr>
          <w:rFonts w:ascii="Arial" w:cs="Arial" w:eastAsia="Arial" w:hAnsi="Arial"/>
          <w:sz w:val="8"/>
          <w:szCs w:val="8"/>
          <w:color w:val="auto"/>
        </w:rPr>
        <w:t>________________________</w:t>
      </w:r>
    </w:p>
    <w:p>
      <w:pPr>
        <w:spacing w:after="0" w:line="14" w:lineRule="exact"/>
        <w:rPr>
          <w:sz w:val="20"/>
          <w:szCs w:val="20"/>
          <w:color w:val="auto"/>
        </w:rPr>
      </w:pPr>
    </w:p>
    <w:p>
      <w:pPr>
        <w:ind w:left="242" w:hanging="242"/>
        <w:spacing w:after="0"/>
        <w:tabs>
          <w:tab w:leader="none" w:pos="242" w:val="left"/>
        </w:tabs>
        <w:numPr>
          <w:ilvl w:val="0"/>
          <w:numId w:val="43"/>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Sales and Cost of sales from continuing operations.</w:t>
      </w:r>
    </w:p>
    <w:p>
      <w:pPr>
        <w:spacing w:after="0" w:line="26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32</w:t>
      </w:r>
    </w:p>
    <w:sectPr>
      <w:pgSz w:w="11900" w:h="16838" w:orient="portrait"/>
      <w:cols w:equalWidth="0" w:num="1">
        <w:col w:w="11462"/>
      </w:cols>
      <w:pgMar w:left="218" w:top="4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lvl w:ilvl="1">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lvl w:ilvl="1">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2020-01-28T05:47:50Z</dcterms:created>
  <dcterms:modified xsi:type="dcterms:W3CDTF">2020-01-28T05:47:50Z</dcterms:modified>
</cp:coreProperties>
</file>