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424815</wp:posOffset>
            </wp:positionV>
            <wp:extent cx="165417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417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XEROX HOLDINGS CORPORATION</w:t>
      </w:r>
    </w:p>
    <w:p>
      <w:pPr>
        <w:spacing w:after="0" w:line="6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XEROX CORPORATION</w:t>
      </w: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4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001-39013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001-04471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83-3933743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16-0468020</w:t>
      </w:r>
    </w:p>
    <w:p>
      <w:pPr>
        <w:spacing w:after="0" w:line="1" w:lineRule="exact"/>
        <w:rPr>
          <w:sz w:val="24"/>
          <w:szCs w:val="24"/>
          <w:color w:val="auto"/>
        </w:rPr>
      </w:pPr>
    </w:p>
    <w:p>
      <w:pPr>
        <w:sectPr>
          <w:pgSz w:w="11900" w:h="16838" w:orient="portrait"/>
          <w:cols w:equalWidth="0" w:num="3">
            <w:col w:w="4504" w:space="720"/>
            <w:col w:w="2880" w:space="720"/>
            <w:col w:w="1900"/>
          </w:cols>
          <w:pgMar w:left="436" w:top="376" w:right="7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40"/>
          </w:cols>
          <w:pgMar w:left="436" w:top="376" w:right="739" w:bottom="1440" w:gutter="0" w:footer="0" w:header="0"/>
          <w:type w:val="continuous"/>
        </w:sectPr>
      </w:pPr>
    </w:p>
    <w:p>
      <w:pPr>
        <w:spacing w:after="0" w:line="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P. O. Box 4505</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201 Merritt 7</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Norwalk, Connecticut</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06851-1056</w:t>
      </w:r>
    </w:p>
    <w:p>
      <w:pPr>
        <w:spacing w:after="0" w:line="20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(203) 849-5216</w:t>
      </w:r>
    </w:p>
    <w:p>
      <w:pPr>
        <w:spacing w:after="0" w:line="2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2025,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Conflicts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 and 1.02 Conflicts Minerals Disclosure and Report, Exhibit</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This Form SD and the Conflict Minerals Report, filed as Exhibit 1.01 hereto, are publicly available on the Xerox website under Supplier Governance - Conflict Minerals at </w:t>
      </w:r>
      <w:r>
        <w:rPr>
          <w:rFonts w:ascii="Times New Roman" w:cs="Times New Roman" w:eastAsia="Times New Roman" w:hAnsi="Times New Roman"/>
          <w:sz w:val="18"/>
          <w:szCs w:val="18"/>
          <w:u w:val="single" w:color="auto"/>
          <w:color w:val="auto"/>
        </w:rPr>
        <w:t>www.xerox.com/en-us/about/supplier-relations/governance</w:t>
      </w:r>
      <w:r>
        <w:rPr>
          <w:rFonts w:ascii="Times New Roman" w:cs="Times New Roman" w:eastAsia="Times New Roman" w:hAnsi="Times New Roman"/>
          <w:sz w:val="18"/>
          <w:szCs w:val="18"/>
          <w:color w:val="auto"/>
        </w:rPr>
        <w:t xml:space="preserve"> as well as the SEC’s EDGAR database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Xerox Holdings Corporation and its subsidiaries, including Xerox Corporation, (collectively, Xerox) is a workplace technology company, building and integrating services-led, software-enabled, workplace solutions for enterprises large and small. As customers seek to manage information and document workflows across digital and physical platforms, we deliver a seamless, secure, and sustainable experience. Whether inventing the copier, the Ethernet, the laser printer or more, Xerox has long defined the modern work experience and continues to do so with investments in IT infrastructure, artificial intelligence (AI), Internet of Things (IoT), intelligent document processing (IDP), robotic process automation (RPA) and other technologies that enable Xerox to deliver essential products and services to address the productivity challenges of a hybrid workplace and distributed workforce.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for the reporting period January 1, 2025 to December 31, 2025 as required by Items 1.01 and 1.02 of this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Specialized Disclosure Report on Form SD and any exhibits to this Report may contain “forward-looking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as they relate to us, our performance and/or our technology, are intended to identify forward-looking statements. The Company’s actual results may differ significantly for the results discussed in the forward-looking statement. These statements reflect management’s current beliefs, assumptions and expectations and are subject to a number of factors that may cause actual results to differ materially. Such factors include but are not limited to: Global macroeconomic conditions, including inflation, slower growth or recession, delays or disruptions in the global supply chain, higher interest rates, and wars and other conflicts, including the current conflict between Russia and Ukraine;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trade protection measures,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borrowing,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and other factors as set forth from time to time in the Company’s Securities and Exchange Commission filings, including the combined Company’s Annual Report on Form 10-K of Xerox Holdings and Xerox Corporation for the year ended December 31, 2025. These forward-looking statements speak only as of the date of this Report or as of the date to which they refer, and Xerox assumes no obligation to update any forward-looking statements as a result of new information or future events or developments, except as required by law.</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Flor Colon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19685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Flor Colon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Flor Colon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19685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Flor Colon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440" w:top="266"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9980" w:type="dxa"/>
            <w:vAlign w:val="bottom"/>
            <w:gridSpan w:val="2"/>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0000EE"/>
              </w:rPr>
              <w:t>Conflict Minerals Report for the reporting period January 1, 2025 to December 31, 2025</w:t>
            </w:r>
          </w:p>
        </w:tc>
        <w:tc>
          <w:tcPr>
            <w:tcW w:w="0" w:type="dxa"/>
            <w:vAlign w:val="bottom"/>
          </w:tcPr>
          <w:p>
            <w:pPr>
              <w:spacing w:after="0"/>
              <w:rPr>
                <w:sz w:val="1"/>
                <w:szCs w:val="1"/>
                <w:color w:val="auto"/>
              </w:rPr>
            </w:pPr>
          </w:p>
        </w:tc>
      </w:tr>
      <w:tr>
        <w:trPr>
          <w:trHeight w:val="750"/>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60" w:type="dxa"/>
            <w:vAlign w:val="bottom"/>
            <w:tcBorders>
              <w:top w:val="single" w:sz="8" w:color="0000EE"/>
            </w:tcBorders>
          </w:tcPr>
          <w:p>
            <w:pPr>
              <w:jc w:val="right"/>
              <w:ind w:right="1776"/>
              <w:spacing w:after="0"/>
              <w:rPr>
                <w:sz w:val="20"/>
                <w:szCs w:val="20"/>
                <w:color w:val="auto"/>
              </w:rPr>
            </w:pPr>
            <w:r>
              <w:rPr>
                <w:rFonts w:ascii="Times New Roman" w:cs="Times New Roman" w:eastAsia="Times New Roman" w:hAnsi="Times New Roman"/>
                <w:sz w:val="18"/>
                <w:szCs w:val="18"/>
                <w:color w:val="auto"/>
              </w:rPr>
              <w:t>4</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173990</wp:posOffset>
            </wp:positionV>
            <wp:extent cx="134556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55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Xerox Holdings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Xerox Corporation</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This report for the year ended December 31, 2025 is made by Xerox Holdings Corporation and its subsidiaries, including Xerox Corporation, (collectively, Xerox) in compliance with Rule 13p-1 under the Securities Exchange Act of 1934 (the Rule).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Rule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that are necessary to the functionality or production of their products. Conflict Minerals are defined as cassiterite, columbite-tantalite, gold, wolframite and their derivatives, which are limited to tin, tantalum, tungsten and gold (3TG or Conflict Minerals). These requirements apply to registrants regardless of the geographic origin of the Conflict Minerals and whether the trading in those minerals benefits armed groups.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Democratic Republic of the Congo (DRC) or an adjoining country (the Covered Countries), or a registrant is unable to determine the country of origin of those Conflict Minerals, then the registrant must exercise due diligence on the source and chain of custody of those Conflict Minerals. The registrant must annually submit a specialized disclosure (Form SD) and Conflict Minerals Report (the Report) to the SEC that includes a description of those due diligence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Xerox is a workplace technology company, building and integrating software and hardware for enterprises large and small. As customers seek to manage information and document workflows across digital and physical platforms, we deliver a seamless, secure and sustainable experience. Whether inventing the copier, the Ethernet, the laser printer or more, Xerox has long defined the modern work experience and continues to do so with investments in artificial intelligence (AI), augmented reality (AR)-driven service experiences, robotic process automation (RPA) and other technologies that enable Xerox to deliver essential products and services to address productivity challenges of a hybrid workplace and distributed workforce. Xerox products and services are more fully described on our website, which can be accessed at </w:t>
      </w:r>
      <w:r>
        <w:rPr>
          <w:rFonts w:ascii="Times New Roman" w:cs="Times New Roman" w:eastAsia="Times New Roman" w:hAnsi="Times New Roman"/>
          <w:sz w:val="18"/>
          <w:szCs w:val="18"/>
          <w:u w:val="single" w:color="auto"/>
          <w:color w:val="auto"/>
        </w:rPr>
        <w:t>www.xerox.com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 of any website referred to in this Report is included for general information only and is not incorporated by reference in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OUR CONFLICT MINERALS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Supply Chain—Reasonable Country of Origin Inquiry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Xerox is many steps removed from the mining of Conflict Minerals. The origin of Conflict Minerals cannot be determined with any certainty once the raw ores are smelted, refined and converted to ingots, bullion or other Conflict Minerals-containing derivatives. The 3TG smelters or refiners are consolidating points for raw ore and are in the best position in the total supply chain to know the origin of the ores. Xerox has conducted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analysis of our products and found that, although we do not directly purchase Conflict Minerals from our suppliers, Xerox purchases products, component parts and materials that contain metals, some of which may contain Conflict Minerals. We rely on our Tier 1 suppliers to provide information on the origin of the Conflict Minerals contained in components that are included in our products by using the RMI Conflict Minerals Reporting Template (CMRT), which allows us to perform our Reasonable Country of Origin Inquiry (RCOI).</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Supplier Risk Assessment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 size of our company, the complexity of our products and the depth and breadth of our supply chain, it is difficult to identify sources upstream from our direct suppliers. As a result, Xerox conducted a product review to determine products in scope and developed a supplier risk assessment process, through which the Conflict Minerals program is implemented, managed and monitored. With a goal of targeting 3TG minerals, this risk assessment process was developed to identify those suppliers whose products may contain the presence of 3TG.</w:t>
      </w:r>
    </w:p>
    <w:p>
      <w:pPr>
        <w:spacing w:after="0" w:line="18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conducted a survey of these suppliers to determine whether the Conflict Minerals in components contained in our products originated from the Covered Countries. This supply-chain survey was conducted with our Tier 1 production suppliers using the CMRT, which contains questions about the facilities used to process these minerals, as well as supplier RCOI. The goal of this activity was to identify, where applicable, the 3TG smelters or refiners who contribute refined Conflict Minerals to Xerox components, assemblies and Original Equipment Manufacturer (OEM) Products. The CMRT was developed to facilitate disclosure and communication of information regarding smelters or refiners that provide material to a company’s supply chain. It includes questions regarding a company’s conflict-free policy, engagement with its direct suppliers, and a listing of the smelters or refiners the company and its suppliers use. Our supplier survey request also included the Responsible Minerals Initiative (RMI), informational links on available Conflict Minerals and smelter information. In 2025, Xerox surveyed 106 suppliers, achieving a 78% response rate. The suppliers included in the survey scope represent over 92% of our 2025 production spend related to 3TG materials, as well as 89% of our total 2025 production supplier spend.</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responses we received contained information regarding the names and locations of 3TG smelters or refiners that process necessary Conflict Minerals used by our suppliers, including in component parts and materials that are ultimately incorporated into our products. We have designed and adopted a risk management plan that summarizes our risk mitigation efforts. Under our risk-assessment process, we perform due diligence reviews of supplier responses for their use of 3TG and conduct follow-up actions on suppliers, encouraging further requests for accurate, complete or missing template information where responses identified red flags based on our risk assessment of the level of risk of the commodities supplied to us.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2025, we partnered with Source Intelligence and continued to refine our process of evaluating the CMRTs to assist with our ongoing risk assessment by analyzing supplier responses and providing feedback to suppliers on errors and corrections. communication. In addition, we provide monthly reports and systematic management reviews to our senior management and elevate issues, such as non-responsive suppliers or suppliers that provided incomplete or invalid responses, as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Company Management 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121" w:lineRule="exact"/>
        <w:rPr>
          <w:sz w:val="20"/>
          <w:szCs w:val="20"/>
          <w:color w:val="auto"/>
        </w:rPr>
      </w:pPr>
    </w:p>
    <w:p>
      <w:pPr>
        <w:ind w:right="2420"/>
        <w:spacing w:after="0" w:line="282" w:lineRule="auto"/>
        <w:rPr>
          <w:sz w:val="20"/>
          <w:szCs w:val="20"/>
          <w:color w:val="auto"/>
        </w:rPr>
      </w:pPr>
      <w:r>
        <w:rPr>
          <w:rFonts w:ascii="Times New Roman" w:cs="Times New Roman" w:eastAsia="Times New Roman" w:hAnsi="Times New Roman"/>
          <w:sz w:val="18"/>
          <w:szCs w:val="18"/>
          <w:color w:val="auto"/>
        </w:rPr>
        <w:t xml:space="preserve">Xerox has adopted a company policy which is posted on our website under Supplier Governance—Conflict Minerals at </w:t>
      </w:r>
      <w:r>
        <w:rPr>
          <w:rFonts w:ascii="Times New Roman" w:cs="Times New Roman" w:eastAsia="Times New Roman" w:hAnsi="Times New Roman"/>
          <w:sz w:val="18"/>
          <w:szCs w:val="18"/>
          <w:u w:val="single" w:color="auto"/>
          <w:color w:val="auto"/>
        </w:rPr>
        <w:t>www.xerox.com/en-us/about/supplier-relations/governance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Team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Xerox has established a management system for Conflict Minerals. Our management system includes a Senior Management Steering Committee sponsored by the Chief Legal Officer who reports directly to our CEO and who is responsible for signing the Form SD, as well as senior executives from Global Supply Chain &amp; Enablement, Environment Health Safety &amp; Sustainability, and Legal. Our team of functional subject matter experts is responsible for implementing our Conflict Minerals compliance strategy. Senior management is provided with updates and results of our Conflict Minerals program efforts on a regular basis.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Control Systems</w:t>
      </w:r>
    </w:p>
    <w:p>
      <w:pPr>
        <w:spacing w:after="0" w:line="121" w:lineRule="exact"/>
        <w:rPr>
          <w:sz w:val="20"/>
          <w:szCs w:val="20"/>
          <w:color w:val="auto"/>
        </w:rPr>
      </w:pPr>
    </w:p>
    <w:p>
      <w:pPr>
        <w:jc w:val="both"/>
        <w:ind w:left="4" w:right="40"/>
        <w:spacing w:after="0" w:line="282" w:lineRule="auto"/>
        <w:rPr>
          <w:sz w:val="20"/>
          <w:szCs w:val="20"/>
          <w:color w:val="auto"/>
        </w:rPr>
      </w:pPr>
      <w:r>
        <w:rPr>
          <w:rFonts w:ascii="Times New Roman" w:cs="Times New Roman" w:eastAsia="Times New Roman" w:hAnsi="Times New Roman"/>
          <w:sz w:val="18"/>
          <w:szCs w:val="18"/>
          <w:color w:val="auto"/>
        </w:rPr>
        <w:t>Controls include, but are not limited to, our Code of Business Conduct for our employees, our Supplier Code of Conduct (adopted from the Responsible Business Alliance (RBA)), and a Conflict Minerals contract clause incorporated in our Multi-National Master Purchasing Agreement for new contracts.</w:t>
      </w:r>
    </w:p>
    <w:p>
      <w:pPr>
        <w:spacing w:after="0" w:line="162"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Xerox worked with the RBA in the early stages to support the RMI and continues to be a member of the RMI, a group assisting in the development of tools and processes to improve Conflict Minerals due diligence. As outlined in the Organization for Economic Co-operation and Development (OECD) Due Diligence Guidance for Responsible Supply Chains of Minerals from Conflict-Affected and High-Risk Areas, 3rd Edition, (OECD 2016), which is the internationally recognized standard on which our company’s system is based. We support the RMI, an industry initiative that audits ‘smelters and refiners’ due diligence activities. The data on which we relied for certain statements in this declaration was obtained through our membership in the RMI, using the RMI Compliant Smelter Sourcing Information Report created specifically for Xerox.</w:t>
      </w:r>
    </w:p>
    <w:p>
      <w:pPr>
        <w:spacing w:after="0" w:line="187"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 addition, our current standard supplier contracts also require our suppliers to adopt a policy on the responsible sourcing of minerals, implement due diligence processes to support that policy, and complete and return to Xerox the RMI CMRT.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2.5 Grievance Mechanism</w:t>
      </w:r>
    </w:p>
    <w:p>
      <w:pPr>
        <w:spacing w:after="0" w:line="121" w:lineRule="exact"/>
        <w:rPr>
          <w:sz w:val="20"/>
          <w:szCs w:val="20"/>
          <w:color w:val="auto"/>
        </w:rPr>
      </w:pPr>
    </w:p>
    <w:p>
      <w:pPr>
        <w:ind w:left="4" w:right="60"/>
        <w:spacing w:after="0" w:line="312" w:lineRule="auto"/>
        <w:rPr>
          <w:sz w:val="20"/>
          <w:szCs w:val="20"/>
          <w:color w:val="auto"/>
        </w:rPr>
      </w:pPr>
      <w:r>
        <w:rPr>
          <w:rFonts w:ascii="Times New Roman" w:cs="Times New Roman" w:eastAsia="Times New Roman" w:hAnsi="Times New Roman"/>
          <w:sz w:val="17"/>
          <w:szCs w:val="17"/>
          <w:color w:val="auto"/>
        </w:rPr>
        <w:t>We have multiple long standing grievance mechanisms whereby employees and suppliers can report violations of Xerox policies. This is communicated annually in our employee code of ethics training process and the supplier ethics letter. This mechanism helps us to identify and assess risk.</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DUE DILIGENCE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3.1 Design of Due Diligence</w:t>
      </w:r>
    </w:p>
    <w:p>
      <w:pPr>
        <w:spacing w:after="0" w:line="121"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Xerox designed its due diligence measures to be in conformity, in all material respects, with the internationally recognized due diligence framework OECD 2016.</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3.2 Smelter or Refiner Results*</w:t>
      </w:r>
    </w:p>
    <w:p>
      <w:pPr>
        <w:spacing w:after="0" w:line="229"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Our due diligence process includes participation in RMI and following the OECD implementation framework. We requested that our suppliers complete the CMRT survey in order to obtain information about 3TG smelters or refiners in our supply chain. We have determined that these actions represent the most reasonable effort we can make to determine the mines or locations of origin of the 3TG in our supply chain.</w:t>
      </w:r>
    </w:p>
    <w:p>
      <w:pPr>
        <w:spacing w:after="0" w:line="176"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 xml:space="preserve">We analyzed and compared all the 3TG smelter and refiners’ data we received against information obtained from the RMI smelter database as well as other recognized industry sources, including </w:t>
      </w:r>
      <w:r>
        <w:rPr>
          <w:rFonts w:ascii="Times New Roman" w:cs="Times New Roman" w:eastAsia="Times New Roman" w:hAnsi="Times New Roman"/>
          <w:sz w:val="17"/>
          <w:szCs w:val="17"/>
          <w:i w:val="1"/>
          <w:iCs w:val="1"/>
          <w:color w:val="auto"/>
        </w:rPr>
        <w:t>Responsible Jewellery Council (RJC)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the London Bullion Market Association (LBMA).</w:t>
      </w:r>
      <w:r>
        <w:rPr>
          <w:rFonts w:ascii="Times New Roman" w:cs="Times New Roman" w:eastAsia="Times New Roman" w:hAnsi="Times New Roman"/>
          <w:sz w:val="17"/>
          <w:szCs w:val="17"/>
          <w:color w:val="auto"/>
        </w:rPr>
        <w:t xml:space="preserve"> For the calendar year 2025, our due diligence identified 352 smelters and refiners as potential sources of 3TG minerals that were reported to be in our supply chain.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order to provide compliance status, we completed additional analysis of the 352 smelters and refiners.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which** –</w:t>
      </w:r>
    </w:p>
    <w:p>
      <w:pPr>
        <w:spacing w:after="0" w:line="112"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Conformant (148 are RMAP Conformant; 74 are LBMA or RJC Conformant)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are RMAP Active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are Non-Conformant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are not yet enrolled in the RMAP – Of these 47 require further outreach, 20 are currently subject to RMI due diligence review,</w:t>
      </w:r>
    </w:p>
    <w:p>
      <w:pPr>
        <w:spacing w:after="0" w:line="27" w:lineRule="exact"/>
        <w:rPr>
          <w:rFonts w:ascii="Times New Roman" w:cs="Times New Roman" w:eastAsia="Times New Roman" w:hAnsi="Times New Roman"/>
          <w:sz w:val="18"/>
          <w:szCs w:val="18"/>
          <w:color w:val="auto"/>
        </w:rPr>
      </w:pPr>
    </w:p>
    <w:p>
      <w:pPr>
        <w:ind w:left="964"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communications currently suspended, smelter not interested in participating in RMAP and 18 Not Applicable (6 not listed in RMI Eligible Facilities; 13 not listed in RMI known smelter list).</w:t>
      </w:r>
    </w:p>
    <w:p>
      <w:pPr>
        <w:spacing w:after="0" w:line="18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Following the COVID-19 pandemic, evolving geopolitical conditions have affected audit execution and resulted in updates to the Responsible Minerals Assurance Process (RMAP), with impacts observed across industries. In addition, sanctions enacted in 2022 led to the removal of certain Russian smelters from the RMAP Conformant smelter list. Consistent with Source Intelligence guidance, Xerox applies a collaborative, risk-based approach to addressing identified smelters of concern, supporting responsible sourcing practices and industry-led disengagement efforts.</w:t>
      </w:r>
    </w:p>
    <w:p>
      <w:pPr>
        <w:spacing w:after="0" w:line="207" w:lineRule="exact"/>
        <w:rPr>
          <w:sz w:val="20"/>
          <w:szCs w:val="20"/>
          <w:color w:val="auto"/>
        </w:rPr>
      </w:pPr>
    </w:p>
    <w:p>
      <w:pPr>
        <w:ind w:left="5464" w:right="2760" w:hanging="5464"/>
        <w:spacing w:after="0" w:line="454" w:lineRule="auto"/>
        <w:tabs>
          <w:tab w:leader="none" w:pos="4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The data above was obtained from the RMI, LBMA and RJC via Source Intelligence as of 09/04/2026 3</w:t>
      </w:r>
    </w:p>
    <w:p>
      <w:pPr>
        <w:sectPr>
          <w:pgSz w:w="11900" w:h="16838" w:orient="portrait"/>
          <w:cols w:equalWidth="0" w:num="1">
            <w:col w:w="11004"/>
          </w:cols>
          <w:pgMar w:left="436" w:top="266" w:right="459" w:bottom="1440" w:gutter="0" w:footer="0" w:header="0"/>
        </w:sectPr>
      </w:pPr>
    </w:p>
    <w:bookmarkStart w:id="7" w:name="page8"/>
    <w:bookmarkEnd w:id="7"/>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definitions as per RMI - http://www.responsiblemineralsinitiative.org/smelter-links/database-field-definitions/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Smelters or refiners verified as conflict-free or in the audit process**</w:t>
      </w:r>
    </w:p>
    <w:p>
      <w:pPr>
        <w:spacing w:after="0" w:line="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The data above was obtained from the RMI, LBMA and RJC via Source Intelligence as of 09/4/2026</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1"/>
        </w:trPr>
        <w:tc>
          <w:tcPr>
            <w:tcW w:w="1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7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41 of 45</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40 of 43</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38 of 38</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37 of 37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35 of 36</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33 of 34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 of 36</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 of 37</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35 of 37</w:t>
            </w:r>
          </w:p>
        </w:tc>
      </w:tr>
      <w:tr>
        <w:trPr>
          <w:trHeight w:val="248"/>
        </w:trPr>
        <w:tc>
          <w:tcPr>
            <w:tcW w:w="19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10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8"/>
              </w:rPr>
              <w:t>79 of 129</w:t>
            </w:r>
          </w:p>
        </w:tc>
        <w:tc>
          <w:tcPr>
            <w:tcW w:w="10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8"/>
              </w:rPr>
              <w:t>84 of 124</w:t>
            </w:r>
          </w:p>
        </w:tc>
        <w:tc>
          <w:tcPr>
            <w:tcW w:w="10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49 of 58</w:t>
            </w:r>
          </w:p>
        </w:tc>
        <w:tc>
          <w:tcPr>
            <w:tcW w:w="10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66 of 77</w:t>
            </w:r>
          </w:p>
        </w:tc>
        <w:tc>
          <w:tcPr>
            <w:tcW w:w="10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65 of 81</w:t>
            </w:r>
          </w:p>
        </w:tc>
        <w:tc>
          <w:tcPr>
            <w:tcW w:w="10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59 of 82</w:t>
            </w:r>
          </w:p>
        </w:tc>
        <w:tc>
          <w:tcPr>
            <w:tcW w:w="10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67 of 87</w:t>
            </w:r>
          </w:p>
        </w:tc>
        <w:tc>
          <w:tcPr>
            <w:tcW w:w="10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72 of 95</w:t>
            </w:r>
          </w:p>
        </w:tc>
        <w:tc>
          <w:tcPr>
            <w:tcW w:w="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55 of 78</w:t>
            </w:r>
          </w:p>
        </w:tc>
      </w:tr>
      <w:tr>
        <w:trPr>
          <w:trHeight w:val="234"/>
        </w:trPr>
        <w:tc>
          <w:tcPr>
            <w:tcW w:w="19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(86%)</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Tungsten</w:t>
            </w:r>
          </w:p>
        </w:tc>
        <w:tc>
          <w:tcPr>
            <w:tcW w:w="10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45 of 51</w:t>
            </w:r>
          </w:p>
        </w:tc>
        <w:tc>
          <w:tcPr>
            <w:tcW w:w="10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44 of 49</w:t>
            </w:r>
          </w:p>
        </w:tc>
        <w:tc>
          <w:tcPr>
            <w:tcW w:w="10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49 of 52</w:t>
            </w:r>
          </w:p>
        </w:tc>
        <w:tc>
          <w:tcPr>
            <w:tcW w:w="10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45 of 47</w:t>
            </w:r>
          </w:p>
        </w:tc>
        <w:tc>
          <w:tcPr>
            <w:tcW w:w="10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46 of 49</w:t>
            </w:r>
          </w:p>
        </w:tc>
        <w:tc>
          <w:tcPr>
            <w:tcW w:w="10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35 of 50</w:t>
            </w:r>
          </w:p>
        </w:tc>
        <w:tc>
          <w:tcPr>
            <w:tcW w:w="10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33 of 51</w:t>
            </w:r>
          </w:p>
        </w:tc>
        <w:tc>
          <w:tcPr>
            <w:tcW w:w="10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36 of 57</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35 of 59</w:t>
            </w:r>
          </w:p>
        </w:tc>
      </w:tr>
      <w:tr>
        <w:trPr>
          <w:trHeight w:val="234"/>
        </w:trPr>
        <w:tc>
          <w:tcPr>
            <w:tcW w:w="192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(88%)</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(90%)</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10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143 of 180</w:t>
            </w:r>
          </w:p>
        </w:tc>
        <w:tc>
          <w:tcPr>
            <w:tcW w:w="10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147 of 181</w:t>
            </w:r>
          </w:p>
        </w:tc>
        <w:tc>
          <w:tcPr>
            <w:tcW w:w="10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117 of 157</w:t>
            </w:r>
          </w:p>
        </w:tc>
        <w:tc>
          <w:tcPr>
            <w:tcW w:w="10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126 of 171</w:t>
            </w:r>
          </w:p>
        </w:tc>
        <w:tc>
          <w:tcPr>
            <w:tcW w:w="10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7"/>
              </w:rPr>
              <w:t>118 of 173</w:t>
            </w:r>
          </w:p>
        </w:tc>
        <w:tc>
          <w:tcPr>
            <w:tcW w:w="10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94 of 175</w:t>
            </w:r>
          </w:p>
        </w:tc>
        <w:tc>
          <w:tcPr>
            <w:tcW w:w="10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90 of 173</w:t>
            </w:r>
          </w:p>
        </w:tc>
        <w:tc>
          <w:tcPr>
            <w:tcW w:w="10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91 of 182</w:t>
            </w:r>
          </w:p>
        </w:tc>
        <w:tc>
          <w:tcPr>
            <w:tcW w:w="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95 of 185</w:t>
            </w:r>
          </w:p>
        </w:tc>
      </w:tr>
      <w:tr>
        <w:trPr>
          <w:trHeight w:val="248"/>
        </w:trPr>
        <w:tc>
          <w:tcPr>
            <w:tcW w:w="19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2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2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2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2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2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2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2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308 of 405</w:t>
            </w:r>
          </w:p>
        </w:tc>
        <w:tc>
          <w:tcPr>
            <w:tcW w:w="10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315 of 397</w:t>
            </w:r>
          </w:p>
        </w:tc>
        <w:tc>
          <w:tcPr>
            <w:tcW w:w="10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253 of 305</w:t>
            </w:r>
          </w:p>
        </w:tc>
        <w:tc>
          <w:tcPr>
            <w:tcW w:w="10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274 of 332</w:t>
            </w:r>
          </w:p>
        </w:tc>
        <w:tc>
          <w:tcPr>
            <w:tcW w:w="10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264 of 339</w:t>
            </w:r>
          </w:p>
        </w:tc>
        <w:tc>
          <w:tcPr>
            <w:tcW w:w="10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221 of 342</w:t>
            </w:r>
          </w:p>
        </w:tc>
        <w:tc>
          <w:tcPr>
            <w:tcW w:w="10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224 of 347</w:t>
            </w:r>
          </w:p>
        </w:tc>
        <w:tc>
          <w:tcPr>
            <w:tcW w:w="10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233 of 371</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220 of 352</w:t>
            </w:r>
          </w:p>
        </w:tc>
      </w:tr>
      <w:tr>
        <w:trPr>
          <w:trHeight w:val="234"/>
        </w:trPr>
        <w:tc>
          <w:tcPr>
            <w:tcW w:w="192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DETERMINATION</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information received from our due diligence efforts from suppliers or other sources is not sufficient to determine the origin of all 3TG our products contain, whether the 3TG come from recycled or scrap sources, the facilities used to process them, their country of origin, or their mine or location of origin. If any supplier reported to us a facility for which we had information that triggered one of our potential risk indicators, then we requested the supplier investigate whether or not that facility contributed 3TG to Xerox products, and if the supplier confirmed that it did, we asked that the supplier remove the facility from our supply chain.</w:t>
      </w:r>
    </w:p>
    <w:p>
      <w:pPr>
        <w:spacing w:after="0" w:line="183"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Based on the information provided by our suppliers, we believe that the facilities that may have been used to process the 3TG minerals in our products include the RMI, LBMA and RJC compliant smelters listed in Appendix I below. Many of our suppliers returned CMRTs representing their full supply chains, rather than scoping specifically to components incorporated into Xerox’s products. Therefore, it is possible that not all of the smelters and refiners reported are providing material for Xerox products. As part of our transparency efforts, Xerox is publishing the full list of these smelters and refiners reported by our suppliers in Appendix I. We have found no reasonable basis for concluding that these refiners, or the other smelters preparing to be audited under the RMAP program, sourced 3TG minerals that directly or indirectly finance or benefit armed groups in the Covered Countries.</w:t>
      </w:r>
    </w:p>
    <w:p>
      <w:pPr>
        <w:spacing w:after="0" w:line="187" w:lineRule="exact"/>
        <w:rPr>
          <w:sz w:val="20"/>
          <w:szCs w:val="20"/>
          <w:color w:val="auto"/>
        </w:rPr>
      </w:pPr>
    </w:p>
    <w:p>
      <w:pPr>
        <w:jc w:val="both"/>
        <w:ind w:left="4" w:right="300"/>
        <w:spacing w:after="0" w:line="312" w:lineRule="auto"/>
        <w:rPr>
          <w:sz w:val="20"/>
          <w:szCs w:val="20"/>
          <w:color w:val="auto"/>
        </w:rPr>
      </w:pPr>
      <w:r>
        <w:rPr>
          <w:rFonts w:ascii="Times New Roman" w:cs="Times New Roman" w:eastAsia="Times New Roman" w:hAnsi="Times New Roman"/>
          <w:sz w:val="17"/>
          <w:szCs w:val="17"/>
          <w:color w:val="auto"/>
        </w:rPr>
        <w:t>The list of countries from which we believe the 3TG in our products may have originated is published in Appendix II. Some 3TG also originate from recycled or scrap sources. This information was obtained using the RCOI report dated April 09, 2026 that is available to Xerox as a member of RMI.</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Rule, this Report is not subject to an independent private sector audit.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Through our participation in the RMI, we continue to support independent third-party audits through the RMI or other third-party certification schemes.</w:t>
      </w:r>
    </w:p>
    <w:p>
      <w:pPr>
        <w:spacing w:after="0" w:line="225"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the OECD Guidance and the Rule, this Report is available on our website under Supplier Governance—Conflict Minerals at </w:t>
      </w:r>
      <w:r>
        <w:rPr>
          <w:rFonts w:ascii="Times New Roman" w:cs="Times New Roman" w:eastAsia="Times New Roman" w:hAnsi="Times New Roman"/>
          <w:sz w:val="18"/>
          <w:szCs w:val="18"/>
          <w:u w:val="single" w:color="auto"/>
          <w:color w:val="auto"/>
        </w:rPr>
        <w:t>www.xerox.com/en-us/about/supplier-relations/governance.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STEPS TO BE TAKEN IN 2026 TO MITIGATE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Xerox plans to take the following steps, among others, to improve the due diligence conducted by it in order to further mitigate future risk of sourcing 3TG that benefits armed groups in the Covered Countries:</w:t>
      </w:r>
    </w:p>
    <w:p>
      <w:pPr>
        <w:spacing w:after="0" w:line="67" w:lineRule="exact"/>
        <w:rPr>
          <w:sz w:val="20"/>
          <w:szCs w:val="20"/>
          <w:color w:val="auto"/>
        </w:rPr>
      </w:pPr>
    </w:p>
    <w:p>
      <w:pPr>
        <w:ind w:left="960" w:right="2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strengthen engagement with relevant suppliers and to provide training, as appropriate, to help them understand and satisfy Xerox requirements related to 3TG minerals under the Rule.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review the process with distributors submitting CMRTs and develop best practices in obtaining 3TG mineral data.</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using the internal escalation process within our supply chain organization when working with suppliers to obtain required information.</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provide ongoing feedback to suppliers on errors and corrections required in connection with the CMRT assessment and notify suppliers of potential risks identified within the supply chain</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as a member in the RBA and the RMI, including Conflict Free Smelter Program smelter validation and supplier outreach.</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the OECD and relevant trade associations to define and improve best practices and build leverage over the supply chain in accordance with the OECD Guidance.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-7620</wp:posOffset>
            </wp:positionV>
            <wp:extent cx="23996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66"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list is based on Xerox supplier data for the reporting period January 1, 2025 to December 31, 2025. In many cases, suppliers provided information encompassing their entire supply chain, so this information was not limited to facilities that contributed 3TG used only in Xerox products. As a result, we are unable to validate whether our products in fact contain 3TG from all of these sources. This list only includes facilities reported by suppliers that are on the RMAP standard smelter list as of April 09,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120" w:type="dxa"/>
            <w:vAlign w:val="bottom"/>
          </w:tcPr>
          <w:p>
            <w:pPr>
              <w:spacing w:after="0"/>
              <w:rPr>
                <w:sz w:val="16"/>
                <w:szCs w:val="16"/>
                <w:color w:val="auto"/>
              </w:rPr>
            </w:pPr>
          </w:p>
        </w:tc>
        <w:tc>
          <w:tcPr>
            <w:tcW w:w="71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Official Smelter Name</w:t>
            </w:r>
          </w:p>
        </w:tc>
        <w:tc>
          <w:tcPr>
            <w:tcW w:w="100" w:type="dxa"/>
            <w:vAlign w:val="bottom"/>
          </w:tcPr>
          <w:p>
            <w:pPr>
              <w:spacing w:after="0"/>
              <w:rPr>
                <w:sz w:val="16"/>
                <w:szCs w:val="16"/>
                <w:color w:val="auto"/>
              </w:rPr>
            </w:pPr>
          </w:p>
        </w:tc>
        <w:tc>
          <w:tcPr>
            <w:tcW w:w="2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Smelter Country</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6"/>
                <w:szCs w:val="16"/>
                <w:color w:val="auto"/>
              </w:rPr>
            </w:pPr>
          </w:p>
        </w:tc>
        <w:tc>
          <w:tcPr>
            <w:tcW w:w="7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8853 S.p.A.</w:t>
            </w:r>
          </w:p>
        </w:tc>
        <w:tc>
          <w:tcPr>
            <w:tcW w:w="100" w:type="dxa"/>
            <w:vAlign w:val="bottom"/>
          </w:tcPr>
          <w:p>
            <w:pPr>
              <w:spacing w:after="0"/>
              <w:rPr>
                <w:sz w:val="16"/>
                <w:szCs w:val="16"/>
                <w:color w:val="auto"/>
              </w:rPr>
            </w:pPr>
          </w:p>
        </w:tc>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ABC Refinery Pty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African Gold Refinery</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Agosi AG</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Albino Mountinho Lda.</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Alexy Metals</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Argor-Heraeus S.A.</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METALFINE, Inc.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Refining USA Inc.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Asaka Riken Co.,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 Traders and Refiners</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Aurubis AG</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Bangalore Refinery</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 Hafner GmbH + Co. KG</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Caridad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Cendres + Metaux S.A.</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CGR Metalloys Pvt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Chimet S.p.A.</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Chugai Mining</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Coimpa Industrial LTDA</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Dongwu Gold Group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Dowa</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DSC (Do Sung Corporation)</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Elite Industech Co.,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Emirates Gold DMCC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ZIMBABWE</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Fujairah Gold FZC</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GG Refinery Ltd.</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TANZANIA, UNITED REPUBLIC</w:t>
            </w: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w:t>
            </w:r>
          </w:p>
        </w:tc>
      </w:tr>
      <w:tr>
        <w:trPr>
          <w:trHeight w:val="364"/>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6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A-1</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Glencore Canada Corporation—CCR Refinery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by Gold Colombia</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Coast Refinery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GHANA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Corporation—The Perth Mint</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Heimerle + Meule GmbH</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HwaSeong CJ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Platinum—Base Metal Refinery (BMR)</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Platinum—Platinum Metals Refinery (PMR)</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Platinum—Rustenburg Smelter</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Istanbul Gold Refinery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Italpreziosi</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JALAN &amp; Company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Japan Mint</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Copper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JSC Uralelectromed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 Rasmussen</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Kaloti Precious Metals</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Kazakhmys Smelting LLC</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Kazzinc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Kojima Chemicals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Korea Zinc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Kyrgyzaltyn JSC</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KYRGYZSTAN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L’Orfebre S.A.</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Lingbao Gold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364"/>
        </w:trPr>
        <w:tc>
          <w:tcPr>
            <w:tcW w:w="740" w:type="dxa"/>
            <w:vAlign w:val="bottom"/>
          </w:tcPr>
          <w:p>
            <w:pPr>
              <w:spacing w:after="0"/>
              <w:rPr>
                <w:sz w:val="24"/>
                <w:szCs w:val="24"/>
                <w:color w:val="auto"/>
              </w:rPr>
            </w:pPr>
          </w:p>
        </w:tc>
        <w:tc>
          <w:tcPr>
            <w:tcW w:w="64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A-2</w:t>
            </w:r>
          </w:p>
        </w:tc>
        <w:tc>
          <w:tcPr>
            <w:tcW w:w="3720" w:type="dxa"/>
            <w:vAlign w:val="bottom"/>
          </w:tcPr>
          <w:p>
            <w:pPr>
              <w:spacing w:after="0"/>
              <w:rPr>
                <w:sz w:val="24"/>
                <w:szCs w:val="24"/>
                <w:color w:val="auto"/>
              </w:rPr>
            </w:pPr>
          </w:p>
        </w:tc>
      </w:tr>
    </w:tbl>
    <w:p>
      <w:pPr>
        <w:sectPr>
          <w:pgSz w:w="11900" w:h="16838" w:orient="portrait"/>
          <w:cols w:equalWidth="0" w:num="1">
            <w:col w:w="10860"/>
          </w:cols>
          <w:pgMar w:left="440" w:top="270" w:right="5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LS MnM Inc.</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LT Metal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Marsam Metals</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Materion</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Matsuda Sangyo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MD Overseas</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Metallix Refining Inc.</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S.A.</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MKS PAMP SA</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MMTC-PAMP India Pvt.,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Modeltech Sdn Bhd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Morris and Watson</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NH Recytech Company</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Nihon Material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NOBLE METAL SERVICES</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 Krastsvetmet)</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Pease &amp; Curren</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PX Precinox S.A.</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QG Refining, LLC</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Rand Refinery (Pty)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365"/>
        </w:trPr>
        <w:tc>
          <w:tcPr>
            <w:tcW w:w="740" w:type="dxa"/>
            <w:vAlign w:val="bottom"/>
          </w:tcPr>
          <w:p>
            <w:pPr>
              <w:spacing w:after="0"/>
              <w:rPr>
                <w:sz w:val="24"/>
                <w:szCs w:val="24"/>
                <w:color w:val="auto"/>
              </w:rPr>
            </w:pPr>
          </w:p>
        </w:tc>
        <w:tc>
          <w:tcPr>
            <w:tcW w:w="70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A-3</w:t>
            </w:r>
          </w:p>
        </w:tc>
        <w:tc>
          <w:tcPr>
            <w:tcW w:w="3120" w:type="dxa"/>
            <w:vAlign w:val="bottom"/>
          </w:tcPr>
          <w:p>
            <w:pPr>
              <w:spacing w:after="0"/>
              <w:rPr>
                <w:sz w:val="24"/>
                <w:szCs w:val="24"/>
                <w:color w:val="auto"/>
              </w:rPr>
            </w:pPr>
          </w:p>
        </w:tc>
      </w:tr>
    </w:tbl>
    <w:p>
      <w:pPr>
        <w:sectPr>
          <w:pgSz w:w="11900" w:h="16838" w:orient="portrait"/>
          <w:cols w:equalWidth="0" w:num="1">
            <w:col w:w="10860"/>
          </w:cols>
          <w:pgMar w:left="440" w:top="270" w:right="5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REMONDIS PMR B.V.</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 Canadian Mint</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SAAMP</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Sabin Metal Corp.</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Safimet S.p.A</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SAFINA A.S.</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Sai Refinery</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Samduck Precious Metals</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SAMWON METALS Corp.</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SHENZHEN JINJUNWEI RESOURCE COMPREHENSIVE DEVELOPMENT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Sovereign Metals</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Sudan Gold Refinery</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SungEel HiMetal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T.C.A S.p.A</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Tokuriki Honten Co., Ltd.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Tongling Nonferrous Jinguan (Ausmelt) Copper Industry</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TOO Tau-Ken-Altyn</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Torecom</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365"/>
        </w:trPr>
        <w:tc>
          <w:tcPr>
            <w:tcW w:w="740" w:type="dxa"/>
            <w:vAlign w:val="bottom"/>
          </w:tcPr>
          <w:p>
            <w:pPr>
              <w:spacing w:after="0"/>
              <w:rPr>
                <w:sz w:val="24"/>
                <w:szCs w:val="24"/>
                <w:color w:val="auto"/>
              </w:rPr>
            </w:pPr>
          </w:p>
        </w:tc>
        <w:tc>
          <w:tcPr>
            <w:tcW w:w="734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A-4</w:t>
            </w:r>
          </w:p>
        </w:tc>
        <w:tc>
          <w:tcPr>
            <w:tcW w:w="28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Valcambi S.A.</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WEEEREFINING</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Yamakin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Yokohama Metal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Yunnan Copper Southwest Copper Branch</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5D Production OU</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AMG Brasil</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 Block Metals, LLC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Tanbre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KEMET de Mexico</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Materion Newton Inc.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Mineracao Taboca S.A.</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NPM Silmet AS</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PowerX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QuantumClean</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Taki Chemical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GmbH</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Japan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Telex Metals</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KAZAKHSTAN</w:t>
            </w:r>
          </w:p>
        </w:tc>
      </w:tr>
      <w:tr>
        <w:trPr>
          <w:trHeight w:val="365"/>
        </w:trPr>
        <w:tc>
          <w:tcPr>
            <w:tcW w:w="9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A-5</w:t>
            </w:r>
          </w:p>
        </w:tc>
      </w:tr>
    </w:tbl>
    <w:p>
      <w:pPr>
        <w:sectPr>
          <w:pgSz w:w="11900" w:h="16838" w:orient="portrait"/>
          <w:cols w:equalWidth="0" w:num="1">
            <w:col w:w="10860"/>
          </w:cols>
          <w:pgMar w:left="440" w:top="270" w:right="59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Aurubis Beerse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Aurubis Berango</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 Tin Group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Conecsus LLC</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CRM Synergies EMEA, S.L.U.</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CV Ayi Jaya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Dowa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 Company</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 Vinto</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BOLIVIA (PLURINATIONAL</w:t>
            </w:r>
          </w:p>
        </w:tc>
      </w:tr>
      <w:tr>
        <w:trPr>
          <w:trHeight w:val="216"/>
        </w:trPr>
        <w:tc>
          <w:tcPr>
            <w:tcW w:w="9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OF)</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Estanho de Rondonia S.A.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Fenix Metals</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Luna Smelter,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Melt Metais e Ligas S.A.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Metallic Resources, Inc.</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Mineracao Taboca S.A.</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364"/>
        </w:trPr>
        <w:tc>
          <w:tcPr>
            <w:tcW w:w="900" w:type="dxa"/>
            <w:vAlign w:val="bottom"/>
          </w:tcPr>
          <w:p>
            <w:pPr>
              <w:spacing w:after="0"/>
              <w:rPr>
                <w:sz w:val="24"/>
                <w:szCs w:val="24"/>
                <w:color w:val="auto"/>
              </w:rPr>
            </w:pPr>
          </w:p>
        </w:tc>
        <w:tc>
          <w:tcPr>
            <w:tcW w:w="71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A-6</w:t>
            </w:r>
          </w:p>
        </w:tc>
        <w:tc>
          <w:tcPr>
            <w:tcW w:w="2840" w:type="dxa"/>
            <w:vAlign w:val="bottom"/>
          </w:tcPr>
          <w:p>
            <w:pPr>
              <w:spacing w:after="0"/>
              <w:rPr>
                <w:sz w:val="24"/>
                <w:szCs w:val="24"/>
                <w:color w:val="auto"/>
              </w:rPr>
            </w:pPr>
          </w:p>
        </w:tc>
      </w:tr>
    </w:tbl>
    <w:p>
      <w:pPr>
        <w:sectPr>
          <w:pgSz w:w="11900" w:h="16838" w:orient="portrait"/>
          <w:cols w:equalWidth="0" w:num="1">
            <w:col w:w="10860"/>
          </w:cols>
          <w:pgMar w:left="440" w:top="270" w:right="5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CONGO, DEMOCRATIC</w:t>
            </w:r>
          </w:p>
        </w:tc>
      </w:tr>
      <w:tr>
        <w:trPr>
          <w:trHeight w:val="216"/>
        </w:trPr>
        <w:tc>
          <w:tcPr>
            <w:tcW w:w="68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REPUBLIC OF THE</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Minsur</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Modeltech Sdn Bhd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Novosibirsk Tin Combine</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BOLIVIA (PLURINATIONAL</w:t>
            </w:r>
          </w:p>
        </w:tc>
      </w:tr>
      <w:tr>
        <w:trPr>
          <w:trHeight w:val="216"/>
        </w:trPr>
        <w:tc>
          <w:tcPr>
            <w:tcW w:w="68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OF)</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 Kay Metal, Inc</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Arsed Indonesia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Artha Cipta Langgeng</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Bangka Prima Tin</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Cipta Persada Mulia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Masbro Alam Stania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Mitra Stania Prima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Panca Mega Persada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Prima Timah Utama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Rajehan Ariq</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Timah Tbk Kundur</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Timah Tbk Mentok</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Rui Da Hung</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Super Ligas</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68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 LTD.</w:t>
            </w:r>
          </w:p>
        </w:tc>
        <w:tc>
          <w:tcPr>
            <w:tcW w:w="282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Thaisarco</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r>
      <w:tr>
        <w:trPr>
          <w:trHeight w:val="364"/>
        </w:trPr>
        <w:tc>
          <w:tcPr>
            <w:tcW w:w="680" w:type="dxa"/>
            <w:vAlign w:val="bottom"/>
          </w:tcPr>
          <w:p>
            <w:pPr>
              <w:spacing w:after="0"/>
              <w:rPr>
                <w:sz w:val="24"/>
                <w:szCs w:val="24"/>
                <w:color w:val="auto"/>
              </w:rPr>
            </w:pPr>
          </w:p>
        </w:tc>
        <w:tc>
          <w:tcPr>
            <w:tcW w:w="746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A-7</w:t>
            </w:r>
          </w:p>
        </w:tc>
        <w:tc>
          <w:tcPr>
            <w:tcW w:w="28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A.L.M.T. Corp.</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ACL Metais Eireli</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Artek LLC</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Cronimet Brasil Ltda</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H.C. Starck Tungsten GmbH</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HANNAE FOR T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Hydrometallurg, JSC</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 New Metals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Kennametal Fallon</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Kennametal Huntsville</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LAO PEOPLE’S DEMOCRATIC</w:t>
            </w:r>
          </w:p>
        </w:tc>
      </w:tr>
      <w:tr>
        <w:trPr>
          <w:trHeight w:val="216"/>
        </w:trPr>
        <w:tc>
          <w:tcPr>
            <w:tcW w:w="8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REPUBLIC</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Lianyou Metals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LLC Vostok</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MALAYSIA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365"/>
        </w:trPr>
        <w:tc>
          <w:tcPr>
            <w:tcW w:w="880" w:type="dxa"/>
            <w:vAlign w:val="bottom"/>
          </w:tcPr>
          <w:p>
            <w:pPr>
              <w:spacing w:after="0"/>
              <w:rPr>
                <w:sz w:val="24"/>
                <w:szCs w:val="24"/>
                <w:color w:val="auto"/>
              </w:rPr>
            </w:pPr>
          </w:p>
        </w:tc>
        <w:tc>
          <w:tcPr>
            <w:tcW w:w="69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A-8</w:t>
            </w:r>
          </w:p>
        </w:tc>
        <w:tc>
          <w:tcPr>
            <w:tcW w:w="31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Moliren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Niagara Refining LLC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7"/>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NPP Tyazhmetprom LLC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OOO “Technolom” 1</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OOO “Technolom” 2</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S.P.T. spol.s r.o.</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Tungamoy Metals Inc.</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Xiamen Tungsten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55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CHINA</w:t>
            </w:r>
          </w:p>
        </w:tc>
      </w:tr>
      <w:tr>
        <w:trPr>
          <w:trHeight w:val="364"/>
        </w:trPr>
        <w:tc>
          <w:tcPr>
            <w:tcW w:w="8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A-9</w:t>
            </w:r>
          </w:p>
        </w:tc>
      </w:tr>
    </w:tbl>
    <w:p>
      <w:pPr>
        <w:sectPr>
          <w:pgSz w:w="11900" w:h="16838" w:orient="portrait"/>
          <w:cols w:equalWidth="0" w:num="1">
            <w:col w:w="10860"/>
          </w:cols>
          <w:pgMar w:left="440" w:top="270" w:right="5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II</w:t>
      </w:r>
    </w:p>
    <w:p>
      <w:pPr>
        <w:spacing w:after="0" w:line="227"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Countries from which the 3TG in Xerox products may have originated based on sourcing information disclosed during the RMAP’s third-party auditing process and RMI’s RCOI report dated April 09, 2026. The origins of the 3TG processed by facilities listed in Appendix I are believed to be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ANGOLA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EGYPT</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ESTONIA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MADAGASCAR</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ARMENIA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ETHIOPIA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FINLAND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MALI</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SUDAN</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BELARUS</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SURINAME</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GHANA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MOROCCO</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GUINEA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BOLIVIA (PLURINATIONAL STATE</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GUYANA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TAIWAN, PROVINCE OF</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2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HONG KONG</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TAJIKISTAN</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BURUNDI</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HUNGARY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TANZANIA, UNITED</w:t>
            </w:r>
          </w:p>
        </w:tc>
      </w:tr>
      <w:tr>
        <w:trPr>
          <w:trHeight w:val="216"/>
        </w:trPr>
        <w:tc>
          <w:tcPr>
            <w:tcW w:w="3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REPUBLIC OF</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CAMBODIA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CENTRAL AFRICAN REPUBLIC</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IRELAND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ISRAEL</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PAPUA NEW GUINEA</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ITALY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 OF</w:t>
            </w:r>
          </w:p>
        </w:tc>
      </w:tr>
      <w:tr>
        <w:trPr>
          <w:trHeight w:val="216"/>
        </w:trPr>
        <w:tc>
          <w:tcPr>
            <w:tcW w:w="3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GREAT BRITAIN AND</w:t>
            </w:r>
          </w:p>
        </w:tc>
      </w:tr>
      <w:tr>
        <w:trPr>
          <w:trHeight w:val="216"/>
        </w:trPr>
        <w:tc>
          <w:tcPr>
            <w:tcW w:w="3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NORTHERN IRELAND</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 OF</w:t>
            </w:r>
          </w:p>
        </w:tc>
      </w:tr>
      <w:tr>
        <w:trPr>
          <w:trHeight w:val="216"/>
        </w:trPr>
        <w:tc>
          <w:tcPr>
            <w:tcW w:w="3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AMERICA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CONGO</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JERSEY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CONGO, DEMOCRATIC REPUBLIC</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KAZAKHSTAN</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THE</w:t>
            </w:r>
          </w:p>
        </w:tc>
        <w:tc>
          <w:tcPr>
            <w:tcW w:w="2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COTE D’IVOIRE</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KENYA</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ZAMBIA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CZECHIA</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ZIMBABWE</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DJIBOUTI</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KYRGYZSTAN</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256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LAO PEOPLE’S DEMOCRATIC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SIERRA LEONE</w:t>
            </w:r>
          </w:p>
        </w:tc>
        <w:tc>
          <w:tcPr>
            <w:tcW w:w="256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REPUBLIC</w:t>
            </w:r>
          </w:p>
        </w:tc>
        <w:tc>
          <w:tcPr>
            <w:tcW w:w="24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65"/>
        </w:trPr>
        <w:tc>
          <w:tcPr>
            <w:tcW w:w="3020" w:type="dxa"/>
            <w:vAlign w:val="bottom"/>
          </w:tcPr>
          <w:p>
            <w:pPr>
              <w:spacing w:after="0"/>
              <w:rPr>
                <w:sz w:val="24"/>
                <w:szCs w:val="24"/>
                <w:color w:val="auto"/>
              </w:rPr>
            </w:pPr>
          </w:p>
        </w:tc>
        <w:tc>
          <w:tcPr>
            <w:tcW w:w="27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A-10</w:t>
            </w:r>
          </w:p>
        </w:tc>
        <w:tc>
          <w:tcPr>
            <w:tcW w:w="248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2026-06-01T16:14:23Z</dcterms:created>
  <dcterms:modified xsi:type="dcterms:W3CDTF">2026-06-01T16:14:23Z</dcterms:modified>
</cp:coreProperties>
</file>