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APRIL 3, 1996</w:t>
      </w:r>
    </w:p>
    <w:p>
      <w:pPr>
        <w:spacing w:after="0" w:line="201" w:lineRule="exact"/>
        <w:rPr>
          <w:sz w:val="24"/>
          <w:szCs w:val="24"/>
          <w:color w:val="auto"/>
        </w:rPr>
      </w:pPr>
    </w:p>
    <w:p>
      <w:pPr>
        <w:ind w:left="5380"/>
        <w:spacing w:after="0"/>
        <w:rPr>
          <w:sz w:val="20"/>
          <w:szCs w:val="20"/>
          <w:color w:val="auto"/>
        </w:rPr>
      </w:pPr>
      <w:r>
        <w:rPr>
          <w:rFonts w:ascii="Courier New" w:cs="Courier New" w:eastAsia="Courier New" w:hAnsi="Courier New"/>
          <w:sz w:val="18"/>
          <w:szCs w:val="18"/>
          <w:color w:val="auto"/>
        </w:rPr>
        <w:t>Registration No. 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28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S-3</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860"/>
        <w:spacing w:after="0"/>
        <w:rPr>
          <w:sz w:val="20"/>
          <w:szCs w:val="20"/>
          <w:color w:val="auto"/>
        </w:rPr>
      </w:pPr>
      <w:r>
        <w:rPr>
          <w:rFonts w:ascii="Courier New" w:cs="Courier New" w:eastAsia="Courier New" w:hAnsi="Courier New"/>
          <w:sz w:val="18"/>
          <w:szCs w:val="18"/>
          <w:color w:val="auto"/>
        </w:rPr>
        <w:t>--------------------------</w:t>
      </w:r>
    </w:p>
    <w:p>
      <w:pPr>
        <w:ind w:left="3280"/>
        <w:spacing w:after="0" w:line="237" w:lineRule="auto"/>
        <w:rPr>
          <w:sz w:val="20"/>
          <w:szCs w:val="20"/>
          <w:color w:val="auto"/>
        </w:rPr>
      </w:pPr>
      <w:r>
        <w:rPr>
          <w:rFonts w:ascii="Courier New" w:cs="Courier New" w:eastAsia="Courier New" w:hAnsi="Courier New"/>
          <w:sz w:val="18"/>
          <w:szCs w:val="18"/>
          <w:color w:val="auto"/>
        </w:rPr>
        <w:t>Xerox Corporation</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852" w:right="1440" w:bottom="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New York</w:t>
      </w:r>
    </w:p>
    <w:p>
      <w:pPr>
        <w:ind w:left="22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16-0468020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55" w:orient="portrait"/>
          <w:cols w:equalWidth="0" w:num="2">
            <w:col w:w="3600" w:space="720"/>
            <w:col w:w="5899"/>
          </w:cols>
          <w:pgMar w:left="240" w:top="852" w:right="1440" w:bottom="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800 Long Ridge Road</w:t>
      </w:r>
    </w:p>
    <w:p>
      <w:pPr>
        <w:ind w:left="3480"/>
        <w:spacing w:after="0" w:line="238" w:lineRule="auto"/>
        <w:rPr>
          <w:sz w:val="20"/>
          <w:szCs w:val="20"/>
          <w:color w:val="auto"/>
        </w:rPr>
      </w:pPr>
      <w:r>
        <w:rPr>
          <w:rFonts w:ascii="Courier New" w:cs="Courier New" w:eastAsia="Courier New" w:hAnsi="Courier New"/>
          <w:sz w:val="18"/>
          <w:szCs w:val="18"/>
          <w:color w:val="auto"/>
        </w:rPr>
        <w:t>P.O. Box 1600</w:t>
      </w:r>
    </w:p>
    <w:p>
      <w:pPr>
        <w:ind w:left="2320"/>
        <w:spacing w:after="0"/>
        <w:tabs>
          <w:tab w:leader="none" w:pos="4720" w:val="left"/>
        </w:tabs>
        <w:rPr>
          <w:sz w:val="20"/>
          <w:szCs w:val="20"/>
          <w:color w:val="auto"/>
        </w:rPr>
      </w:pPr>
      <w:r>
        <w:rPr>
          <w:rFonts w:ascii="Courier New" w:cs="Courier New" w:eastAsia="Courier New" w:hAnsi="Courier New"/>
          <w:sz w:val="18"/>
          <w:szCs w:val="18"/>
          <w:color w:val="auto"/>
        </w:rPr>
        <w:t>Stamford, Connecticut</w:t>
      </w:r>
      <w:r>
        <w:rPr>
          <w:sz w:val="20"/>
          <w:szCs w:val="20"/>
          <w:color w:val="auto"/>
        </w:rPr>
        <w:tab/>
      </w:r>
      <w:r>
        <w:rPr>
          <w:rFonts w:ascii="Courier New" w:cs="Courier New" w:eastAsia="Courier New" w:hAnsi="Courier New"/>
          <w:sz w:val="16"/>
          <w:szCs w:val="16"/>
          <w:color w:val="auto"/>
        </w:rPr>
        <w:t>06904-1600</w:t>
      </w:r>
    </w:p>
    <w:p>
      <w:pPr>
        <w:ind w:left="3380"/>
        <w:spacing w:after="0" w:line="237" w:lineRule="auto"/>
        <w:rPr>
          <w:sz w:val="20"/>
          <w:szCs w:val="20"/>
          <w:color w:val="auto"/>
        </w:rPr>
      </w:pPr>
      <w:r>
        <w:rPr>
          <w:rFonts w:ascii="Courier New" w:cs="Courier New" w:eastAsia="Courier New" w:hAnsi="Courier New"/>
          <w:sz w:val="18"/>
          <w:szCs w:val="18"/>
          <w:color w:val="auto"/>
        </w:rPr>
        <w:t>(203) 968-3000</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ectPr>
          <w:pgSz w:w="11900" w:h="16855"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area code, of registrant's principal executive offices)</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Martin S. Wagner</w:t>
      </w:r>
    </w:p>
    <w:p>
      <w:pPr>
        <w:ind w:left="2960"/>
        <w:spacing w:after="0" w:line="237" w:lineRule="auto"/>
        <w:rPr>
          <w:sz w:val="20"/>
          <w:szCs w:val="20"/>
          <w:color w:val="auto"/>
        </w:rPr>
      </w:pPr>
      <w:r>
        <w:rPr>
          <w:rFonts w:ascii="Courier New" w:cs="Courier New" w:eastAsia="Courier New" w:hAnsi="Courier New"/>
          <w:sz w:val="18"/>
          <w:szCs w:val="18"/>
          <w:color w:val="auto"/>
        </w:rPr>
        <w:t>Assistant Secretary</w:t>
      </w:r>
    </w:p>
    <w:p>
      <w:pPr>
        <w:ind w:left="3060"/>
        <w:spacing w:after="0" w:line="238" w:lineRule="auto"/>
        <w:rPr>
          <w:sz w:val="20"/>
          <w:szCs w:val="20"/>
          <w:color w:val="auto"/>
        </w:rPr>
      </w:pPr>
      <w:r>
        <w:rPr>
          <w:rFonts w:ascii="Courier New" w:cs="Courier New" w:eastAsia="Courier New" w:hAnsi="Courier New"/>
          <w:sz w:val="18"/>
          <w:szCs w:val="18"/>
          <w:color w:val="auto"/>
        </w:rPr>
        <w:t>Xerox Corporation</w:t>
      </w:r>
    </w:p>
    <w:p>
      <w:pPr>
        <w:ind w:left="3280"/>
        <w:spacing w:after="0"/>
        <w:rPr>
          <w:sz w:val="20"/>
          <w:szCs w:val="20"/>
          <w:color w:val="auto"/>
        </w:rPr>
      </w:pPr>
      <w:r>
        <w:rPr>
          <w:rFonts w:ascii="Courier New" w:cs="Courier New" w:eastAsia="Courier New" w:hAnsi="Courier New"/>
          <w:sz w:val="18"/>
          <w:szCs w:val="18"/>
          <w:color w:val="auto"/>
        </w:rPr>
        <w:t>P.O. Box 1600</w:t>
      </w:r>
    </w:p>
    <w:p>
      <w:pPr>
        <w:ind w:left="2540"/>
        <w:spacing w:after="0" w:line="237" w:lineRule="auto"/>
        <w:rPr>
          <w:sz w:val="20"/>
          <w:szCs w:val="20"/>
          <w:color w:val="auto"/>
        </w:rPr>
      </w:pPr>
      <w:r>
        <w:rPr>
          <w:rFonts w:ascii="Courier New" w:cs="Courier New" w:eastAsia="Courier New" w:hAnsi="Courier New"/>
          <w:sz w:val="18"/>
          <w:szCs w:val="18"/>
          <w:color w:val="auto"/>
        </w:rPr>
        <w:t>Stamford, Connecticut 06904</w:t>
      </w:r>
    </w:p>
    <w:p>
      <w:pPr>
        <w:ind w:left="3280"/>
        <w:spacing w:after="0"/>
        <w:rPr>
          <w:sz w:val="20"/>
          <w:szCs w:val="20"/>
          <w:color w:val="auto"/>
        </w:rPr>
      </w:pPr>
      <w:r>
        <w:rPr>
          <w:rFonts w:ascii="Courier New" w:cs="Courier New" w:eastAsia="Courier New" w:hAnsi="Courier New"/>
          <w:sz w:val="18"/>
          <w:szCs w:val="18"/>
          <w:color w:val="auto"/>
        </w:rPr>
        <w:t>(203) 968-3000</w:t>
      </w:r>
    </w:p>
    <w:p>
      <w:pPr>
        <w:jc w:val="center"/>
        <w:ind w:right="209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w:t>
      </w:r>
    </w:p>
    <w:p>
      <w:pPr>
        <w:jc w:val="center"/>
        <w:ind w:right="2199"/>
        <w:spacing w:after="0"/>
        <w:rPr>
          <w:sz w:val="20"/>
          <w:szCs w:val="20"/>
          <w:color w:val="auto"/>
        </w:rPr>
      </w:pPr>
      <w:r>
        <w:rPr>
          <w:rFonts w:ascii="Courier New" w:cs="Courier New" w:eastAsia="Courier New" w:hAnsi="Courier New"/>
          <w:sz w:val="18"/>
          <w:szCs w:val="18"/>
          <w:color w:val="auto"/>
        </w:rPr>
        <w:t>area code, of agent for service)</w:t>
      </w:r>
    </w:p>
    <w:p>
      <w:pPr>
        <w:ind w:left="2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ind w:left="2740"/>
        <w:spacing w:after="0" w:line="233" w:lineRule="auto"/>
        <w:rPr>
          <w:sz w:val="20"/>
          <w:szCs w:val="20"/>
          <w:color w:val="auto"/>
        </w:rPr>
      </w:pPr>
      <w:r>
        <w:rPr>
          <w:rFonts w:ascii="Courier New" w:cs="Courier New" w:eastAsia="Courier New" w:hAnsi="Courier New"/>
          <w:sz w:val="18"/>
          <w:szCs w:val="18"/>
          <w:color w:val="auto"/>
        </w:rPr>
        <w:t>--------------------------</w:t>
      </w:r>
    </w:p>
    <w:p>
      <w:pPr>
        <w:spacing w:after="0" w:line="208"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(X)</w:t>
      </w:r>
    </w:p>
    <w:p>
      <w:pPr>
        <w:spacing w:after="0" w:line="177"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(continued on next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from previous page)</w:t>
      </w:r>
    </w:p>
    <w:p>
      <w:pPr>
        <w:spacing w:after="0" w:line="207" w:lineRule="exact"/>
        <w:rPr>
          <w:sz w:val="24"/>
          <w:szCs w:val="24"/>
          <w:color w:val="auto"/>
        </w:rPr>
      </w:pPr>
    </w:p>
    <w:p>
      <w:pPr>
        <w:jc w:val="both"/>
        <w:ind w:right="2199" w:firstLine="527"/>
        <w:spacing w:after="0" w:line="27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2"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55" w:orient="portrait"/>
          <w:cols w:equalWidth="0" w:num="1">
            <w:col w:w="10219"/>
          </w:cols>
          <w:pgMar w:left="24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Proposed</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Proposed</w:t>
            </w:r>
          </w:p>
        </w:tc>
        <w:tc>
          <w:tcPr>
            <w:tcW w:w="14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maximum</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maximum</w:t>
            </w:r>
          </w:p>
        </w:tc>
        <w:tc>
          <w:tcPr>
            <w:tcW w:w="146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each</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w:t>
            </w:r>
          </w:p>
        </w:tc>
        <w:tc>
          <w:tcPr>
            <w:tcW w:w="1640" w:type="dxa"/>
            <w:vAlign w:val="bottom"/>
          </w:tcPr>
          <w:p>
            <w:pPr>
              <w:spacing w:after="0"/>
              <w:rPr>
                <w:sz w:val="17"/>
                <w:szCs w:val="17"/>
                <w:color w:val="auto"/>
              </w:rPr>
            </w:pP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aggregate</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securities</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be</w:t>
            </w: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Amount to be</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offering</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720" w:type="dxa"/>
            <w:vAlign w:val="bottom"/>
          </w:tcPr>
          <w:p>
            <w:pPr>
              <w:spacing w:after="0"/>
              <w:rPr>
                <w:sz w:val="17"/>
                <w:szCs w:val="17"/>
                <w:color w:val="auto"/>
              </w:rPr>
            </w:pPr>
          </w:p>
        </w:tc>
        <w:tc>
          <w:tcPr>
            <w:tcW w:w="1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w:t>
            </w:r>
          </w:p>
        </w:tc>
        <w:tc>
          <w:tcPr>
            <w:tcW w:w="13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 share*</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price*</w:t>
            </w:r>
          </w:p>
        </w:tc>
        <w:tc>
          <w:tcPr>
            <w:tcW w:w="14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Stock,</w:t>
            </w:r>
          </w:p>
        </w:tc>
        <w:tc>
          <w:tcPr>
            <w:tcW w:w="3160" w:type="dxa"/>
            <w:vAlign w:val="bottom"/>
          </w:tcPr>
          <w:p>
            <w:pPr>
              <w:ind w:left="460"/>
              <w:spacing w:after="0"/>
              <w:rPr>
                <w:sz w:val="20"/>
                <w:szCs w:val="20"/>
                <w:color w:val="auto"/>
              </w:rPr>
            </w:pPr>
            <w:r>
              <w:rPr>
                <w:rFonts w:ascii="Courier New" w:cs="Courier New" w:eastAsia="Courier New" w:hAnsi="Courier New"/>
                <w:sz w:val="18"/>
                <w:szCs w:val="18"/>
                <w:color w:val="auto"/>
              </w:rPr>
              <w:t>300,000 shares  $127.00</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$38,100,000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$13,138</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$1 par</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using the average of the high and low prices for Xerox Corporation Common Stock on the New York Stock Exchange on March 29, 1996 solely for purposes of determining the registration fee pursuant to Rule 457(h)(1) and Rule 457(c) under the Securities Act of 1933, as amended.</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PURSUANT TO RULE 429(b)</w:t>
      </w:r>
    </w:p>
    <w:p>
      <w:pPr>
        <w:spacing w:after="0" w:line="207" w:lineRule="exact"/>
        <w:rPr>
          <w:sz w:val="20"/>
          <w:szCs w:val="20"/>
          <w:color w:val="auto"/>
        </w:rPr>
      </w:pPr>
    </w:p>
    <w:p>
      <w:pPr>
        <w:ind w:right="2199" w:firstLine="527"/>
        <w:spacing w:after="0" w:line="271" w:lineRule="auto"/>
        <w:rPr>
          <w:sz w:val="20"/>
          <w:szCs w:val="20"/>
          <w:color w:val="auto"/>
        </w:rPr>
      </w:pPr>
      <w:r>
        <w:rPr>
          <w:rFonts w:ascii="Courier New" w:cs="Courier New" w:eastAsia="Courier New" w:hAnsi="Courier New"/>
          <w:sz w:val="16"/>
          <w:szCs w:val="16"/>
          <w:color w:val="auto"/>
        </w:rPr>
        <w:t>The prospectus contained in this Registration Statement is a combined prospectus which also covers securities of the registrant heretofore covered by Registration Statement No. 33-32215. This Registration Statement also constitutes Post-Effective Amendment No. 2 with respect to such Registration Statement No. 33-32215, and such Post-Effective Amendment shall hereafter become effective concurrently with the effectiveness of this Registration Statement in accordance with Section 8(c) of the Securities Act of 1933.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XEROX CORPORATION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300,000 Shares of Common Stock</w:t>
      </w:r>
    </w:p>
    <w:p>
      <w:pPr>
        <w:ind w:left="2740"/>
        <w:spacing w:after="0" w:line="238" w:lineRule="auto"/>
        <w:rPr>
          <w:sz w:val="20"/>
          <w:szCs w:val="20"/>
          <w:color w:val="auto"/>
        </w:rPr>
      </w:pPr>
      <w:r>
        <w:rPr>
          <w:rFonts w:ascii="Courier New" w:cs="Courier New" w:eastAsia="Courier New" w:hAnsi="Courier New"/>
          <w:sz w:val="18"/>
          <w:szCs w:val="18"/>
          <w:color w:val="auto"/>
        </w:rPr>
        <w:t>(par value $1.00 par share)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shares of Common Stock, par value $1.00 per share ("Common Stock"), of Xerox Corporation ("Xerox" or the "Company") offered hereby will be offered from time to time to Xerox Canada Inc. ("XCI") in transactions at a price equal to the market price of Common Stock on the New York Stock Exchange at the close of trading on the day of sale. The shares of Common Stock sold to XCI will be used by XCI to satisfy an exchange privilege under the terms of its Non-voting Exchangeable Class B Shares.</w:t>
      </w: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last reported sale price of the Common Stock on the New York Stock Exchange on April 1, 1996 was $129 3/8 per share.</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Unless otherwise provided, all references herein to "U.S. dollars", "dollars", "U.S.$" or "$" are to the currency of the United States of America.</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199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w:t>
      </w:r>
    </w:p>
    <w:p>
      <w:pPr>
        <w:jc w:val="center"/>
        <w:ind w:right="2199"/>
        <w:spacing w:after="0" w:line="236" w:lineRule="auto"/>
        <w:rPr>
          <w:sz w:val="20"/>
          <w:szCs w:val="20"/>
          <w:color w:val="auto"/>
        </w:rPr>
      </w:pPr>
      <w:r>
        <w:rPr>
          <w:rFonts w:ascii="Courier New" w:cs="Courier New" w:eastAsia="Courier New" w:hAnsi="Courier New"/>
          <w:sz w:val="18"/>
          <w:szCs w:val="18"/>
          <w:color w:val="auto"/>
        </w:rPr>
        <w:t>AND EXCHANGE COMMISSION OR ANY STATE SECURITIES COMMISSION PASSED UPON THE ACCURACY OR ADEQUACY OF THIS PROSPECTUS. ANY REPRESENTATION TO THE CONTRARY IS A CRIMINAL OFFENSE.</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The date of this Prospectus is April</w:t>
      </w:r>
      <w:r>
        <w:rPr>
          <w:sz w:val="20"/>
          <w:szCs w:val="20"/>
          <w:color w:val="auto"/>
        </w:rPr>
        <w:tab/>
      </w:r>
      <w:r>
        <w:rPr>
          <w:rFonts w:ascii="Courier New" w:cs="Courier New" w:eastAsia="Courier New" w:hAnsi="Courier New"/>
          <w:sz w:val="16"/>
          <w:szCs w:val="16"/>
          <w:color w:val="auto"/>
        </w:rPr>
        <w:t>, 1996.</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ties Exchange Act of 1934, as amended (the "Exchange Act"), and in accordance herewith files reports and other information with the Securities and Exchange Commission (the "Commission"). Such reports and other information filed by the Company can be inspected and copied at the public reference facilities of the Commission at 450 Fifth Street, N.W. (Room 1024), Judiciary Plaza, Washington, D.C. 20549; as well as at the Regional Offices of</w:t>
      </w:r>
    </w:p>
    <w:p>
      <w:pPr>
        <w:sectPr>
          <w:pgSz w:w="11900" w:h="16838" w:orient="portrait"/>
          <w:cols w:equalWidth="0" w:num="1">
            <w:col w:w="10219"/>
          </w:cols>
          <w:pgMar w:left="240" w:top="744" w:right="1440" w:bottom="0" w:gutter="0" w:footer="0" w:header="0"/>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the Commission located at Northwestern Atrium Center, 500 West Madison Street (Suite 1400), Chicago, Illinois 60661; and Seven World Trade Center (13th Floor), New York, New York 10048. Copies of such material can be obtained from the Public Reference Section of the Commission at 450 Fifth Street, N.W., Washington, D.C. 20549 at prescribed rates. Such reports and other information concerning the Company also may be inspected at the offices of the New York Stock Exchange, Inc., 20 Broad Street, New York, New York 10005. This Prospectus does not contain all the information set forth in the Registration Statement and Exhibits thereto which the Company has filed with the Commission under the Securities Act of 1933 and to which reference is hereby made.</w:t>
      </w:r>
    </w:p>
    <w:p>
      <w:pPr>
        <w:spacing w:after="0" w:line="21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There are incorporated herein by reference the following documents filed with the Commission (File No. 1-4471) by the Company pursuant to the Exchange Act: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Annual Report on Form 10-K for the fiscal year ended December 31,</w:t>
      </w:r>
    </w:p>
    <w:p>
      <w:pPr>
        <w:spacing w:after="0" w:line="238" w:lineRule="auto"/>
        <w:rPr>
          <w:sz w:val="20"/>
          <w:szCs w:val="20"/>
          <w:color w:val="auto"/>
        </w:rPr>
      </w:pPr>
      <w:r>
        <w:rPr>
          <w:rFonts w:ascii="Courier New" w:cs="Courier New" w:eastAsia="Courier New" w:hAnsi="Courier New"/>
          <w:sz w:val="18"/>
          <w:szCs w:val="18"/>
          <w:color w:val="auto"/>
        </w:rPr>
        <w:t>1995;</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Current Reports on Form 8-K dated January 18, 1996 and February 7,</w:t>
      </w:r>
    </w:p>
    <w:p>
      <w:pPr>
        <w:spacing w:after="0" w:line="238" w:lineRule="auto"/>
        <w:rPr>
          <w:sz w:val="20"/>
          <w:szCs w:val="20"/>
          <w:color w:val="auto"/>
        </w:rPr>
      </w:pPr>
      <w:r>
        <w:rPr>
          <w:rFonts w:ascii="Courier New" w:cs="Courier New" w:eastAsia="Courier New" w:hAnsi="Courier New"/>
          <w:sz w:val="18"/>
          <w:szCs w:val="18"/>
          <w:color w:val="auto"/>
        </w:rPr>
        <w:t>1996;</w:t>
      </w:r>
    </w:p>
    <w:p>
      <w:pPr>
        <w:spacing w:after="0" w:line="207" w:lineRule="exact"/>
        <w:rPr>
          <w:sz w:val="20"/>
          <w:szCs w:val="20"/>
          <w:color w:val="auto"/>
        </w:rPr>
      </w:pPr>
    </w:p>
    <w:p>
      <w:pPr>
        <w:ind w:right="1999" w:firstLine="535"/>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Xerox' Shareholders Rights Plan and the Rights Agreement dated as of April 6, 1987, as amended and restated as of February 6, 1989, between Xerox and The Chase Manhattan Bank, N.A., as successor to Chase Lincoln First Bank, N.A. (as amended and restated, the "Rights Agreement"), which are contained in or filed as an exhibit to Amendment No. 1 on Form 8 filed with the Commission on February 6, 1989, amending the Registration Statement on Form 8-A dated April 6, 1987, relating to the Rights to Purchase Series A Cumulative Preferred Stock (the "Preferred Stock Purchase Rights"); and</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Xerox Common Stock contained in Amendment No. 1 on Form 8 dated March 7, 1990, amending the Registration Statement on Form 8-A dated February 20, 1990, relating to Xerox Common Stock and Preferred Stock Purchase Rights.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subsequent to the date of this Prospectus and prior to the termination of the offering of the Common Stock offered hereby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which also is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or is deemed to be incorporated by reference herein modifies or supersedes such statement. Any such statement so modified or superseded shall not be deemed, except as so modified or superseded, to constitute a part of this Prospectus.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including any beneficial owner, upon written or oral request of such person, a copy of any or all of the foregoing documents incorporated herein by reference (other than exhibits to such documents, unless such exhibits are specifically incorporated by reference in such documents). Requests should be directed to the Customer Service Unit of State Street Bank and Trust Company, Two International Place, Boston, Massachusetts 02110, telephone: (617) 664-5750.</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net proceeds from the sale of the shares of Common Stock offered hereby will be added to the general funds of the Company and will be used for general corporate purposes. The amount of such net proceeds cannot be determined at this time, since it will depend upon the market price of the shares of Common Stock at the time the shares of Common Stock covered hereby are sold to XCI.</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Xerox is a New York corporation with its principal executive offices located at 800 Long Ridge Road, Stamford, Connecticut 06904, telephone (203) 968-3000.</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Xerox is The Document Company and a leader in the global document market, providing document services that enhance productivity. References herein to</w:t>
      </w:r>
    </w:p>
    <w:p>
      <w:pPr>
        <w:sectPr>
          <w:pgSz w:w="11900" w:h="16838" w:orient="portrait"/>
          <w:cols w:equalWidth="0" w:num="1">
            <w:col w:w="10219"/>
          </w:cols>
          <w:pgMar w:left="240" w:top="142" w:right="1440" w:bottom="0" w:gutter="0" w:footer="0" w:header="0"/>
        </w:sectPr>
      </w:pPr>
    </w:p>
    <w:bookmarkStart w:id="3" w:name="page4"/>
    <w:bookmarkEnd w:id="3"/>
    <w:p>
      <w:pPr>
        <w:ind w:right="1999"/>
        <w:spacing w:after="0" w:line="270" w:lineRule="auto"/>
        <w:rPr>
          <w:sz w:val="20"/>
          <w:szCs w:val="20"/>
          <w:color w:val="auto"/>
        </w:rPr>
      </w:pPr>
      <w:r>
        <w:rPr>
          <w:rFonts w:ascii="Courier New" w:cs="Courier New" w:eastAsia="Courier New" w:hAnsi="Courier New"/>
          <w:sz w:val="16"/>
          <w:szCs w:val="16"/>
          <w:color w:val="auto"/>
        </w:rPr>
        <w:t>"Xerox" refer to Xerox and consolidated subsidiaries unless the context specifically requires otherwise. Xerox distributes its products in the Western Hemisphere through divisions and wholly-owned subsidiaries. In Europe, Africa, the Middle East and parts of Asia, Xerox distributes through Rank Xerox Limited and related companies ("Rank Xerox") in which Xerox has an 80 percent financial interest and The Rank Organisation Plc ("RO") has a 20 percent financial interest. In Japan and other areas of the Pacific Rim, Australia and New Zealand, Document Processing products are distributed by Fuji Xerox Co. Ltd., an unconsolidated joint venture, which is equally owned by Fuji Photo Film Company, Ltd. of Japan and Rank Xerox. On February 28, 1995, Xerox paid RO 620 million pounds sterling, or $972 million, to increase Xerox' financial interest in Rank Xerox to 80 percent from 67 percent.</w:t>
      </w:r>
    </w:p>
    <w:p>
      <w:pPr>
        <w:spacing w:after="0" w:line="39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January 1996, Xerox announced agreements to sell its remaining property and casualty insurance units to investor groups led by Kohlberg Kravis Roberts &amp; Co. and existing management for consideration totaling $2.7 billion. Xerox expects the transactions will close in the middle of 1996. As a result, results from insurance operations are now accounted for as discontinued operations and all prior periods have been restated. Therefore, the Document Processing business is the only component of Continuing Operations.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Xerox' Document Processing activities encompass developing, manufacturing, marketing, servicing and financing a complete range of document processing products and services designed to make offices around the world more productive. Xerox believes that documents will play a central role in business, government, education and other organizations far into the future and that efficient processing of documents offers significant opportunities for productivity improvements. The financing of Xerox equipment is generally carried out by Xerox Credit Corporation in the United States and internationally by foreign financing subsidiaries and divisions in most countries that Xerox operates. Document Processing operations employed 85,200 people worldwide at year-end 1995.</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1993, Xerox announced a worldwide Document Processing restructuring program to significantly reduce the cost base and to improve productivity. Xerox' objectives were to reduce its worldwide work force by more than 10,000 employees and to close or consolidate a number of facilities. To date, the activities associated with the 1993 restructuring program have reduced employment by 12,000 and achieved pre-tax cost savings of approximately $650 million in 1995 and $350 million in 1994. However, Xerox has reinvested a portion of these savings to reengineer business processes, support the expansion in growth markets, and mitigate anticipated continuing pricing pressures.</w:t>
      </w: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table shows the ratio of earnings to fixed charges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Year ended December 31</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(in millions)</w:t>
            </w:r>
          </w:p>
        </w:tc>
        <w:tc>
          <w:tcPr>
            <w:tcW w:w="8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1993*</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1992</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18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Ratio of earnings to</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fixed charges (1)(2)</w:t>
            </w:r>
          </w:p>
        </w:tc>
        <w:tc>
          <w:tcPr>
            <w:tcW w:w="16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3.58</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3.23</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0.66</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2.34</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w:t>
            </w:r>
          </w:p>
        </w:tc>
      </w:tr>
      <w:tr>
        <w:trPr>
          <w:trHeight w:val="405"/>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left="420" w:right="1999" w:hanging="412"/>
        <w:spacing w:after="0" w:line="27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has been computed based on the Company's continuing operations by dividing total earnings available for fixed charges, excluding capitalized interest, by total fixed charges. Fixed charges consist of interest, including capitalized interest, and one-third of rent expense as representative of the interest portion of rentals. Debt has been assigned to discontinued operations based on historical levels assigned to the businesses when they were continuing operations adjusted for subsequent paydowns. The discontinued operations consist of the Company's Insurance and Other Financial Services businesses and its real-estate development and third-party financing businesses.</w:t>
      </w:r>
    </w:p>
    <w:p>
      <w:pPr>
        <w:spacing w:after="0" w:line="189" w:lineRule="exact"/>
        <w:rPr>
          <w:rFonts w:ascii="Courier New" w:cs="Courier New" w:eastAsia="Courier New" w:hAnsi="Courier New"/>
          <w:sz w:val="16"/>
          <w:szCs w:val="16"/>
          <w:color w:val="auto"/>
        </w:rPr>
      </w:pPr>
    </w:p>
    <w:p>
      <w:pPr>
        <w:ind w:left="420" w:right="19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ratio of earnings to fixed charges includes the effect of the Company's finance subsidiaries, which primarily finance Xerox equipment. Financing businesses are more highly leveraged and, therefore, tend to operate at lower earnings to fixed charges ratio levels than do non-financial businesses.</w:t>
      </w:r>
    </w:p>
    <w:p>
      <w:pPr>
        <w:sectPr>
          <w:pgSz w:w="11900" w:h="16838" w:orient="portrait"/>
          <w:cols w:equalWidth="0" w:num="1">
            <w:col w:w="10219"/>
          </w:cols>
          <w:pgMar w:left="240" w:top="142" w:right="1440" w:bottom="0" w:gutter="0" w:footer="0" w:header="0"/>
        </w:sectPr>
      </w:pPr>
    </w:p>
    <w:bookmarkStart w:id="4" w:name="page5"/>
    <w:bookmarkEnd w:id="4"/>
    <w:p>
      <w:pPr>
        <w:ind w:left="420" w:right="273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1993 earnings were inadequate to cover fixed charges. The coverage deficiency was $249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November 15, 1989, the shareholders of XCI approved an amendment to the Articles of XCI whereby the conditions of its Common Shares would be amended and to redesignate such shares as Non-Voting Exchangeable Class B Shares ("XCI Exchangeable Shares") and to entitle the holders thereof to elect to exchange such shares for shares of Xerox Common Stock at the exchange rate of three XCI Exchangeable Shares for one share of Xerox Common Stock, as adjusted for any subdivision, reduction, combination or consolidation thereof (the "Exchangeable Share Proposal").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Xerox Board of Directors has authorized the proper officers of Xerox to from time to time issue and deliver to XCI, in connection with the Exchangeable Share Proposal, shares of Common Stock not to exceed a total of three million shares, as adjusted for any subdivision, reduction, combination, consolidation thereof, for a cash consideration equal to the then current market price, but not less than the par value of such shares. XCI may purchase such shares of Common Stock from Xerox to satisfy requests for exchange of XCI Exchangeable Shares for shares of Common Stock. This Prospectus relates to such shares of Common Stock.</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OPINION</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validity of the shares of Common Stock to be offered hereby will be passed upon for the Company by Martin S. Wagner, Esq., Associate General Counsel, Corporate, Finance and Ventures of the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the Company and consolidated subsidiaries included in the Company's Annual Report on Form 10-K as of December 31, 1995 and 1994, and for each of the years in the three-year period ended December 31, 1995, incorporated by reference herein and elsewhere in the Registration Statement, have been incorporated by reference herein and in the Registration Statement in reliance upon the report set forth therein of KPMG Peat Marwick LLP, independent certified public accountants, incorporated by reference herein, and upon the authority of said firm as experts in accounting and auditing.</w:t>
      </w:r>
    </w:p>
    <w:p>
      <w:pPr>
        <w:spacing w:after="0" w:line="208"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representations, other than those contained in this Prospectus, in connection with the offer contained in this Prospectus, and, if given or made, such information or representations must not be relied upon as having been authorized by the Company or any of its agents. Neither the delivery of this Prospectus nor any sale made hereunder shall, under any circumstances, create any implication that there has been no change in the affairs of the Company since the date hereof or that the information contained herein is correct as of any time subsequent to its date. This Prospectus does not constitute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ind w:left="338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405"/>
        </w:trPr>
        <w:tc>
          <w:tcPr>
            <w:tcW w:w="744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580" w:type="dxa"/>
            <w:vAlign w:val="bottom"/>
          </w:tcPr>
          <w:p>
            <w:pPr>
              <w:spacing w:after="0"/>
              <w:rPr>
                <w:sz w:val="24"/>
                <w:szCs w:val="24"/>
                <w:color w:val="auto"/>
              </w:rPr>
            </w:pPr>
          </w:p>
        </w:tc>
      </w:tr>
      <w:tr>
        <w:trPr>
          <w:trHeight w:val="405"/>
        </w:trPr>
        <w:tc>
          <w:tcPr>
            <w:tcW w:w="7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4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w w:val="99"/>
              </w:rPr>
              <w:t>Available Information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Incorporation of Certain Documents by Reference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Use of Proceeds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Company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Ratio of Earnings to Fixed Charges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Plan of Distribution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Opinion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Experts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XEROX CORPORATION</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300,000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(par value $1.00 per share)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NOT REQUIRED IN THE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following statement sets forth the expenses to be borne by the Company in connection with the distribution of the shares of Common Stock offered hereby:</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100" w:type="dxa"/>
            <w:vAlign w:val="bottom"/>
          </w:tcPr>
          <w:p>
            <w:pPr>
              <w:spacing w:after="0"/>
              <w:rPr>
                <w:sz w:val="20"/>
                <w:szCs w:val="20"/>
                <w:color w:val="auto"/>
              </w:rPr>
            </w:pPr>
            <w:r>
              <w:rPr>
                <w:rFonts w:ascii="Courier New" w:cs="Courier New" w:eastAsia="Courier New" w:hAnsi="Courier New"/>
                <w:sz w:val="18"/>
                <w:szCs w:val="18"/>
                <w:color w:val="auto"/>
              </w:rPr>
              <w:t>Securities and Exchange Commission Registration Fee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$13,138</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of Company's Independent Auditors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 Fees and Expenses (including legal fees and</w:t>
            </w:r>
          </w:p>
        </w:tc>
        <w:tc>
          <w:tcPr>
            <w:tcW w:w="1060" w:type="dxa"/>
            <w:vAlign w:val="bottom"/>
          </w:tcPr>
          <w:p>
            <w:pPr>
              <w:spacing w:after="0"/>
              <w:rPr>
                <w:sz w:val="17"/>
                <w:szCs w:val="17"/>
                <w:color w:val="auto"/>
              </w:rPr>
            </w:pPr>
          </w:p>
        </w:tc>
      </w:tr>
      <w:tr>
        <w:trPr>
          <w:trHeight w:val="203"/>
        </w:trPr>
        <w:tc>
          <w:tcPr>
            <w:tcW w:w="6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disbursements)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Listing Fees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$22,138</w:t>
            </w:r>
          </w:p>
        </w:tc>
      </w:tr>
      <w:tr>
        <w:trPr>
          <w:trHeight w:val="203"/>
        </w:trPr>
        <w:tc>
          <w:tcPr>
            <w:tcW w:w="6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bl>
    <w:p>
      <w:pPr>
        <w:spacing w:after="0" w:line="4" w:lineRule="exact"/>
        <w:rPr>
          <w:sz w:val="20"/>
          <w:szCs w:val="20"/>
          <w:color w:val="auto"/>
        </w:rPr>
      </w:pPr>
    </w:p>
    <w:p>
      <w:pPr>
        <w:ind w:left="740" w:right="293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expenses, other than the Securities and Exchange Commission Registration Fee, are estimated.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Article VIII, Section 2 of the Company's By-Laws states:</w:t>
      </w:r>
    </w:p>
    <w:p>
      <w:pPr>
        <w:spacing w:after="0" w:line="207" w:lineRule="exact"/>
        <w:rPr>
          <w:sz w:val="20"/>
          <w:szCs w:val="20"/>
          <w:color w:val="auto"/>
        </w:rPr>
      </w:pPr>
    </w:p>
    <w:p>
      <w:pPr>
        <w:ind w:left="540" w:right="2199" w:firstLine="527"/>
        <w:spacing w:after="0" w:line="238" w:lineRule="auto"/>
        <w:rPr>
          <w:sz w:val="20"/>
          <w:szCs w:val="20"/>
          <w:color w:val="auto"/>
        </w:rPr>
      </w:pPr>
      <w:r>
        <w:rPr>
          <w:rFonts w:ascii="Courier New" w:cs="Courier New" w:eastAsia="Courier New" w:hAnsi="Courier New"/>
          <w:sz w:val="18"/>
          <w:szCs w:val="18"/>
          <w:color w:val="auto"/>
        </w:rPr>
        <w:t>"Indemnification of Directors and Officers: Except to the extent expressly prohibited by law, the Company shall indemnify any person, made or threatened to be made, a party in any civil or criminal action or proceeding, including an action or proceeding by or in the right of the Company to procure a judgment in its favor or by or in the right of any other corporation of any type or kind, domestic or foreign, or any partnership, joint venture, trust, employee benefit plan or other enterprise, which any Director or officer of the Company served in any capacity at the request of the Company, by reason of the fact that he, his testator or intestate is or was a Director or officer of the Company or serves or served such other corporation, partnership, joint venture, trust, employee benefit plan or other enterprise, in any capacity, against judgments, fines, penalties, amounts paid in settlement and reasonable expenses, including attorneys' fees, incurred in connection with such action or proceeding, or any appeal therein, provided that no such indemnification shall be required with respect to any settlement unless the Company shall have given its prior approval thereto. Such indemnification shall include the right to be paid advances of any expenses incurred by such person in connection with such action, suit or proceeding, consistent with the provisions of applicable law. In addition to the foregoing, the Company is authorized to extend rights to indemnification and advancement of expenses to such persons by i) resolution of the shareholders, ii) resolution of the Directors or iii) an agreement, to the extent not expressly prohibited by law."</w:t>
      </w:r>
    </w:p>
    <w:p>
      <w:pPr>
        <w:spacing w:after="0" w:line="212"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Reference is made to Sections 721 through 726 of the Business Corporation Law of the State of New York.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(4)(a) Restated Certificate of Incorporation of the Company filed by the Department of State of New York on June 10, 1988 (incorporated by reference to Exhibit 3(a) to the Company's Quarterly Report on Form 10-Q for the Quarter Ended June 30, 1988).</w:t>
      </w:r>
    </w:p>
    <w:p>
      <w:pPr>
        <w:spacing w:after="0" w:line="207" w:lineRule="exact"/>
        <w:rPr>
          <w:sz w:val="20"/>
          <w:szCs w:val="20"/>
          <w:color w:val="auto"/>
        </w:rPr>
      </w:pPr>
    </w:p>
    <w:p>
      <w:pPr>
        <w:ind w:right="1999" w:firstLine="745"/>
        <w:spacing w:after="0" w:line="279"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Amendment dated July 7, 1989 to the Restated Certificate of Incorporation (incorporated by reference to Exhibit 3(a) to the Company's Quarterly Report on Form 10-Q for the Quarter Ended June 30, 1989).</w:t>
      </w:r>
    </w:p>
    <w:p>
      <w:pPr>
        <w:spacing w:after="0" w:line="178" w:lineRule="exact"/>
        <w:rPr>
          <w:rFonts w:ascii="Courier New" w:cs="Courier New" w:eastAsia="Courier New" w:hAnsi="Courier New"/>
          <w:sz w:val="16"/>
          <w:szCs w:val="16"/>
          <w:color w:val="auto"/>
        </w:rPr>
      </w:pPr>
    </w:p>
    <w:p>
      <w:pPr>
        <w:ind w:right="2099" w:firstLine="745"/>
        <w:spacing w:after="0" w:line="237" w:lineRule="auto"/>
        <w:tabs>
          <w:tab w:leader="none" w:pos="126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Amendment dated October 10, 1994 to the Restated Certificate of Incorporation (incorporated by reference to Exhibit 3(a)(3) to the Company's Annual Report on Form 10-K for the Year Ended December 31, 1994).</w:t>
      </w:r>
    </w:p>
    <w:p>
      <w:pPr>
        <w:spacing w:after="0" w:line="201"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Amendment dated October 19, 1995 to the Restated</w:t>
      </w:r>
    </w:p>
    <w:p>
      <w:pPr>
        <w:sectPr>
          <w:pgSz w:w="11900" w:h="16838" w:orient="portrait"/>
          <w:cols w:equalWidth="0" w:num="1">
            <w:col w:w="10219"/>
          </w:cols>
          <w:pgMar w:left="240" w:top="339" w:right="1440" w:bottom="0" w:gutter="0" w:footer="0" w:header="0"/>
        </w:sectPr>
      </w:pPr>
    </w:p>
    <w:bookmarkStart w:id="6" w:name="page7"/>
    <w:bookmarkEnd w:id="6"/>
    <w:p>
      <w:pPr>
        <w:ind w:right="2099"/>
        <w:spacing w:after="0" w:line="236" w:lineRule="auto"/>
        <w:rPr>
          <w:sz w:val="20"/>
          <w:szCs w:val="20"/>
          <w:color w:val="auto"/>
        </w:rPr>
      </w:pPr>
      <w:r>
        <w:rPr>
          <w:rFonts w:ascii="Courier New" w:cs="Courier New" w:eastAsia="Courier New" w:hAnsi="Courier New"/>
          <w:sz w:val="18"/>
          <w:szCs w:val="18"/>
          <w:color w:val="auto"/>
        </w:rPr>
        <w:t>Certificate of Incorporation (incorporated by reference to Exhibit 3(a)(4) to the Company's Annual Report on Form 10-K for the Year Ended December 31, 1995).</w:t>
      </w:r>
    </w:p>
    <w:p>
      <w:pPr>
        <w:spacing w:after="0" w:line="209" w:lineRule="exact"/>
        <w:rPr>
          <w:sz w:val="20"/>
          <w:szCs w:val="20"/>
          <w:color w:val="auto"/>
        </w:rPr>
      </w:pPr>
    </w:p>
    <w:p>
      <w:pPr>
        <w:ind w:right="1999" w:firstLine="745"/>
        <w:spacing w:after="0" w:line="236" w:lineRule="auto"/>
        <w:tabs>
          <w:tab w:leader="none" w:pos="1264"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the Company, as amended through May 29, 1991 incorporated by reference to Exhibit 3(b)(2) to the Company's Quarterly Report on Form 10-Q for the Quarter Ended June 30, 1991).</w:t>
      </w:r>
    </w:p>
    <w:p>
      <w:pPr>
        <w:spacing w:after="0" w:line="203" w:lineRule="exact"/>
        <w:rPr>
          <w:rFonts w:ascii="Courier New" w:cs="Courier New" w:eastAsia="Courier New" w:hAnsi="Courier New"/>
          <w:sz w:val="18"/>
          <w:szCs w:val="18"/>
          <w:color w:val="auto"/>
        </w:rPr>
      </w:pPr>
    </w:p>
    <w:p>
      <w:pPr>
        <w:ind w:left="1280" w:hanging="851"/>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Martin S. Wagner, Esq., as to legality of the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left="320" w:right="3679" w:firstLine="4"/>
        <w:spacing w:after="0" w:line="536" w:lineRule="auto"/>
        <w:tabs>
          <w:tab w:leader="none" w:pos="126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(23)(a) Consent of Independent Auditors (see page II-5).</w:t>
      </w:r>
    </w:p>
    <w:p>
      <w:pPr>
        <w:ind w:left="320" w:right="3679" w:firstLine="425"/>
        <w:spacing w:after="0" w:line="470" w:lineRule="auto"/>
        <w:tabs>
          <w:tab w:leader="none" w:pos="126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Martin S. Wagner, Esq. (see Exhibit 5). (24)(a) Certified Resolution.</w:t>
      </w:r>
    </w:p>
    <w:p>
      <w:pPr>
        <w:spacing w:after="0" w:line="6" w:lineRule="exact"/>
        <w:rPr>
          <w:sz w:val="20"/>
          <w:szCs w:val="20"/>
          <w:color w:val="auto"/>
        </w:rPr>
      </w:pPr>
    </w:p>
    <w:p>
      <w:pPr>
        <w:ind w:left="1280" w:hanging="535"/>
        <w:spacing w:after="0"/>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spacing w:after="0" w:line="206" w:lineRule="exact"/>
        <w:rPr>
          <w:rFonts w:ascii="Courier New" w:cs="Courier New" w:eastAsia="Courier New" w:hAnsi="Courier New"/>
          <w:sz w:val="18"/>
          <w:szCs w:val="18"/>
          <w:color w:val="auto"/>
        </w:rPr>
      </w:pPr>
    </w:p>
    <w:p>
      <w:pPr>
        <w:ind w:right="1999" w:firstLine="324"/>
        <w:spacing w:after="0" w:line="236" w:lineRule="auto"/>
        <w:tabs>
          <w:tab w:leader="none" w:pos="12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P of Annual Statements to State Regulatory Authorities (incorporated by reference to Exhibit 29 on Form SE of the Company dated March 26, 1996).</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1999" w:firstLine="535"/>
        <w:spacing w:after="0" w:line="268" w:lineRule="auto"/>
        <w:tabs>
          <w:tab w:leader="none" w:pos="948"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of the securities registered hereby are being made, a post-effective amendment to this registration statement (i) to include any prospectus required by section 10(a)(3) of the Securities Act of 1933 (the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(iii) to include any material information with respect to the plan of distribution not previously disclosed in the registration statement or any material change to such information in the registration statement; provided, however, that paragraphs</w:t>
      </w:r>
    </w:p>
    <w:p>
      <w:pPr>
        <w:ind w:left="420" w:hanging="412"/>
        <w:spacing w:after="0" w:line="238"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 do not apply if the information required to be included in a</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099" w:firstLine="535"/>
        <w:spacing w:after="0" w:line="236"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Act,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1"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142" w:right="1440" w:bottom="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II-3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Stamford, State of Connecticut, on the 3rd day of April, 1996.</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XEROX CORPORATION (Registrant)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PAUL A. ALLAIRE*</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Paul A. Allaire</w:t>
      </w:r>
    </w:p>
    <w:p>
      <w:pPr>
        <w:ind w:left="4540"/>
        <w:spacing w:after="0" w:line="237" w:lineRule="auto"/>
        <w:rPr>
          <w:sz w:val="20"/>
          <w:szCs w:val="20"/>
          <w:color w:val="auto"/>
        </w:rPr>
      </w:pPr>
      <w:r>
        <w:rPr>
          <w:rFonts w:ascii="Courier New" w:cs="Courier New" w:eastAsia="Courier New" w:hAnsi="Courier New"/>
          <w:sz w:val="18"/>
          <w:szCs w:val="18"/>
          <w:color w:val="auto"/>
        </w:rPr>
        <w:t>Chairman of the Board and</w:t>
      </w:r>
    </w:p>
    <w:p>
      <w:pPr>
        <w:ind w:left="45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as of April 3, 1996.</w:t>
      </w:r>
    </w:p>
    <w:p>
      <w:pPr>
        <w:spacing w:after="0" w:line="203" w:lineRule="exact"/>
        <w:rPr>
          <w:sz w:val="20"/>
          <w:szCs w:val="20"/>
          <w:color w:val="auto"/>
        </w:rPr>
      </w:pPr>
    </w:p>
    <w:p>
      <w:pPr>
        <w:ind w:left="860"/>
        <w:spacing w:after="0"/>
        <w:tabs>
          <w:tab w:leader="none" w:pos="33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Executive Officer:</w:t>
      </w:r>
    </w:p>
    <w:p>
      <w:pPr>
        <w:spacing w:after="0" w:line="4" w:lineRule="exact"/>
        <w:rPr>
          <w:sz w:val="20"/>
          <w:szCs w:val="20"/>
          <w:color w:val="auto"/>
        </w:rPr>
      </w:pPr>
    </w:p>
    <w:p>
      <w:pPr>
        <w:ind w:left="3380" w:right="3159" w:hanging="3370"/>
        <w:spacing w:after="0" w:line="290" w:lineRule="auto"/>
        <w:tabs>
          <w:tab w:leader="none" w:pos="3360" w:val="left"/>
        </w:tabs>
        <w:rPr>
          <w:sz w:val="20"/>
          <w:szCs w:val="20"/>
          <w:color w:val="auto"/>
        </w:rPr>
      </w:pPr>
      <w:r>
        <w:rPr>
          <w:rFonts w:ascii="Courier New" w:cs="Courier New" w:eastAsia="Courier New" w:hAnsi="Courier New"/>
          <w:sz w:val="18"/>
          <w:szCs w:val="18"/>
          <w:color w:val="auto"/>
        </w:rPr>
        <w:t>PAUL A. ALLAIRE*</w:t>
      </w:r>
      <w:r>
        <w:rPr>
          <w:sz w:val="20"/>
          <w:szCs w:val="20"/>
          <w:color w:val="auto"/>
        </w:rPr>
        <w:tab/>
      </w:r>
      <w:r>
        <w:rPr>
          <w:rFonts w:ascii="Courier New" w:cs="Courier New" w:eastAsia="Courier New" w:hAnsi="Courier New"/>
          <w:sz w:val="16"/>
          <w:szCs w:val="16"/>
          <w:color w:val="auto"/>
        </w:rPr>
        <w:t>Chairman of the Board, Board, Chief Executive Officer and Director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Financial Officer:</w:t>
      </w:r>
    </w:p>
    <w:p>
      <w:pPr>
        <w:spacing w:after="0"/>
        <w:tabs>
          <w:tab w:leader="none" w:pos="3360" w:val="left"/>
        </w:tabs>
        <w:rPr>
          <w:sz w:val="20"/>
          <w:szCs w:val="20"/>
          <w:color w:val="auto"/>
        </w:rPr>
      </w:pPr>
      <w:r>
        <w:rPr>
          <w:rFonts w:ascii="Courier New" w:cs="Courier New" w:eastAsia="Courier New" w:hAnsi="Courier New"/>
          <w:sz w:val="18"/>
          <w:szCs w:val="18"/>
          <w:color w:val="auto"/>
        </w:rPr>
        <w:t>BARRY D. ROMERIL*</w:t>
      </w:r>
      <w:r>
        <w:rPr>
          <w:sz w:val="20"/>
          <w:szCs w:val="20"/>
          <w:color w:val="auto"/>
        </w:rPr>
        <w:tab/>
      </w:r>
      <w:r>
        <w:rPr>
          <w:rFonts w:ascii="Courier New" w:cs="Courier New" w:eastAsia="Courier New" w:hAnsi="Courier New"/>
          <w:sz w:val="16"/>
          <w:szCs w:val="16"/>
          <w:color w:val="auto"/>
        </w:rPr>
        <w:t>Executive Vice President and</w:t>
      </w:r>
    </w:p>
    <w:p>
      <w:pPr>
        <w:ind w:left="338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ectPr>
          <w:pgSz w:w="11900" w:h="16838" w:orient="portrait"/>
          <w:cols w:equalWidth="0" w:num="1">
            <w:col w:w="10219"/>
          </w:cols>
          <w:pgMar w:left="240" w:top="339"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PHILLIP D. FISHBACH*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Controller</w:t>
      </w:r>
    </w:p>
    <w:p>
      <w:pPr>
        <w:spacing w:after="0" w:line="200" w:lineRule="exact"/>
        <w:rPr>
          <w:sz w:val="20"/>
          <w:szCs w:val="20"/>
          <w:color w:val="auto"/>
        </w:rPr>
      </w:pPr>
    </w:p>
    <w:p>
      <w:pPr>
        <w:sectPr>
          <w:pgSz w:w="11900" w:h="16838" w:orient="portrait"/>
          <w:cols w:equalWidth="0" w:num="2">
            <w:col w:w="2660" w:space="720"/>
            <w:col w:w="6839"/>
          </w:cols>
          <w:pgMar w:left="240" w:top="339" w:right="1440" w:bottom="0" w:gutter="0" w:footer="0" w:header="0"/>
          <w:type w:val="continuous"/>
        </w:sectPr>
      </w:pPr>
    </w:p>
    <w:p>
      <w:pPr>
        <w:spacing w:after="0" w:line="24"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Directors: ROBERT A. BECK B. R. INMAN YOTARO KOBAYASHI RALPH S. LARSEN JOHN D. MACOMBER GEORGE J. MITCHELL N. J. NICHOLAS, JR. JOHN E. PEPPER MARTHA R. SEGER THOMAS C. THEOBALD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2000" w:space="640"/>
            <w:col w:w="7579"/>
          </w:cols>
          <w:pgMar w:left="240" w:top="339"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MARTIN S. WAGNER</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Martin S. Wagner</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Xerox Corporation:</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We consent to the use of our reports incorporated herein by reference and to the reference to our firm under the heading "Experts" in the prospectus.</w:t>
      </w:r>
    </w:p>
    <w:p>
      <w:pPr>
        <w:spacing w:after="0" w:line="164"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KPMG PEAT MARWICK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Stamford, Connecticut</w:t>
      </w:r>
    </w:p>
    <w:p>
      <w:pPr>
        <w:spacing w:after="0" w:line="238" w:lineRule="auto"/>
        <w:rPr>
          <w:sz w:val="20"/>
          <w:szCs w:val="20"/>
          <w:color w:val="auto"/>
        </w:rPr>
      </w:pPr>
      <w:r>
        <w:rPr>
          <w:rFonts w:ascii="Courier New" w:cs="Courier New" w:eastAsia="Courier New" w:hAnsi="Courier New"/>
          <w:sz w:val="18"/>
          <w:szCs w:val="18"/>
          <w:color w:val="auto"/>
        </w:rPr>
        <w:t>March 28, 1996</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(4)(a) Restated Certificate of Incorporation of the Company filed by the Department of State of New York on June 10, 1988 (incorporated by reference to Exhibit 3(a) to the Company's Quarterly Report on Form 10-Q for the Quarter Ended June 30, 1988).</w:t>
      </w:r>
    </w:p>
    <w:p>
      <w:pPr>
        <w:spacing w:after="0" w:line="207" w:lineRule="exact"/>
        <w:rPr>
          <w:sz w:val="20"/>
          <w:szCs w:val="20"/>
          <w:color w:val="auto"/>
        </w:rPr>
      </w:pPr>
    </w:p>
    <w:p>
      <w:pPr>
        <w:ind w:right="1999" w:firstLine="745"/>
        <w:spacing w:after="0" w:line="290" w:lineRule="auto"/>
        <w:tabs>
          <w:tab w:leader="none" w:pos="12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Amendment dated July 7, 1989 to the Restated Certificate of Incorporation (incorporated by reference to Exhibit 3(a) to the</w:t>
      </w:r>
    </w:p>
    <w:p>
      <w:pPr>
        <w:sectPr>
          <w:pgSz w:w="11900" w:h="16838" w:orient="portrait"/>
          <w:cols w:equalWidth="0" w:num="1">
            <w:col w:w="10219"/>
          </w:cols>
          <w:pgMar w:left="240" w:top="339" w:right="1440" w:bottom="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Company's Quarterly Report on Form 10-Q for the Quarter Ended June 30, 1989).</w:t>
      </w:r>
    </w:p>
    <w:p>
      <w:pPr>
        <w:spacing w:after="0" w:line="224" w:lineRule="exact"/>
        <w:rPr>
          <w:sz w:val="20"/>
          <w:szCs w:val="20"/>
          <w:color w:val="auto"/>
        </w:rPr>
      </w:pPr>
    </w:p>
    <w:p>
      <w:pPr>
        <w:ind w:right="2099" w:firstLine="745"/>
        <w:spacing w:after="0" w:line="237"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Amendment dated October 10, 1994 to the Restated Certificate of Incorporation (incorporated by reference to Exhibit 3(a)(3) to the Company's Annual Report on Form 10-K for the Year Ended December 31, 1994).</w:t>
      </w:r>
    </w:p>
    <w:p>
      <w:pPr>
        <w:spacing w:after="0" w:line="207" w:lineRule="exact"/>
        <w:rPr>
          <w:rFonts w:ascii="Courier New" w:cs="Courier New" w:eastAsia="Courier New" w:hAnsi="Courier New"/>
          <w:sz w:val="18"/>
          <w:szCs w:val="18"/>
          <w:color w:val="auto"/>
        </w:rPr>
      </w:pPr>
    </w:p>
    <w:p>
      <w:pPr>
        <w:ind w:right="2099" w:firstLine="745"/>
        <w:spacing w:after="0" w:line="237"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Amendment dated October 19, 1995 to the Restated Certificate of Incorporation (incorporated by reference to Exhibit 3(a)(4) to the Company's Annual Report on Form 10-K for the Year Ended December 31, 1995).</w:t>
      </w:r>
    </w:p>
    <w:p>
      <w:pPr>
        <w:spacing w:after="0" w:line="207" w:lineRule="exact"/>
        <w:rPr>
          <w:rFonts w:ascii="Courier New" w:cs="Courier New" w:eastAsia="Courier New" w:hAnsi="Courier New"/>
          <w:sz w:val="18"/>
          <w:szCs w:val="18"/>
          <w:color w:val="auto"/>
        </w:rPr>
      </w:pPr>
    </w:p>
    <w:p>
      <w:pPr>
        <w:ind w:right="1999" w:firstLine="745"/>
        <w:spacing w:after="0" w:line="236" w:lineRule="auto"/>
        <w:tabs>
          <w:tab w:leader="none" w:pos="1264"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the Company, as amended through May 29, 1991 incorporated by reference to Exhibit 3(b)(2) to the Company's Quarterly Report on Form 10-Q for the Quarter Ended June 30, 1991).</w:t>
      </w:r>
    </w:p>
    <w:p>
      <w:pPr>
        <w:spacing w:after="0" w:line="203" w:lineRule="exact"/>
        <w:rPr>
          <w:rFonts w:ascii="Courier New" w:cs="Courier New" w:eastAsia="Courier New" w:hAnsi="Courier New"/>
          <w:sz w:val="18"/>
          <w:szCs w:val="18"/>
          <w:color w:val="auto"/>
        </w:rPr>
      </w:pPr>
    </w:p>
    <w:p>
      <w:pPr>
        <w:ind w:left="1280" w:hanging="851"/>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Martin S. Wagner, Esq., as to legality of the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left="320" w:right="3679" w:firstLine="4"/>
        <w:spacing w:after="0" w:line="536" w:lineRule="auto"/>
        <w:tabs>
          <w:tab w:leader="none" w:pos="126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Computation of ratio of earnings to fixed charges. (23)(a) Consent of Independent Auditors (see page II-5).</w:t>
      </w:r>
    </w:p>
    <w:p>
      <w:pPr>
        <w:ind w:left="320" w:right="3679" w:firstLine="425"/>
        <w:spacing w:after="0" w:line="470" w:lineRule="auto"/>
        <w:tabs>
          <w:tab w:leader="none" w:pos="126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Martin S. Wagner, Esq. (see Exhibit 5). (24)(a) Certified Resolution.</w:t>
      </w:r>
    </w:p>
    <w:p>
      <w:pPr>
        <w:spacing w:after="0" w:line="6" w:lineRule="exact"/>
        <w:rPr>
          <w:sz w:val="20"/>
          <w:szCs w:val="20"/>
          <w:color w:val="auto"/>
        </w:rPr>
      </w:pPr>
    </w:p>
    <w:p>
      <w:pPr>
        <w:ind w:left="1280" w:hanging="535"/>
        <w:spacing w:after="0"/>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w:t>
      </w:r>
    </w:p>
    <w:p>
      <w:pPr>
        <w:spacing w:after="0" w:line="206" w:lineRule="exact"/>
        <w:rPr>
          <w:rFonts w:ascii="Courier New" w:cs="Courier New" w:eastAsia="Courier New" w:hAnsi="Courier New"/>
          <w:sz w:val="18"/>
          <w:szCs w:val="18"/>
          <w:color w:val="auto"/>
        </w:rPr>
      </w:pPr>
    </w:p>
    <w:p>
      <w:pPr>
        <w:ind w:right="1999" w:firstLine="324"/>
        <w:spacing w:after="0" w:line="236"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P of Annual Statements to State Regulatory Authorities (incorporated by reference to Exhibit 29 on Form SE of the Company dated March 26, 1996).</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42" w:right="1440" w:bottom="1440" w:gutter="0" w:footer="0" w:header="0"/>
        </w:sectPr>
      </w:pPr>
    </w:p>
    <w:bookmarkStart w:id="9" w:name="page10"/>
    <w:bookmarkEnd w:id="9"/>
    <w:p>
      <w:pPr>
        <w:ind w:left="706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Xerox Corporation</w:t>
      </w:r>
    </w:p>
    <w:p>
      <w:pPr>
        <w:spacing w:after="0" w:line="238" w:lineRule="auto"/>
        <w:rPr>
          <w:sz w:val="20"/>
          <w:szCs w:val="20"/>
          <w:color w:val="auto"/>
        </w:rPr>
      </w:pPr>
      <w:r>
        <w:rPr>
          <w:rFonts w:ascii="Courier New" w:cs="Courier New" w:eastAsia="Courier New" w:hAnsi="Courier New"/>
          <w:sz w:val="18"/>
          <w:szCs w:val="18"/>
          <w:color w:val="auto"/>
        </w:rPr>
        <w:t>P.O. Box 1600</w:t>
      </w:r>
    </w:p>
    <w:p>
      <w:pPr>
        <w:spacing w:after="0"/>
        <w:rPr>
          <w:sz w:val="20"/>
          <w:szCs w:val="20"/>
          <w:color w:val="auto"/>
        </w:rPr>
      </w:pPr>
      <w:r>
        <w:rPr>
          <w:rFonts w:ascii="Courier New" w:cs="Courier New" w:eastAsia="Courier New" w:hAnsi="Courier New"/>
          <w:sz w:val="18"/>
          <w:szCs w:val="18"/>
          <w:color w:val="auto"/>
        </w:rPr>
        <w:t>Stamford, Connecticut 06904</w:t>
      </w:r>
    </w:p>
    <w:p>
      <w:pPr>
        <w:spacing w:after="0" w:line="237" w:lineRule="auto"/>
        <w:rPr>
          <w:sz w:val="20"/>
          <w:szCs w:val="20"/>
          <w:color w:val="auto"/>
        </w:rPr>
      </w:pPr>
      <w:r>
        <w:rPr>
          <w:rFonts w:ascii="Courier New" w:cs="Courier New" w:eastAsia="Courier New" w:hAnsi="Courier New"/>
          <w:sz w:val="18"/>
          <w:szCs w:val="18"/>
          <w:color w:val="auto"/>
        </w:rPr>
        <w:t>203-968-3000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General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S. Wagner</w:t>
      </w:r>
    </w:p>
    <w:p>
      <w:pPr>
        <w:spacing w:after="0" w:line="238" w:lineRule="auto"/>
        <w:rPr>
          <w:sz w:val="20"/>
          <w:szCs w:val="20"/>
          <w:color w:val="auto"/>
        </w:rPr>
      </w:pPr>
      <w:r>
        <w:rPr>
          <w:rFonts w:ascii="Courier New" w:cs="Courier New" w:eastAsia="Courier New" w:hAnsi="Courier New"/>
          <w:sz w:val="18"/>
          <w:szCs w:val="18"/>
          <w:color w:val="auto"/>
        </w:rPr>
        <w:t>Associate General Counsel,</w:t>
      </w:r>
    </w:p>
    <w:p>
      <w:pPr>
        <w:spacing w:after="0"/>
        <w:rPr>
          <w:sz w:val="20"/>
          <w:szCs w:val="20"/>
          <w:color w:val="auto"/>
        </w:rPr>
      </w:pPr>
      <w:r>
        <w:rPr>
          <w:rFonts w:ascii="Courier New" w:cs="Courier New" w:eastAsia="Courier New" w:hAnsi="Courier New"/>
          <w:sz w:val="18"/>
          <w:szCs w:val="18"/>
          <w:color w:val="auto"/>
        </w:rPr>
        <w:t>Corporate, Finance and Ventures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Dial (203) 968-3457</w:t>
      </w:r>
    </w:p>
    <w:p>
      <w:pPr>
        <w:spacing w:after="0" w:line="238" w:lineRule="auto"/>
        <w:rPr>
          <w:sz w:val="20"/>
          <w:szCs w:val="20"/>
          <w:color w:val="auto"/>
        </w:rPr>
      </w:pPr>
      <w:r>
        <w:rPr>
          <w:rFonts w:ascii="Courier New" w:cs="Courier New" w:eastAsia="Courier New" w:hAnsi="Courier New"/>
          <w:sz w:val="18"/>
          <w:szCs w:val="18"/>
          <w:color w:val="auto"/>
        </w:rPr>
        <w:t>Fax (203) 968-3446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1996</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Xerox Corporation</w:t>
      </w:r>
    </w:p>
    <w:p>
      <w:pPr>
        <w:ind w:left="540"/>
        <w:spacing w:after="0" w:line="238" w:lineRule="auto"/>
        <w:rPr>
          <w:sz w:val="20"/>
          <w:szCs w:val="20"/>
          <w:color w:val="auto"/>
        </w:rPr>
      </w:pPr>
      <w:r>
        <w:rPr>
          <w:rFonts w:ascii="Courier New" w:cs="Courier New" w:eastAsia="Courier New" w:hAnsi="Courier New"/>
          <w:sz w:val="18"/>
          <w:szCs w:val="18"/>
          <w:color w:val="auto"/>
        </w:rPr>
        <w:t>Form S-3 Registration Statement</w:t>
      </w:r>
    </w:p>
    <w:p>
      <w:pPr>
        <w:ind w:left="540"/>
        <w:spacing w:after="0"/>
        <w:rPr>
          <w:sz w:val="20"/>
          <w:szCs w:val="20"/>
          <w:color w:val="auto"/>
        </w:rPr>
      </w:pPr>
      <w:r>
        <w:rPr>
          <w:rFonts w:ascii="Courier New" w:cs="Courier New" w:eastAsia="Courier New" w:hAnsi="Courier New"/>
          <w:sz w:val="18"/>
          <w:szCs w:val="18"/>
          <w:color w:val="auto"/>
        </w:rPr>
        <w:t>Registration of up to 300,000 shares of 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Associate General Counsel, Corporate, Finance and Ventures of Xerox Corporation, a New York corporation (the "Company"), I am familiar with the filing of this Form S-3 Registration Statement ("Registration Statement") by the Company relating to the registration under the Securities Act of 1933, as amended (the "Act"), of up to 300,000 shares (the "Shares") of Common Stock, par value $1 per share ("Common Stock"), of the Company.</w:t>
      </w:r>
    </w:p>
    <w:p>
      <w:pPr>
        <w:spacing w:after="0" w:line="21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Shares may be offered and sold by the Company from time to time at then current market prices to the Company's majority-owned subsidiary, Xerox Canada Inc., a Canadian corporation ("XCI"), to fulfill XCI's obligations to deliver such Shares upon the exchange of Non-Voting Exchangeable Class B Shares of XCI ("XCI Exchangeable Shares") by the holders thereof for shares of Common Stock.</w:t>
      </w:r>
    </w:p>
    <w:p>
      <w:pPr>
        <w:spacing w:after="0" w:line="18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 rendering the opinions set forth herein, either I or other lawyers in the Office of General Counsel of the Company who report either directly or indirectly to me have examined (i) the Registration Statement, (ii) the Agreement dated as of February 14, 1990, as amended by the Amending Agreement dated as of January 1, 1996, between the Company and XCI, pursuant to which the Shares may be issued and sold by the Company to XCI, (iii) the Company's Restated Certificate of Incorporation and By-Laws, each as amended to date,</w:t>
      </w:r>
    </w:p>
    <w:p>
      <w:pPr>
        <w:spacing w:after="0" w:line="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minutes of meetings of the Board of Directors of the Company and</w:t>
      </w:r>
    </w:p>
    <w:p>
      <w:pPr>
        <w:spacing w:after="0" w:line="21" w:lineRule="exact"/>
        <w:rPr>
          <w:rFonts w:ascii="Courier New" w:cs="Courier New" w:eastAsia="Courier New" w:hAnsi="Courier New"/>
          <w:sz w:val="16"/>
          <w:szCs w:val="16"/>
          <w:color w:val="auto"/>
        </w:rPr>
      </w:pPr>
    </w:p>
    <w:p>
      <w:pPr>
        <w:ind w:right="2099" w:firstLine="8"/>
        <w:spacing w:after="0" w:line="235"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and matters of law as have been considered necessary or desirable in rendering the opinions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the foregoing, it is my opinion that:</w:t>
      </w:r>
    </w:p>
    <w:p>
      <w:pPr>
        <w:spacing w:after="0" w:line="207" w:lineRule="exact"/>
        <w:rPr>
          <w:sz w:val="20"/>
          <w:szCs w:val="20"/>
          <w:color w:val="auto"/>
        </w:rPr>
      </w:pPr>
    </w:p>
    <w:p>
      <w:pPr>
        <w:ind w:right="2419" w:firstLine="8"/>
        <w:spacing w:after="0" w:line="235"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validly existing in good standing under the laws of the State of New York.</w:t>
      </w:r>
    </w:p>
    <w:p>
      <w:pPr>
        <w:spacing w:after="0" w:line="208" w:lineRule="exact"/>
        <w:rPr>
          <w:rFonts w:ascii="Courier New" w:cs="Courier New" w:eastAsia="Courier New" w:hAnsi="Courier New"/>
          <w:sz w:val="18"/>
          <w:szCs w:val="18"/>
          <w:color w:val="auto"/>
        </w:rPr>
      </w:pPr>
    </w:p>
    <w:p>
      <w:pPr>
        <w:ind w:right="2519" w:firstLine="8"/>
        <w:spacing w:after="0" w:line="237" w:lineRule="auto"/>
        <w:tabs>
          <w:tab w:leader="none" w:pos="42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when duly executed, countersigned and delivered as contemplated by the Registration Statement and the prospectus contained therein, will be validly issued, fully paid and nonassessable, with no personal liability attaching to the holders thereof under the laws of the State of New York.</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 consent to the reference to my name under the caption "Legal Opinion" in the prospectus contained in the Registration Statement and to the filing of this letter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S. WAGNER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 S. Wagner</w:t>
      </w:r>
    </w:p>
    <w:p>
      <w:pPr>
        <w:spacing w:after="0" w:line="238" w:lineRule="auto"/>
        <w:rPr>
          <w:sz w:val="20"/>
          <w:szCs w:val="20"/>
          <w:color w:val="auto"/>
        </w:rPr>
      </w:pPr>
      <w:r>
        <w:rPr>
          <w:rFonts w:ascii="Courier New" w:cs="Courier New" w:eastAsia="Courier New" w:hAnsi="Courier New"/>
          <w:sz w:val="18"/>
          <w:szCs w:val="18"/>
          <w:color w:val="auto"/>
        </w:rPr>
        <w:t>Associate General Counsel,</w:t>
      </w:r>
    </w:p>
    <w:p>
      <w:pPr>
        <w:spacing w:after="0"/>
        <w:rPr>
          <w:sz w:val="20"/>
          <w:szCs w:val="20"/>
          <w:color w:val="auto"/>
        </w:rPr>
      </w:pPr>
      <w:r>
        <w:rPr>
          <w:rFonts w:ascii="Courier New" w:cs="Courier New" w:eastAsia="Courier New" w:hAnsi="Courier New"/>
          <w:sz w:val="18"/>
          <w:szCs w:val="18"/>
          <w:color w:val="auto"/>
        </w:rPr>
        <w:t>Corporate, Finance and Ventures</w:t>
      </w:r>
    </w:p>
    <w:p>
      <w:pPr>
        <w:sectPr>
          <w:pgSz w:w="11900" w:h="16838" w:orient="portrait"/>
          <w:cols w:equalWidth="0" w:num="1">
            <w:col w:w="10219"/>
          </w:cols>
          <w:pgMar w:left="240" w:top="339" w:right="1440" w:bottom="1440" w:gutter="0" w:footer="0" w:header="0"/>
        </w:sectPr>
      </w:pPr>
    </w:p>
    <w:bookmarkStart w:id="10" w:name="page11"/>
    <w:bookmarkEnd w:id="10"/>
    <w:p>
      <w:pPr>
        <w:ind w:left="6960"/>
        <w:spacing w:after="0"/>
        <w:rPr>
          <w:sz w:val="20"/>
          <w:szCs w:val="20"/>
          <w:color w:val="auto"/>
        </w:rPr>
      </w:pPr>
      <w:r>
        <w:rPr>
          <w:rFonts w:ascii="Courier New" w:cs="Courier New" w:eastAsia="Courier New" w:hAnsi="Courier New"/>
          <w:sz w:val="18"/>
          <w:szCs w:val="18"/>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COMPUTATION OF RATIO OF</w:t>
            </w:r>
          </w:p>
        </w:tc>
        <w:tc>
          <w:tcPr>
            <w:tcW w:w="35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w w:val="98"/>
              </w:rPr>
              <w:t>EARNINGS TO FIXED CHARGES</w:t>
            </w:r>
          </w:p>
        </w:tc>
        <w:tc>
          <w:tcPr>
            <w:tcW w:w="640" w:type="dxa"/>
            <w:vAlign w:val="bottom"/>
          </w:tcPr>
          <w:p>
            <w:pPr>
              <w:spacing w:after="0"/>
              <w:rPr>
                <w:sz w:val="17"/>
                <w:szCs w:val="17"/>
                <w:color w:val="auto"/>
              </w:rPr>
            </w:pPr>
          </w:p>
        </w:tc>
      </w:tr>
      <w:tr>
        <w:trPr>
          <w:trHeight w:val="405"/>
        </w:trPr>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w w:val="97"/>
              </w:rPr>
              <w:t>Year ended December 31  (in millions)</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1995</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1993*   1992</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591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596</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Rental expense</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w:t>
            </w:r>
          </w:p>
        </w:tc>
        <w:tc>
          <w:tcPr>
            <w:tcW w:w="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170</w:t>
            </w:r>
          </w:p>
        </w:tc>
        <w:tc>
          <w:tcPr>
            <w:tcW w:w="2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w:t>
            </w:r>
          </w:p>
        </w:tc>
        <w:tc>
          <w:tcPr>
            <w:tcW w:w="1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3700" w:type="dxa"/>
            <w:vAlign w:val="bottom"/>
          </w:tcPr>
          <w:p>
            <w:pPr>
              <w:spacing w:after="0"/>
              <w:rPr>
                <w:sz w:val="17"/>
                <w:szCs w:val="17"/>
                <w:color w:val="auto"/>
              </w:rPr>
            </w:pPr>
          </w:p>
        </w:tc>
        <w:tc>
          <w:tcPr>
            <w:tcW w:w="452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fixed charges before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733</w:t>
            </w:r>
          </w:p>
        </w:tc>
        <w:tc>
          <w:tcPr>
            <w:tcW w:w="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690</w:t>
            </w:r>
          </w:p>
        </w:tc>
        <w:tc>
          <w:tcPr>
            <w:tcW w:w="2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720</w:t>
            </w:r>
          </w:p>
        </w:tc>
        <w:tc>
          <w:tcPr>
            <w:tcW w:w="1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814</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774</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w:t>
            </w:r>
          </w:p>
        </w:tc>
        <w:tc>
          <w:tcPr>
            <w:tcW w:w="2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700" w:type="dxa"/>
            <w:vAlign w:val="bottom"/>
          </w:tcPr>
          <w:p>
            <w:pPr>
              <w:spacing w:after="0"/>
              <w:rPr>
                <w:sz w:val="17"/>
                <w:szCs w:val="17"/>
                <w:color w:val="auto"/>
              </w:rPr>
            </w:pPr>
          </w:p>
        </w:tc>
        <w:tc>
          <w:tcPr>
            <w:tcW w:w="452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733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777</w:t>
            </w:r>
          </w:p>
        </w:tc>
      </w:tr>
      <w:tr>
        <w:trPr>
          <w:trHeight w:val="203"/>
        </w:trPr>
        <w:tc>
          <w:tcPr>
            <w:tcW w:w="3700" w:type="dxa"/>
            <w:vAlign w:val="bottom"/>
          </w:tcPr>
          <w:p>
            <w:pPr>
              <w:spacing w:after="0"/>
              <w:rPr>
                <w:sz w:val="17"/>
                <w:szCs w:val="17"/>
                <w:color w:val="auto"/>
              </w:rPr>
            </w:pPr>
          </w:p>
        </w:tc>
        <w:tc>
          <w:tcPr>
            <w:tcW w:w="452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Earnings available for fixed</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charges:</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Earnings**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$1,979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1,602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1,183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1,035</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undistributed income in</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owned companies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c>
          <w:tcPr>
            <w:tcW w:w="1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 fixed charges before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733</w:t>
            </w:r>
          </w:p>
        </w:tc>
        <w:tc>
          <w:tcPr>
            <w:tcW w:w="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690</w:t>
            </w:r>
          </w:p>
        </w:tc>
        <w:tc>
          <w:tcPr>
            <w:tcW w:w="2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720</w:t>
            </w:r>
          </w:p>
        </w:tc>
        <w:tc>
          <w:tcPr>
            <w:tcW w:w="1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814</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774</w:t>
            </w:r>
          </w:p>
        </w:tc>
      </w:tr>
      <w:tr>
        <w:trPr>
          <w:trHeight w:val="203"/>
        </w:trPr>
        <w:tc>
          <w:tcPr>
            <w:tcW w:w="3700" w:type="dxa"/>
            <w:vAlign w:val="bottom"/>
          </w:tcPr>
          <w:p>
            <w:pPr>
              <w:spacing w:after="0"/>
              <w:rPr>
                <w:sz w:val="17"/>
                <w:szCs w:val="17"/>
                <w:color w:val="auto"/>
              </w:rPr>
            </w:pPr>
          </w:p>
        </w:tc>
        <w:tc>
          <w:tcPr>
            <w:tcW w:w="452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earnings available for</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charges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$2,622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2,238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476</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1,945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1,739</w:t>
            </w:r>
          </w:p>
        </w:tc>
      </w:tr>
      <w:tr>
        <w:trPr>
          <w:trHeight w:val="203"/>
        </w:trPr>
        <w:tc>
          <w:tcPr>
            <w:tcW w:w="3700" w:type="dxa"/>
            <w:vAlign w:val="bottom"/>
          </w:tcPr>
          <w:p>
            <w:pPr>
              <w:spacing w:after="0"/>
              <w:rPr>
                <w:sz w:val="17"/>
                <w:szCs w:val="17"/>
                <w:color w:val="auto"/>
              </w:rPr>
            </w:pPr>
          </w:p>
        </w:tc>
        <w:tc>
          <w:tcPr>
            <w:tcW w:w="4520" w:type="dxa"/>
            <w:vAlign w:val="bottom"/>
            <w:gridSpan w:val="9"/>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Ratio of earnings to</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charges (1)(2)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w:t>
            </w:r>
          </w:p>
        </w:tc>
        <w:tc>
          <w:tcPr>
            <w:tcW w:w="160" w:type="dxa"/>
            <w:vAlign w:val="bottom"/>
          </w:tcPr>
          <w:p>
            <w:pPr>
              <w:spacing w:after="0"/>
              <w:rPr>
                <w:sz w:val="17"/>
                <w:szCs w:val="17"/>
                <w:color w:val="auto"/>
              </w:rPr>
            </w:pPr>
          </w:p>
        </w:tc>
        <w:tc>
          <w:tcPr>
            <w:tcW w:w="6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3.23</w:t>
            </w:r>
          </w:p>
        </w:tc>
        <w:tc>
          <w:tcPr>
            <w:tcW w:w="2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0.66</w:t>
            </w:r>
          </w:p>
        </w:tc>
        <w:tc>
          <w:tcPr>
            <w:tcW w:w="14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999" w:hanging="412"/>
        <w:spacing w:after="0" w:line="268"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ratio of earnings to fixed charges has been computed based on the Company's continuing operations by dividing total earnings available for fixed charges, excluding capitalized interest, by total fixed charges. Fixed charges consist of interest, including capitalized interest, and one-third of rent expense as representative of the interest portion of rentals. Debt has been assigned to discontinued operations based on historical levels assigned to the businesses when they were continuing operations adjusted for subsequent paydowns. The discontinued operations consist of the Company's Insurance and Other Financial Services businesses and its real-estate development and third-party financing businesses.</w:t>
      </w:r>
    </w:p>
    <w:p>
      <w:pPr>
        <w:spacing w:after="0" w:line="1" w:lineRule="exact"/>
        <w:rPr>
          <w:rFonts w:ascii="Courier New" w:cs="Courier New" w:eastAsia="Courier New" w:hAnsi="Courier New"/>
          <w:sz w:val="16"/>
          <w:szCs w:val="16"/>
          <w:color w:val="auto"/>
        </w:rPr>
      </w:pPr>
    </w:p>
    <w:p>
      <w:pPr>
        <w:ind w:left="420" w:right="1999" w:hanging="412"/>
        <w:spacing w:after="0" w:line="268"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ratio of earnings to fixed charges includes the effect of the Company's finance subsidiaries, which primarily finance Xerox equipment. Financing businesses are more highly leveraged and, therefore, tend to operate at lower earnings to fixed charges ratio levels than do</w:t>
      </w:r>
    </w:p>
    <w:p>
      <w:pPr>
        <w:ind w:left="420"/>
        <w:spacing w:after="0" w:line="234" w:lineRule="auto"/>
        <w:rPr>
          <w:sz w:val="20"/>
          <w:szCs w:val="20"/>
          <w:color w:val="auto"/>
        </w:rPr>
      </w:pPr>
      <w:r>
        <w:rPr>
          <w:rFonts w:ascii="Courier New" w:cs="Courier New" w:eastAsia="Courier New" w:hAnsi="Courier New"/>
          <w:sz w:val="18"/>
          <w:szCs w:val="18"/>
          <w:color w:val="auto"/>
        </w:rPr>
        <w:t>non-financial businesses.</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1993 earnings were inadequate to cover fixed charges.  The coverage</w:t>
      </w:r>
    </w:p>
    <w:p>
      <w:pPr>
        <w:ind w:left="420"/>
        <w:spacing w:after="0"/>
        <w:rPr>
          <w:sz w:val="20"/>
          <w:szCs w:val="20"/>
          <w:color w:val="auto"/>
        </w:rPr>
      </w:pPr>
      <w:r>
        <w:rPr>
          <w:rFonts w:ascii="Courier New" w:cs="Courier New" w:eastAsia="Courier New" w:hAnsi="Courier New"/>
          <w:sz w:val="18"/>
          <w:szCs w:val="18"/>
          <w:color w:val="auto"/>
        </w:rPr>
        <w:t>deficiency was $249 million.</w:t>
      </w:r>
    </w:p>
    <w:p>
      <w:pPr>
        <w:spacing w:after="0" w:line="4" w:lineRule="exact"/>
        <w:rPr>
          <w:sz w:val="20"/>
          <w:szCs w:val="20"/>
          <w:color w:val="auto"/>
        </w:rPr>
      </w:pPr>
    </w:p>
    <w:p>
      <w:pPr>
        <w:ind w:left="420" w:right="2199" w:hanging="412"/>
        <w:spacing w:after="0" w:line="290"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 of "Income (Loss) before Income Taxes, Equity Income and Minorities' Interests" and "Equity in Net Income of Unconsolidated Affiliates."</w:t>
      </w:r>
    </w:p>
    <w:p>
      <w:pPr>
        <w:sectPr>
          <w:pgSz w:w="11900" w:h="16838" w:orient="portrait"/>
          <w:cols w:equalWidth="0" w:num="1">
            <w:col w:w="10219"/>
          </w:cols>
          <w:pgMar w:left="240" w:top="339" w:right="1440" w:bottom="1440" w:gutter="0" w:footer="0" w:header="0"/>
        </w:sectPr>
      </w:pPr>
    </w:p>
    <w:bookmarkStart w:id="11" w:name="page12"/>
    <w:bookmarkEnd w:id="11"/>
    <w:p>
      <w:pPr>
        <w:ind w:left="6540"/>
        <w:spacing w:after="0"/>
        <w:rPr>
          <w:sz w:val="20"/>
          <w:szCs w:val="20"/>
          <w:color w:val="auto"/>
        </w:rPr>
      </w:pPr>
      <w:r>
        <w:rPr>
          <w:rFonts w:ascii="Courier New" w:cs="Courier New" w:eastAsia="Courier New" w:hAnsi="Courier New"/>
          <w:sz w:val="18"/>
          <w:szCs w:val="18"/>
          <w:color w:val="auto"/>
        </w:rPr>
        <w:t>EXHIBIT 24(a)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CERTIFICATE</w:t>
      </w:r>
    </w:p>
    <w:p>
      <w:pPr>
        <w:spacing w:after="0" w:line="207"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I, Martin S. Wagner, Assistant Secretary of Xerox Corporation, a New York corporation (the "Company"), DO HEREBY CERTIFY that Exhibit A is a true and correct copy of a resolution adopted at a meeting of the Board of Directors of the Company duly held and convened on October 9, 1995, and that such resolution has not been modified, rescinded or revoked and is at present in full force and effect.</w:t>
      </w:r>
    </w:p>
    <w:p>
      <w:pPr>
        <w:spacing w:after="0" w:line="21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IN WITNESS WHEREOF, the undersigned has executed this Certificate and affixed the corporate seal of the Company hereto this 3rd day of April, 1996.</w:t>
      </w:r>
    </w:p>
    <w:p>
      <w:pPr>
        <w:spacing w:after="0" w:line="20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MARTIN S. WAGNER</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Martin S. Wagner</w:t>
      </w:r>
    </w:p>
    <w:p>
      <w:pPr>
        <w:ind w:left="5380"/>
        <w:spacing w:after="0" w:line="237" w:lineRule="auto"/>
        <w:rPr>
          <w:sz w:val="20"/>
          <w:szCs w:val="20"/>
          <w:color w:val="auto"/>
        </w:rPr>
      </w:pPr>
      <w:r>
        <w:rPr>
          <w:rFonts w:ascii="Courier New" w:cs="Courier New" w:eastAsia="Courier New" w:hAnsi="Courier New"/>
          <w:sz w:val="18"/>
          <w:szCs w:val="18"/>
          <w:color w:val="auto"/>
        </w:rPr>
        <w:t>Assistant Secretary</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RESOLVED: that each officer and director of the Company who may be required to execute the Registration Statements or any amendment thereof (whether on behalf of the Company or as an officer or director thereof) be and hereby is authorized to execute a power of attorney appointing E. M. Filter, M. S. Wagner and G. R. Roth and each of them, as true and lawful attorneys and agents to execute in his name, place and stead (in any such capacity) the Registration Statements and any and all amendments thereto, and any and all documents in connection therewith, and to file the same in electronic or paper form with the Securities and Exchange Commission, each of said attorneys and agents to have the power to act with or without the other and to have the full power and authority to do and perform in the name and on behalf of each of said officers and directors, or both, as the case may be, every act whatsoever necessary or advisable to be done in the premises as fully and to all intents and purposes as any such officer or director could do in person.</w:t>
      </w:r>
    </w:p>
    <w:p>
      <w:pPr>
        <w:sectPr>
          <w:pgSz w:w="11900" w:h="16838" w:orient="portrait"/>
          <w:cols w:equalWidth="0" w:num="1">
            <w:col w:w="10219"/>
          </w:cols>
          <w:pgMar w:left="240" w:top="339" w:right="1440" w:bottom="1440" w:gutter="0" w:footer="0" w:header="0"/>
        </w:sectPr>
      </w:pPr>
    </w:p>
    <w:bookmarkStart w:id="12" w:name="page13"/>
    <w:bookmarkEnd w:id="12"/>
    <w:p>
      <w:pPr>
        <w:jc w:val="right"/>
        <w:ind w:right="2099"/>
        <w:spacing w:after="0"/>
        <w:rPr>
          <w:sz w:val="20"/>
          <w:szCs w:val="20"/>
          <w:color w:val="auto"/>
        </w:rPr>
      </w:pPr>
      <w:r>
        <w:rPr>
          <w:rFonts w:ascii="Courier New" w:cs="Courier New" w:eastAsia="Courier New" w:hAnsi="Courier New"/>
          <w:sz w:val="18"/>
          <w:szCs w:val="18"/>
          <w:color w:val="auto"/>
        </w:rPr>
        <w:t>Exhibit 24(b)</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Xerox Corporation (the "Company") and each person whose signature appears below authorize each of Eunice M. Filter, Martin S. Wagner and George R. Roth (each an "appointee") to file, either in paper or electronic form, one or more registration statements and amendments thereto (including post-effective amendments), under the Securities Act of 1933, as amended, for the purpose of registering the offering and sale of shares of Common Stock, $1 par value, of the Company ("Common Stock") reserved for issuance upon the exchange of XCI's Non-Voting Exchangeable Class B Shares for shares of Common Stock, which registration statements and amendments shall contain such information and exhibits as any such appointee deems appropriate. Each such person hereby appoints each appointee as attorney-in-fact, with full power to act alone, to execute any such registration statements and any and all amendments thereto and any and all other documents in connection therewith, in the name of and on behalf of the Company and each such person, individually and in each capacity stated below, including the power to enter electronically such company identification numbers, passwords and personal identification numbers as may be required to effect such filing as prescribed under the rules and regulations of the Securities and Exchange Commission (the "SEC"), and to file, either in paper or electronic form, with the SEC a form of this Power of Attorney. Each such person individually and in such capacities stated below hereby grants to said attorneys-in-fact, and each of them, full power and authority to do and perform each and every act and thing whatsoever that said attorney or attorneys may deem necessary or advisable to carry out fully the intent of the foregoing as the undersigned could do personally or in the capacities as aforesaid.</w:t>
      </w:r>
    </w:p>
    <w:p>
      <w:pPr>
        <w:spacing w:after="0" w:line="200" w:lineRule="exact"/>
        <w:rPr>
          <w:sz w:val="20"/>
          <w:szCs w:val="20"/>
          <w:color w:val="auto"/>
        </w:rPr>
      </w:pPr>
    </w:p>
    <w:p>
      <w:pPr>
        <w:spacing w:after="0" w:line="38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XEROX CORPORATION</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February 1, 1996</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Paul A. Allaire</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Allaire</w:t>
      </w:r>
    </w:p>
    <w:p>
      <w:pPr>
        <w:ind w:left="42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2960" w:space="320"/>
            <w:col w:w="6939"/>
          </w:cols>
          <w:pgMar w:left="240" w:top="339" w:right="1440" w:bottom="0" w:gutter="0" w:footer="0" w:header="0"/>
          <w:type w:val="continuous"/>
        </w:sectPr>
      </w:pPr>
    </w:p>
    <w:p>
      <w:pPr>
        <w:ind w:left="220"/>
        <w:spacing w:after="0"/>
        <w:rPr>
          <w:sz w:val="20"/>
          <w:szCs w:val="20"/>
          <w:color w:val="auto"/>
        </w:rPr>
      </w:pPr>
      <w:r>
        <w:rPr>
          <w:rFonts w:ascii="Courier New" w:cs="Courier New" w:eastAsia="Courier New" w:hAnsi="Courier New"/>
          <w:sz w:val="18"/>
          <w:szCs w:val="18"/>
          <w:color w:val="auto"/>
        </w:rPr>
        <w:t>/s/ Paul A. Allaire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A. Allaire)</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Chairman of the Board, Chief Executive Officer</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and Director (Principal Executive Officer)</w:t>
      </w:r>
    </w:p>
    <w:p>
      <w:pPr>
        <w:spacing w:after="0" w:line="40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Barry D. Romeril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D. Romeril)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 President and Chief Financial</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Officer (Principal Financial Officer)</w:t>
      </w:r>
    </w:p>
    <w:p>
      <w:pPr>
        <w:spacing w:after="0" w:line="40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Philip D. Fishbach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(Philip D. Fishbach)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Vice President and Controller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Accounting Officer)</w:t>
      </w:r>
    </w:p>
    <w:p>
      <w:pPr>
        <w:spacing w:after="0" w:line="419"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Robert A. Beck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A. Beck)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B. R. Inman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R. Inman)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Yotaro Kobayashi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(Yotaro Kobayashi)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Ralph S. Larsen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S. Larsen)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John D. Macomber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 Macomber)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George J. Mitchell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J. Mitchell)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N. J. Nicholas,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 J. Nicholas,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2" w:lineRule="exact"/>
        <w:rPr>
          <w:sz w:val="20"/>
          <w:szCs w:val="20"/>
          <w:color w:val="auto"/>
        </w:rPr>
      </w:pPr>
    </w:p>
    <w:p>
      <w:pPr>
        <w:sectPr>
          <w:pgSz w:w="11900" w:h="16838" w:orient="portrait"/>
          <w:cols w:equalWidth="0" w:num="2">
            <w:col w:w="3160" w:space="120"/>
            <w:col w:w="6939"/>
          </w:cols>
          <w:pgMar w:left="240" w:top="339" w:right="1440" w:bottom="0" w:gutter="0" w:footer="0" w:header="0"/>
          <w:type w:val="continuous"/>
        </w:sectPr>
      </w:pP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John E. Pepper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ectPr>
          <w:pgSz w:w="11900" w:h="16838" w:orient="portrait"/>
          <w:cols w:equalWidth="0" w:num="2">
            <w:col w:w="3160" w:space="120"/>
            <w:col w:w="6939"/>
          </w:cols>
          <w:pgMar w:left="240" w:top="339"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(John E. Pepper)</w:t>
      </w:r>
    </w:p>
    <w:p>
      <w:pPr>
        <w:spacing w:after="0" w:line="201" w:lineRule="exact"/>
        <w:rPr>
          <w:sz w:val="20"/>
          <w:szCs w:val="20"/>
          <w:color w:val="auto"/>
        </w:rPr>
      </w:pPr>
    </w:p>
    <w:p>
      <w:pPr>
        <w:ind w:left="220"/>
        <w:spacing w:after="0"/>
        <w:tabs>
          <w:tab w:leader="none" w:pos="3260" w:val="left"/>
        </w:tabs>
        <w:rPr>
          <w:sz w:val="20"/>
          <w:szCs w:val="20"/>
          <w:color w:val="auto"/>
        </w:rPr>
      </w:pPr>
      <w:r>
        <w:rPr>
          <w:rFonts w:ascii="Courier New" w:cs="Courier New" w:eastAsia="Courier New" w:hAnsi="Courier New"/>
          <w:sz w:val="18"/>
          <w:szCs w:val="18"/>
          <w:color w:val="auto"/>
        </w:rPr>
        <w:t>/s/ Martha R. Seger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(Martha R. Seger)</w:t>
      </w:r>
    </w:p>
    <w:p>
      <w:pPr>
        <w:spacing w:after="0" w:line="202" w:lineRule="exact"/>
        <w:rPr>
          <w:sz w:val="20"/>
          <w:szCs w:val="20"/>
          <w:color w:val="auto"/>
        </w:rPr>
      </w:pPr>
    </w:p>
    <w:p>
      <w:pPr>
        <w:ind w:left="220"/>
        <w:spacing w:after="0"/>
        <w:tabs>
          <w:tab w:leader="none" w:pos="3260" w:val="left"/>
        </w:tabs>
        <w:rPr>
          <w:sz w:val="20"/>
          <w:szCs w:val="20"/>
          <w:color w:val="auto"/>
        </w:rPr>
      </w:pPr>
      <w:r>
        <w:rPr>
          <w:rFonts w:ascii="Courier New" w:cs="Courier New" w:eastAsia="Courier New" w:hAnsi="Courier New"/>
          <w:sz w:val="18"/>
          <w:szCs w:val="18"/>
          <w:color w:val="auto"/>
        </w:rPr>
        <w:t>/s/ Thomas C. Theobald</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C. Theobald)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3"/>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2"/>
    </w:lvl>
  </w:abstractNum>
  <w:abstractNum w:abstractNumId="6">
    <w:nsid w:val="4E6AFB66"/>
    <w:multiLevelType w:val="hybridMultilevel"/>
    <w:lvl w:ilvl="0">
      <w:lvlJc w:val="left"/>
      <w:lvlText w:val="%1"/>
      <w:numFmt w:val="decimal"/>
      <w:start w:val="1"/>
    </w:lvl>
    <w:lvl w:ilvl="1">
      <w:lvlJc w:val="left"/>
      <w:lvlText w:val="(%2)"/>
      <w:numFmt w:val="lowerLetter"/>
      <w:start w:val="5"/>
    </w:lvl>
  </w:abstractNum>
  <w:abstractNum w:abstractNumId="7">
    <w:nsid w:val="25E45D32"/>
    <w:multiLevelType w:val="hybridMultilevel"/>
    <w:lvl w:ilvl="0">
      <w:lvlJc w:val="left"/>
      <w:lvlText w:val="(%1)"/>
      <w:numFmt w:val="decimal"/>
      <w:start w:val="5"/>
    </w:lvl>
    <w:lvl w:ilvl="1">
      <w:lvlJc w:val="left"/>
      <w:lvlText w:val="%2"/>
      <w:numFmt w:val="lowerLetter"/>
      <w:start w:val="1"/>
    </w:lvl>
  </w:abstractNum>
  <w:abstractNum w:abstractNumId="8">
    <w:nsid w:val="519B500D"/>
    <w:multiLevelType w:val="hybridMultilevel"/>
    <w:lvl w:ilvl="0">
      <w:lvlJc w:val="left"/>
      <w:lvlText w:val="(%1)"/>
      <w:numFmt w:val="decimal"/>
      <w:start w:val="12"/>
    </w:lvl>
    <w:lvl w:ilvl="1">
      <w:lvlJc w:val="left"/>
      <w:lvlText w:val="(%2)"/>
      <w:numFmt w:val="lowerLetter"/>
      <w:start w:val="2"/>
    </w:lvl>
  </w:abstractNum>
  <w:abstractNum w:abstractNumId="9">
    <w:nsid w:val="431BD7B7"/>
    <w:multiLevelType w:val="hybridMultilevel"/>
    <w:lvl w:ilvl="0">
      <w:lvlJc w:val="left"/>
      <w:lvlText w:val="%1"/>
      <w:numFmt w:val="decimal"/>
      <w:start w:val="1"/>
    </w:lvl>
    <w:lvl w:ilvl="1">
      <w:lvlJc w:val="left"/>
      <w:lvlText w:val="(%2)"/>
      <w:numFmt w:val="lowerLetter"/>
      <w:start w:val="2"/>
    </w:lvl>
  </w:abstractNum>
  <w:abstractNum w:abstractNumId="10">
    <w:nsid w:val="3F2DBA31"/>
    <w:multiLevelType w:val="hybridMultilevel"/>
    <w:lvl w:ilvl="0">
      <w:lvlJc w:val="left"/>
      <w:lvlText w:val="(%1)"/>
      <w:numFmt w:val="decimal"/>
      <w:start w:val="28"/>
    </w:lvl>
    <w:lvl w:ilvl="1">
      <w:lvlJc w:val="left"/>
      <w:lvlText w:val="%2"/>
      <w:numFmt w:val="lowerLetter"/>
      <w:start w:val="1"/>
    </w:lvl>
  </w:abstractNum>
  <w:abstractNum w:abstractNumId="11">
    <w:nsid w:val="7C83E458"/>
    <w:multiLevelType w:val="hybridMultilevel"/>
    <w:lvl w:ilvl="0">
      <w:lvlJc w:val="left"/>
      <w:lvlText w:val="%1"/>
      <w:numFmt w:val="lowerRoman"/>
      <w:start w:val="1"/>
    </w:lvl>
    <w:lvl w:ilvl="1">
      <w:lvlJc w:val="left"/>
      <w:lvlText w:val="(%2)"/>
      <w:numFmt w:val="decimal"/>
      <w:start w:val="1"/>
    </w:lvl>
  </w:abstractNum>
  <w:abstractNum w:abstractNumId="12">
    <w:nsid w:val="257130A3"/>
    <w:multiLevelType w:val="hybridMultilevel"/>
    <w:lvl w:ilvl="0">
      <w:lvlJc w:val="left"/>
      <w:lvlText w:val="(%1)"/>
      <w:numFmt w:val="lowerRoman"/>
      <w:start w:val="1"/>
    </w:lvl>
    <w:lvl w:ilvl="1">
      <w:lvlJc w:val="left"/>
      <w:lvlText w:val="(%2)"/>
      <w:numFmt w:val="decimal"/>
      <w:start w:val="2"/>
    </w:lvl>
  </w:abstractNum>
  <w:abstractNum w:abstractNumId="13">
    <w:nsid w:val="62BBD95A"/>
    <w:multiLevelType w:val="hybridMultilevel"/>
    <w:lvl w:ilvl="0">
      <w:lvlJc w:val="left"/>
      <w:lvlText w:val="(%1)"/>
      <w:numFmt w:val="lowerLetter"/>
      <w:start w:val="2"/>
    </w:lvl>
  </w:abstractNum>
  <w:abstractNum w:abstractNumId="14">
    <w:nsid w:val="436C6125"/>
    <w:multiLevelType w:val="hybridMultilevel"/>
    <w:lvl w:ilvl="0">
      <w:lvlJc w:val="left"/>
      <w:lvlText w:val="%1"/>
      <w:numFmt w:val="decimal"/>
      <w:start w:val="1"/>
    </w:lvl>
    <w:lvl w:ilvl="1">
      <w:lvlJc w:val="left"/>
      <w:lvlText w:val="(%2)"/>
      <w:numFmt w:val="lowerLetter"/>
      <w:start w:val="3"/>
    </w:lvl>
  </w:abstractNum>
  <w:abstractNum w:abstractNumId="15">
    <w:nsid w:val="628C895D"/>
    <w:multiLevelType w:val="hybridMultilevel"/>
    <w:lvl w:ilvl="0">
      <w:lvlJc w:val="left"/>
      <w:lvlText w:val="(%1)"/>
      <w:numFmt w:val="decimal"/>
      <w:start w:val="5"/>
    </w:lvl>
    <w:lvl w:ilvl="1">
      <w:lvlJc w:val="left"/>
      <w:lvlText w:val="%2"/>
      <w:numFmt w:val="lowerLetter"/>
      <w:start w:val="1"/>
    </w:lvl>
  </w:abstractNum>
  <w:abstractNum w:abstractNumId="16">
    <w:nsid w:val="333AB105"/>
    <w:multiLevelType w:val="hybridMultilevel"/>
    <w:lvl w:ilvl="0">
      <w:lvlJc w:val="left"/>
      <w:lvlText w:val="(%1)"/>
      <w:numFmt w:val="decimal"/>
      <w:start w:val="12"/>
    </w:lvl>
    <w:lvl w:ilvl="1">
      <w:lvlJc w:val="left"/>
      <w:lvlText w:val="(%2)"/>
      <w:numFmt w:val="lowerLetter"/>
      <w:start w:val="2"/>
    </w:lvl>
  </w:abstractNum>
  <w:abstractNum w:abstractNumId="17">
    <w:nsid w:val="721DA317"/>
    <w:multiLevelType w:val="hybridMultilevel"/>
    <w:lvl w:ilvl="0">
      <w:lvlJc w:val="left"/>
      <w:lvlText w:val="%1"/>
      <w:numFmt w:val="decimal"/>
      <w:start w:val="1"/>
    </w:lvl>
    <w:lvl w:ilvl="1">
      <w:lvlJc w:val="left"/>
      <w:lvlText w:val="(%2)"/>
      <w:numFmt w:val="lowerLetter"/>
      <w:start w:val="2"/>
    </w:lvl>
  </w:abstractNum>
  <w:abstractNum w:abstractNumId="18">
    <w:nsid w:val="2443A858"/>
    <w:multiLevelType w:val="hybridMultilevel"/>
    <w:lvl w:ilvl="0">
      <w:lvlJc w:val="left"/>
      <w:lvlText w:val="(%1)"/>
      <w:numFmt w:val="decimal"/>
      <w:start w:val="28"/>
    </w:lvl>
    <w:lvl w:ilvl="1">
      <w:lvlJc w:val="left"/>
      <w:lvlText w:val="%2"/>
      <w:numFmt w:val="lowerLetter"/>
      <w:start w:val="1"/>
    </w:lvl>
  </w:abstractNum>
  <w:abstractNum w:abstractNumId="19">
    <w:nsid w:val="2D1D5AE9"/>
    <w:multiLevelType w:val="hybridMultilevel"/>
    <w:lvl w:ilvl="0">
      <w:lvlJc w:val="left"/>
      <w:lvlText w:val="(%1)"/>
      <w:numFmt w:val="lowerRoman"/>
      <w:start w:val="4"/>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2019-12-13T08:34:42Z</dcterms:created>
  <dcterms:modified xsi:type="dcterms:W3CDTF">2019-12-13T08:34:42Z</dcterms:modified>
</cp:coreProperties>
</file>